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D1269A">
      <w:pPr>
        <w:pStyle w:val="142"/>
        <w:ind w:firstLine="0" w:firstLineChars="0"/>
        <w:jc w:val="center"/>
        <w:rPr>
          <w:i w:val="0"/>
          <w:iCs w:val="0"/>
          <w:color w:val="auto"/>
          <w:sz w:val="21"/>
          <w:szCs w:val="15"/>
          <w:highlight w:val="none"/>
        </w:rPr>
      </w:pPr>
      <w:r>
        <w:rPr>
          <w:rFonts w:hint="eastAsia"/>
          <w:i w:val="0"/>
          <w:iCs w:val="0"/>
          <w:color w:val="auto"/>
          <w:sz w:val="21"/>
          <w:szCs w:val="15"/>
          <w:highlight w:val="none"/>
        </w:rPr>
        <w:t>目录</w:t>
      </w:r>
    </w:p>
    <w:p w14:paraId="5F9E972C">
      <w:pPr>
        <w:pStyle w:val="59"/>
        <w:tabs>
          <w:tab w:val="right" w:leader="dot" w:pos="8743"/>
          <w:tab w:val="clear" w:pos="560"/>
          <w:tab w:val="clear" w:pos="8733"/>
        </w:tabs>
      </w:pPr>
      <w:r>
        <w:rPr>
          <w:i w:val="0"/>
          <w:iCs w:val="0"/>
          <w:color w:val="auto"/>
          <w:sz w:val="21"/>
          <w:szCs w:val="21"/>
          <w:highlight w:val="none"/>
        </w:rPr>
        <w:fldChar w:fldCharType="begin"/>
      </w:r>
      <w:r>
        <w:rPr>
          <w:i w:val="0"/>
          <w:iCs w:val="0"/>
          <w:color w:val="auto"/>
          <w:sz w:val="21"/>
          <w:szCs w:val="21"/>
          <w:highlight w:val="none"/>
        </w:rPr>
        <w:instrText xml:space="preserve"> TOC \o "1-3" \h \z \u </w:instrText>
      </w:r>
      <w:r>
        <w:rPr>
          <w:i w:val="0"/>
          <w:iCs w:val="0"/>
          <w:color w:val="auto"/>
          <w:sz w:val="21"/>
          <w:szCs w:val="21"/>
          <w:highlight w:val="none"/>
        </w:rPr>
        <w:fldChar w:fldCharType="separate"/>
      </w:r>
      <w:r>
        <w:rPr>
          <w:i w:val="0"/>
          <w:iCs w:val="0"/>
          <w:color w:val="auto"/>
          <w:szCs w:val="21"/>
          <w:highlight w:val="none"/>
        </w:rPr>
        <w:fldChar w:fldCharType="begin"/>
      </w:r>
      <w:r>
        <w:rPr>
          <w:i w:val="0"/>
          <w:iCs w:val="0"/>
          <w:szCs w:val="21"/>
          <w:highlight w:val="none"/>
        </w:rPr>
        <w:instrText xml:space="preserve"> HYPERLINK \l _Toc122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1. </w:t>
      </w:r>
      <w:r>
        <w:rPr>
          <w:rFonts w:hint="eastAsia"/>
          <w:i w:val="0"/>
          <w:iCs w:val="0"/>
          <w:szCs w:val="32"/>
          <w:highlight w:val="none"/>
        </w:rPr>
        <w:t>防洪防汛应急处置</w:t>
      </w:r>
      <w:r>
        <w:tab/>
      </w:r>
      <w:r>
        <w:fldChar w:fldCharType="begin"/>
      </w:r>
      <w:r>
        <w:instrText xml:space="preserve"> PAGEREF _Toc122 \h </w:instrText>
      </w:r>
      <w:r>
        <w:fldChar w:fldCharType="separate"/>
      </w:r>
      <w:r>
        <w:t>1</w:t>
      </w:r>
      <w:r>
        <w:fldChar w:fldCharType="end"/>
      </w:r>
      <w:r>
        <w:rPr>
          <w:i w:val="0"/>
          <w:iCs w:val="0"/>
          <w:color w:val="auto"/>
          <w:szCs w:val="21"/>
          <w:highlight w:val="none"/>
        </w:rPr>
        <w:fldChar w:fldCharType="end"/>
      </w:r>
    </w:p>
    <w:p w14:paraId="467B5E07">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_Toc3904 </w:instrText>
      </w:r>
      <w:r>
        <w:rPr>
          <w:i w:val="0"/>
          <w:iCs w:val="0"/>
          <w:szCs w:val="21"/>
          <w:highlight w:val="none"/>
        </w:rPr>
        <w:fldChar w:fldCharType="separate"/>
      </w:r>
      <w:r>
        <w:rPr>
          <w:rFonts w:hint="default" w:ascii="Arial" w:hAnsi="Arial" w:cs="Arial"/>
          <w:i w:val="0"/>
          <w:iCs w:val="0"/>
          <w:szCs w:val="24"/>
        </w:rPr>
        <w:t xml:space="preserve">1.1 </w:t>
      </w:r>
      <w:r>
        <w:rPr>
          <w:rFonts w:hint="eastAsia"/>
          <w:i w:val="0"/>
          <w:iCs w:val="0"/>
          <w:szCs w:val="21"/>
          <w:highlight w:val="none"/>
        </w:rPr>
        <w:t>建设期实现情况</w:t>
      </w:r>
      <w:r>
        <w:tab/>
      </w:r>
      <w:r>
        <w:fldChar w:fldCharType="begin"/>
      </w:r>
      <w:r>
        <w:instrText xml:space="preserve"> PAGEREF _Toc3904 \h </w:instrText>
      </w:r>
      <w:r>
        <w:fldChar w:fldCharType="separate"/>
      </w:r>
      <w:r>
        <w:t>1</w:t>
      </w:r>
      <w:r>
        <w:fldChar w:fldCharType="end"/>
      </w:r>
      <w:r>
        <w:rPr>
          <w:i w:val="0"/>
          <w:iCs w:val="0"/>
          <w:color w:val="auto"/>
          <w:szCs w:val="21"/>
          <w:highlight w:val="none"/>
        </w:rPr>
        <w:fldChar w:fldCharType="end"/>
      </w:r>
    </w:p>
    <w:p w14:paraId="658451A3">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_Toc14368 </w:instrText>
      </w:r>
      <w:r>
        <w:rPr>
          <w:i w:val="0"/>
          <w:iCs w:val="0"/>
          <w:szCs w:val="21"/>
          <w:highlight w:val="none"/>
        </w:rPr>
        <w:fldChar w:fldCharType="separate"/>
      </w:r>
      <w:r>
        <w:rPr>
          <w:rFonts w:hint="default" w:ascii="Arial" w:hAnsi="Arial" w:cs="Arial"/>
          <w:i w:val="0"/>
          <w:iCs w:val="0"/>
          <w:szCs w:val="24"/>
        </w:rPr>
        <w:t xml:space="preserve">1.2 </w:t>
      </w:r>
      <w:r>
        <w:rPr>
          <w:rFonts w:hint="eastAsia"/>
          <w:i w:val="0"/>
          <w:iCs w:val="0"/>
          <w:szCs w:val="21"/>
          <w:highlight w:val="none"/>
        </w:rPr>
        <w:t>系统方案</w:t>
      </w:r>
      <w:r>
        <w:tab/>
      </w:r>
      <w:r>
        <w:fldChar w:fldCharType="begin"/>
      </w:r>
      <w:r>
        <w:instrText xml:space="preserve"> PAGEREF _Toc14368 \h </w:instrText>
      </w:r>
      <w:r>
        <w:fldChar w:fldCharType="separate"/>
      </w:r>
      <w:r>
        <w:t>1</w:t>
      </w:r>
      <w:r>
        <w:fldChar w:fldCharType="end"/>
      </w:r>
      <w:r>
        <w:rPr>
          <w:i w:val="0"/>
          <w:iCs w:val="0"/>
          <w:color w:val="auto"/>
          <w:szCs w:val="21"/>
          <w:highlight w:val="none"/>
        </w:rPr>
        <w:fldChar w:fldCharType="end"/>
      </w:r>
    </w:p>
    <w:p w14:paraId="09A524A9">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_Toc17562 </w:instrText>
      </w:r>
      <w:r>
        <w:rPr>
          <w:i w:val="0"/>
          <w:iCs w:val="0"/>
          <w:szCs w:val="21"/>
          <w:highlight w:val="none"/>
        </w:rPr>
        <w:fldChar w:fldCharType="separate"/>
      </w:r>
      <w:r>
        <w:rPr>
          <w:rFonts w:hint="default" w:ascii="Arial" w:hAnsi="Arial" w:cs="Arial"/>
          <w:i w:val="0"/>
          <w:iCs w:val="0"/>
          <w:szCs w:val="24"/>
        </w:rPr>
        <w:t xml:space="preserve">1.3 </w:t>
      </w:r>
      <w:r>
        <w:rPr>
          <w:rFonts w:hint="eastAsia"/>
          <w:i w:val="0"/>
          <w:iCs w:val="0"/>
          <w:szCs w:val="21"/>
          <w:highlight w:val="none"/>
        </w:rPr>
        <w:t>系统功能</w:t>
      </w:r>
      <w:r>
        <w:tab/>
      </w:r>
      <w:r>
        <w:fldChar w:fldCharType="begin"/>
      </w:r>
      <w:r>
        <w:instrText xml:space="preserve"> PAGEREF _Toc17562 \h </w:instrText>
      </w:r>
      <w:r>
        <w:fldChar w:fldCharType="separate"/>
      </w:r>
      <w:r>
        <w:t>1</w:t>
      </w:r>
      <w:r>
        <w:fldChar w:fldCharType="end"/>
      </w:r>
      <w:r>
        <w:rPr>
          <w:i w:val="0"/>
          <w:iCs w:val="0"/>
          <w:color w:val="auto"/>
          <w:szCs w:val="21"/>
          <w:highlight w:val="none"/>
        </w:rPr>
        <w:fldChar w:fldCharType="end"/>
      </w:r>
    </w:p>
    <w:p w14:paraId="5B43C14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_Toc13774 </w:instrText>
      </w:r>
      <w:r>
        <w:rPr>
          <w:i w:val="0"/>
          <w:iCs w:val="0"/>
          <w:szCs w:val="21"/>
          <w:highlight w:val="none"/>
        </w:rPr>
        <w:fldChar w:fldCharType="separate"/>
      </w:r>
      <w:r>
        <w:rPr>
          <w:rFonts w:hint="default" w:ascii="Arial" w:hAnsi="Arial" w:cs="Arial"/>
          <w:i w:val="0"/>
          <w:iCs w:val="0"/>
          <w:szCs w:val="22"/>
        </w:rPr>
        <w:t xml:space="preserve">1.3.1 </w:t>
      </w:r>
      <w:r>
        <w:rPr>
          <w:rFonts w:hint="eastAsia"/>
          <w:i w:val="0"/>
          <w:iCs w:val="0"/>
          <w:szCs w:val="22"/>
          <w:highlight w:val="none"/>
          <w:lang w:val="en-US" w:eastAsia="zh-CN"/>
        </w:rPr>
        <w:t>站外出入口水位监测告警模块</w:t>
      </w:r>
      <w:r>
        <w:tab/>
      </w:r>
      <w:r>
        <w:fldChar w:fldCharType="begin"/>
      </w:r>
      <w:r>
        <w:instrText xml:space="preserve"> PAGEREF _Toc13774 \h </w:instrText>
      </w:r>
      <w:r>
        <w:fldChar w:fldCharType="separate"/>
      </w:r>
      <w:r>
        <w:t>1</w:t>
      </w:r>
      <w:r>
        <w:fldChar w:fldCharType="end"/>
      </w:r>
      <w:r>
        <w:rPr>
          <w:i w:val="0"/>
          <w:iCs w:val="0"/>
          <w:color w:val="auto"/>
          <w:szCs w:val="21"/>
          <w:highlight w:val="none"/>
        </w:rPr>
        <w:fldChar w:fldCharType="end"/>
      </w:r>
    </w:p>
    <w:p w14:paraId="35B7EC1E">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_Toc23166 </w:instrText>
      </w:r>
      <w:r>
        <w:rPr>
          <w:i w:val="0"/>
          <w:iCs w:val="0"/>
          <w:szCs w:val="21"/>
          <w:highlight w:val="none"/>
        </w:rPr>
        <w:fldChar w:fldCharType="separate"/>
      </w:r>
      <w:r>
        <w:rPr>
          <w:rFonts w:hint="default" w:ascii="Arial" w:hAnsi="Arial" w:cs="Arial"/>
          <w:i w:val="0"/>
          <w:iCs w:val="0"/>
          <w:szCs w:val="22"/>
        </w:rPr>
        <w:t xml:space="preserve">1.3.2 </w:t>
      </w:r>
      <w:r>
        <w:rPr>
          <w:rFonts w:hint="eastAsia"/>
          <w:i w:val="0"/>
          <w:iCs w:val="0"/>
          <w:szCs w:val="22"/>
          <w:highlight w:val="none"/>
        </w:rPr>
        <w:t>车站水淹评估</w:t>
      </w:r>
      <w:r>
        <w:tab/>
      </w:r>
      <w:r>
        <w:fldChar w:fldCharType="begin"/>
      </w:r>
      <w:r>
        <w:instrText xml:space="preserve"> PAGEREF _Toc23166 \h </w:instrText>
      </w:r>
      <w:r>
        <w:fldChar w:fldCharType="separate"/>
      </w:r>
      <w:r>
        <w:t>2</w:t>
      </w:r>
      <w:r>
        <w:fldChar w:fldCharType="end"/>
      </w:r>
      <w:r>
        <w:rPr>
          <w:i w:val="0"/>
          <w:iCs w:val="0"/>
          <w:color w:val="auto"/>
          <w:szCs w:val="21"/>
          <w:highlight w:val="none"/>
        </w:rPr>
        <w:fldChar w:fldCharType="end"/>
      </w:r>
    </w:p>
    <w:p w14:paraId="50AA008E">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_Toc3833 </w:instrText>
      </w:r>
      <w:r>
        <w:rPr>
          <w:i w:val="0"/>
          <w:iCs w:val="0"/>
          <w:szCs w:val="21"/>
          <w:highlight w:val="none"/>
        </w:rPr>
        <w:fldChar w:fldCharType="separate"/>
      </w:r>
      <w:r>
        <w:rPr>
          <w:rFonts w:hint="default" w:ascii="Arial" w:hAnsi="Arial" w:cs="Arial"/>
          <w:i w:val="0"/>
          <w:iCs w:val="0"/>
          <w:szCs w:val="22"/>
        </w:rPr>
        <w:t xml:space="preserve">1.3.3 </w:t>
      </w:r>
      <w:r>
        <w:rPr>
          <w:rFonts w:hint="eastAsia"/>
          <w:i w:val="0"/>
          <w:iCs w:val="0"/>
          <w:szCs w:val="22"/>
          <w:highlight w:val="none"/>
        </w:rPr>
        <w:t>车站防汛四张图电子化</w:t>
      </w:r>
      <w:r>
        <w:tab/>
      </w:r>
      <w:r>
        <w:fldChar w:fldCharType="begin"/>
      </w:r>
      <w:r>
        <w:instrText xml:space="preserve"> PAGEREF _Toc3833 \h </w:instrText>
      </w:r>
      <w:r>
        <w:fldChar w:fldCharType="separate"/>
      </w:r>
      <w:r>
        <w:t>2</w:t>
      </w:r>
      <w:r>
        <w:fldChar w:fldCharType="end"/>
      </w:r>
      <w:r>
        <w:rPr>
          <w:i w:val="0"/>
          <w:iCs w:val="0"/>
          <w:color w:val="auto"/>
          <w:szCs w:val="21"/>
          <w:highlight w:val="none"/>
        </w:rPr>
        <w:fldChar w:fldCharType="end"/>
      </w:r>
    </w:p>
    <w:p w14:paraId="13B798AA">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_Toc10131 </w:instrText>
      </w:r>
      <w:r>
        <w:rPr>
          <w:i w:val="0"/>
          <w:iCs w:val="0"/>
          <w:szCs w:val="21"/>
          <w:highlight w:val="none"/>
        </w:rPr>
        <w:fldChar w:fldCharType="separate"/>
      </w:r>
      <w:r>
        <w:rPr>
          <w:rFonts w:hint="default" w:ascii="Arial" w:hAnsi="Arial" w:cs="Arial"/>
          <w:i w:val="0"/>
          <w:iCs w:val="0"/>
          <w:szCs w:val="22"/>
        </w:rPr>
        <w:t xml:space="preserve">1.3.4 </w:t>
      </w:r>
      <w:r>
        <w:rPr>
          <w:rFonts w:hint="eastAsia"/>
          <w:i w:val="0"/>
          <w:iCs w:val="0"/>
          <w:szCs w:val="22"/>
          <w:highlight w:val="none"/>
        </w:rPr>
        <w:t>防汛联动处置</w:t>
      </w:r>
      <w:r>
        <w:tab/>
      </w:r>
      <w:r>
        <w:fldChar w:fldCharType="begin"/>
      </w:r>
      <w:r>
        <w:instrText xml:space="preserve"> PAGEREF _Toc10131 \h </w:instrText>
      </w:r>
      <w:r>
        <w:fldChar w:fldCharType="separate"/>
      </w:r>
      <w:r>
        <w:t>7</w:t>
      </w:r>
      <w:r>
        <w:fldChar w:fldCharType="end"/>
      </w:r>
      <w:r>
        <w:rPr>
          <w:i w:val="0"/>
          <w:iCs w:val="0"/>
          <w:color w:val="auto"/>
          <w:szCs w:val="21"/>
          <w:highlight w:val="none"/>
        </w:rPr>
        <w:fldChar w:fldCharType="end"/>
      </w:r>
    </w:p>
    <w:p w14:paraId="60A781EF">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_Toc8847 </w:instrText>
      </w:r>
      <w:r>
        <w:rPr>
          <w:i w:val="0"/>
          <w:iCs w:val="0"/>
          <w:szCs w:val="21"/>
          <w:highlight w:val="none"/>
        </w:rPr>
        <w:fldChar w:fldCharType="separate"/>
      </w:r>
      <w:r>
        <w:rPr>
          <w:rFonts w:hint="default" w:ascii="Arial" w:hAnsi="Arial" w:cs="Arial"/>
          <w:i w:val="0"/>
          <w:iCs w:val="0"/>
          <w:szCs w:val="24"/>
        </w:rPr>
        <w:t xml:space="preserve">1.4 </w:t>
      </w:r>
      <w:r>
        <w:rPr>
          <w:rFonts w:hint="eastAsia"/>
          <w:i w:val="0"/>
          <w:iCs w:val="0"/>
          <w:szCs w:val="21"/>
          <w:highlight w:val="none"/>
        </w:rPr>
        <w:t>系统接口</w:t>
      </w:r>
      <w:r>
        <w:tab/>
      </w:r>
      <w:r>
        <w:fldChar w:fldCharType="begin"/>
      </w:r>
      <w:r>
        <w:instrText xml:space="preserve"> PAGEREF _Toc8847 \h </w:instrText>
      </w:r>
      <w:r>
        <w:fldChar w:fldCharType="separate"/>
      </w:r>
      <w:r>
        <w:t>10</w:t>
      </w:r>
      <w:r>
        <w:fldChar w:fldCharType="end"/>
      </w:r>
      <w:r>
        <w:rPr>
          <w:i w:val="0"/>
          <w:iCs w:val="0"/>
          <w:color w:val="auto"/>
          <w:szCs w:val="21"/>
          <w:highlight w:val="none"/>
        </w:rPr>
        <w:fldChar w:fldCharType="end"/>
      </w:r>
    </w:p>
    <w:p w14:paraId="3AE47F16">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_Toc28272 </w:instrText>
      </w:r>
      <w:r>
        <w:rPr>
          <w:i w:val="0"/>
          <w:iCs w:val="0"/>
          <w:szCs w:val="21"/>
          <w:highlight w:val="none"/>
        </w:rPr>
        <w:fldChar w:fldCharType="separate"/>
      </w:r>
      <w:r>
        <w:rPr>
          <w:rFonts w:hint="default" w:ascii="Arial" w:hAnsi="Arial" w:cs="Arial"/>
          <w:i w:val="0"/>
          <w:iCs w:val="0"/>
          <w:szCs w:val="24"/>
        </w:rPr>
        <w:t xml:space="preserve">1.5 </w:t>
      </w:r>
      <w:r>
        <w:rPr>
          <w:rFonts w:hint="eastAsia"/>
          <w:i w:val="0"/>
          <w:iCs w:val="0"/>
          <w:szCs w:val="21"/>
          <w:highlight w:val="none"/>
        </w:rPr>
        <w:t>软件后台要求</w:t>
      </w:r>
      <w:r>
        <w:tab/>
      </w:r>
      <w:r>
        <w:fldChar w:fldCharType="begin"/>
      </w:r>
      <w:r>
        <w:instrText xml:space="preserve"> PAGEREF _Toc28272 \h </w:instrText>
      </w:r>
      <w:r>
        <w:fldChar w:fldCharType="separate"/>
      </w:r>
      <w:r>
        <w:t>11</w:t>
      </w:r>
      <w:r>
        <w:fldChar w:fldCharType="end"/>
      </w:r>
      <w:r>
        <w:rPr>
          <w:i w:val="0"/>
          <w:iCs w:val="0"/>
          <w:color w:val="auto"/>
          <w:szCs w:val="21"/>
          <w:highlight w:val="none"/>
        </w:rPr>
        <w:fldChar w:fldCharType="end"/>
      </w:r>
    </w:p>
    <w:p w14:paraId="3756A93A">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_Toc29375 </w:instrText>
      </w:r>
      <w:r>
        <w:rPr>
          <w:i w:val="0"/>
          <w:iCs w:val="0"/>
          <w:szCs w:val="21"/>
          <w:highlight w:val="none"/>
        </w:rPr>
        <w:fldChar w:fldCharType="separate"/>
      </w:r>
      <w:r>
        <w:rPr>
          <w:rFonts w:hint="default" w:ascii="Arial" w:hAnsi="Arial" w:cs="Arial"/>
          <w:i w:val="0"/>
          <w:iCs w:val="0"/>
          <w:szCs w:val="22"/>
          <w:lang w:val="en-US"/>
        </w:rPr>
        <w:t xml:space="preserve">1.5.1 </w:t>
      </w:r>
      <w:r>
        <w:rPr>
          <w:rFonts w:hint="eastAsia"/>
          <w:i w:val="0"/>
          <w:iCs w:val="0"/>
          <w:szCs w:val="22"/>
          <w:highlight w:val="none"/>
          <w:lang w:val="en-US"/>
        </w:rPr>
        <w:t>软件性能</w:t>
      </w:r>
      <w:r>
        <w:tab/>
      </w:r>
      <w:r>
        <w:fldChar w:fldCharType="begin"/>
      </w:r>
      <w:r>
        <w:instrText xml:space="preserve"> PAGEREF _Toc29375 \h </w:instrText>
      </w:r>
      <w:r>
        <w:fldChar w:fldCharType="separate"/>
      </w:r>
      <w:r>
        <w:t>11</w:t>
      </w:r>
      <w:r>
        <w:fldChar w:fldCharType="end"/>
      </w:r>
      <w:r>
        <w:rPr>
          <w:i w:val="0"/>
          <w:iCs w:val="0"/>
          <w:color w:val="auto"/>
          <w:szCs w:val="21"/>
          <w:highlight w:val="none"/>
        </w:rPr>
        <w:fldChar w:fldCharType="end"/>
      </w:r>
    </w:p>
    <w:p w14:paraId="6B52D17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_Toc4780 </w:instrText>
      </w:r>
      <w:r>
        <w:rPr>
          <w:i w:val="0"/>
          <w:iCs w:val="0"/>
          <w:szCs w:val="21"/>
          <w:highlight w:val="none"/>
        </w:rPr>
        <w:fldChar w:fldCharType="separate"/>
      </w:r>
      <w:r>
        <w:rPr>
          <w:rFonts w:hint="default" w:ascii="Arial" w:hAnsi="Arial" w:cs="Arial"/>
          <w:i w:val="0"/>
          <w:iCs w:val="0"/>
          <w:szCs w:val="22"/>
          <w:lang w:val="en-US"/>
        </w:rPr>
        <w:t xml:space="preserve">1.5.2 </w:t>
      </w:r>
      <w:r>
        <w:rPr>
          <w:rFonts w:hint="eastAsia"/>
          <w:i w:val="0"/>
          <w:iCs w:val="0"/>
          <w:szCs w:val="22"/>
          <w:highlight w:val="none"/>
          <w:lang w:val="en-US"/>
        </w:rPr>
        <w:t>系统接口能力</w:t>
      </w:r>
      <w:r>
        <w:tab/>
      </w:r>
      <w:r>
        <w:fldChar w:fldCharType="begin"/>
      </w:r>
      <w:r>
        <w:instrText xml:space="preserve"> PAGEREF _Toc4780 \h </w:instrText>
      </w:r>
      <w:r>
        <w:fldChar w:fldCharType="separate"/>
      </w:r>
      <w:r>
        <w:t>11</w:t>
      </w:r>
      <w:r>
        <w:fldChar w:fldCharType="end"/>
      </w:r>
      <w:r>
        <w:rPr>
          <w:i w:val="0"/>
          <w:iCs w:val="0"/>
          <w:color w:val="auto"/>
          <w:szCs w:val="21"/>
          <w:highlight w:val="none"/>
        </w:rPr>
        <w:fldChar w:fldCharType="end"/>
      </w:r>
    </w:p>
    <w:p w14:paraId="37BB611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_Toc15939 </w:instrText>
      </w:r>
      <w:r>
        <w:rPr>
          <w:i w:val="0"/>
          <w:iCs w:val="0"/>
          <w:szCs w:val="21"/>
          <w:highlight w:val="none"/>
        </w:rPr>
        <w:fldChar w:fldCharType="separate"/>
      </w:r>
      <w:r>
        <w:rPr>
          <w:rFonts w:hint="default" w:ascii="Arial" w:hAnsi="Arial" w:cs="Arial"/>
          <w:i w:val="0"/>
          <w:iCs w:val="0"/>
          <w:szCs w:val="22"/>
          <w:lang w:val="en-US"/>
        </w:rPr>
        <w:t xml:space="preserve">1.5.3 </w:t>
      </w:r>
      <w:r>
        <w:rPr>
          <w:rFonts w:hint="eastAsia"/>
          <w:i w:val="0"/>
          <w:iCs w:val="0"/>
          <w:szCs w:val="22"/>
          <w:highlight w:val="none"/>
          <w:lang w:val="en-US"/>
        </w:rPr>
        <w:t>系统管理能力</w:t>
      </w:r>
      <w:r>
        <w:tab/>
      </w:r>
      <w:r>
        <w:fldChar w:fldCharType="begin"/>
      </w:r>
      <w:r>
        <w:instrText xml:space="preserve"> PAGEREF _Toc15939 \h </w:instrText>
      </w:r>
      <w:r>
        <w:fldChar w:fldCharType="separate"/>
      </w:r>
      <w:r>
        <w:t>12</w:t>
      </w:r>
      <w:r>
        <w:fldChar w:fldCharType="end"/>
      </w:r>
      <w:r>
        <w:rPr>
          <w:i w:val="0"/>
          <w:iCs w:val="0"/>
          <w:color w:val="auto"/>
          <w:szCs w:val="21"/>
          <w:highlight w:val="none"/>
        </w:rPr>
        <w:fldChar w:fldCharType="end"/>
      </w:r>
    </w:p>
    <w:p w14:paraId="4275B7FF">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_Toc9113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2. </w:t>
      </w:r>
      <w:r>
        <w:rPr>
          <w:i w:val="0"/>
          <w:iCs w:val="0"/>
          <w:szCs w:val="32"/>
          <w:highlight w:val="none"/>
        </w:rPr>
        <w:t>车站视频智能分析系统</w:t>
      </w:r>
      <w:r>
        <w:tab/>
      </w:r>
      <w:r>
        <w:fldChar w:fldCharType="begin"/>
      </w:r>
      <w:r>
        <w:instrText xml:space="preserve"> PAGEREF _Toc9113 \h </w:instrText>
      </w:r>
      <w:r>
        <w:fldChar w:fldCharType="separate"/>
      </w:r>
      <w:r>
        <w:t>13</w:t>
      </w:r>
      <w:r>
        <w:fldChar w:fldCharType="end"/>
      </w:r>
      <w:r>
        <w:rPr>
          <w:i w:val="0"/>
          <w:iCs w:val="0"/>
          <w:color w:val="auto"/>
          <w:szCs w:val="21"/>
          <w:highlight w:val="none"/>
        </w:rPr>
        <w:fldChar w:fldCharType="end"/>
      </w:r>
    </w:p>
    <w:p w14:paraId="19F9DF94">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_Toc23739 </w:instrText>
      </w:r>
      <w:r>
        <w:rPr>
          <w:i w:val="0"/>
          <w:iCs w:val="0"/>
          <w:szCs w:val="21"/>
          <w:highlight w:val="none"/>
        </w:rPr>
        <w:fldChar w:fldCharType="separate"/>
      </w:r>
      <w:r>
        <w:rPr>
          <w:rFonts w:hint="default" w:ascii="Arial" w:hAnsi="Arial" w:cs="Arial"/>
          <w:i w:val="0"/>
          <w:iCs w:val="0"/>
          <w:szCs w:val="24"/>
        </w:rPr>
        <w:t xml:space="preserve">2.1 </w:t>
      </w:r>
      <w:r>
        <w:rPr>
          <w:i w:val="0"/>
          <w:iCs w:val="0"/>
          <w:szCs w:val="21"/>
          <w:highlight w:val="none"/>
        </w:rPr>
        <w:t>建设期已完成内容</w:t>
      </w:r>
      <w:r>
        <w:tab/>
      </w:r>
      <w:r>
        <w:fldChar w:fldCharType="begin"/>
      </w:r>
      <w:r>
        <w:instrText xml:space="preserve"> PAGEREF _Toc23739 \h </w:instrText>
      </w:r>
      <w:r>
        <w:fldChar w:fldCharType="separate"/>
      </w:r>
      <w:r>
        <w:t>13</w:t>
      </w:r>
      <w:r>
        <w:fldChar w:fldCharType="end"/>
      </w:r>
      <w:r>
        <w:rPr>
          <w:i w:val="0"/>
          <w:iCs w:val="0"/>
          <w:color w:val="auto"/>
          <w:szCs w:val="21"/>
          <w:highlight w:val="none"/>
        </w:rPr>
        <w:fldChar w:fldCharType="end"/>
      </w:r>
    </w:p>
    <w:p w14:paraId="05FFDA5F">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_Toc20891 </w:instrText>
      </w:r>
      <w:r>
        <w:rPr>
          <w:i w:val="0"/>
          <w:iCs w:val="0"/>
          <w:szCs w:val="21"/>
          <w:highlight w:val="none"/>
        </w:rPr>
        <w:fldChar w:fldCharType="separate"/>
      </w:r>
      <w:r>
        <w:rPr>
          <w:rFonts w:hint="default" w:ascii="Arial" w:hAnsi="Arial" w:cs="Arial"/>
          <w:i w:val="0"/>
          <w:iCs w:val="0"/>
          <w:szCs w:val="24"/>
        </w:rPr>
        <w:t xml:space="preserve">2.2 </w:t>
      </w:r>
      <w:r>
        <w:rPr>
          <w:i w:val="0"/>
          <w:iCs w:val="0"/>
          <w:szCs w:val="21"/>
          <w:highlight w:val="none"/>
        </w:rPr>
        <w:t>运营期建设内容</w:t>
      </w:r>
      <w:r>
        <w:tab/>
      </w:r>
      <w:r>
        <w:fldChar w:fldCharType="begin"/>
      </w:r>
      <w:r>
        <w:instrText xml:space="preserve"> PAGEREF _Toc20891 \h </w:instrText>
      </w:r>
      <w:r>
        <w:fldChar w:fldCharType="separate"/>
      </w:r>
      <w:r>
        <w:t>13</w:t>
      </w:r>
      <w:r>
        <w:fldChar w:fldCharType="end"/>
      </w:r>
      <w:r>
        <w:rPr>
          <w:i w:val="0"/>
          <w:iCs w:val="0"/>
          <w:color w:val="auto"/>
          <w:szCs w:val="21"/>
          <w:highlight w:val="none"/>
        </w:rPr>
        <w:fldChar w:fldCharType="end"/>
      </w:r>
    </w:p>
    <w:p w14:paraId="3D75A9CA">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_Toc16150 </w:instrText>
      </w:r>
      <w:r>
        <w:rPr>
          <w:i w:val="0"/>
          <w:iCs w:val="0"/>
          <w:szCs w:val="21"/>
          <w:highlight w:val="none"/>
        </w:rPr>
        <w:fldChar w:fldCharType="separate"/>
      </w:r>
      <w:r>
        <w:rPr>
          <w:rFonts w:hint="default" w:ascii="Arial" w:hAnsi="Arial" w:cs="Arial"/>
          <w:i w:val="0"/>
          <w:iCs w:val="0"/>
          <w:szCs w:val="24"/>
        </w:rPr>
        <w:t xml:space="preserve">2.3 </w:t>
      </w:r>
      <w:r>
        <w:rPr>
          <w:i w:val="0"/>
          <w:iCs w:val="0"/>
          <w:szCs w:val="21"/>
          <w:highlight w:val="none"/>
        </w:rPr>
        <w:t>基本功能要求</w:t>
      </w:r>
      <w:r>
        <w:tab/>
      </w:r>
      <w:r>
        <w:fldChar w:fldCharType="begin"/>
      </w:r>
      <w:r>
        <w:instrText xml:space="preserve"> PAGEREF _Toc16150 \h </w:instrText>
      </w:r>
      <w:r>
        <w:fldChar w:fldCharType="separate"/>
      </w:r>
      <w:r>
        <w:t>13</w:t>
      </w:r>
      <w:r>
        <w:fldChar w:fldCharType="end"/>
      </w:r>
      <w:r>
        <w:rPr>
          <w:i w:val="0"/>
          <w:iCs w:val="0"/>
          <w:color w:val="auto"/>
          <w:szCs w:val="21"/>
          <w:highlight w:val="none"/>
        </w:rPr>
        <w:fldChar w:fldCharType="end"/>
      </w:r>
    </w:p>
    <w:p w14:paraId="413F11A9">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_Toc19327 </w:instrText>
      </w:r>
      <w:r>
        <w:rPr>
          <w:i w:val="0"/>
          <w:iCs w:val="0"/>
          <w:szCs w:val="21"/>
          <w:highlight w:val="none"/>
        </w:rPr>
        <w:fldChar w:fldCharType="separate"/>
      </w:r>
      <w:r>
        <w:rPr>
          <w:rFonts w:hint="default" w:ascii="Arial" w:hAnsi="Arial" w:cs="Arial"/>
          <w:i w:val="0"/>
          <w:iCs w:val="0"/>
          <w:szCs w:val="24"/>
        </w:rPr>
        <w:t xml:space="preserve">2.4 </w:t>
      </w:r>
      <w:r>
        <w:rPr>
          <w:i w:val="0"/>
          <w:iCs w:val="0"/>
          <w:szCs w:val="21"/>
          <w:highlight w:val="none"/>
        </w:rPr>
        <w:t>车站智能视频分析算法功能需求</w:t>
      </w:r>
      <w:r>
        <w:tab/>
      </w:r>
      <w:r>
        <w:fldChar w:fldCharType="begin"/>
      </w:r>
      <w:r>
        <w:instrText xml:space="preserve"> PAGEREF _Toc19327 \h </w:instrText>
      </w:r>
      <w:r>
        <w:fldChar w:fldCharType="separate"/>
      </w:r>
      <w:r>
        <w:t>14</w:t>
      </w:r>
      <w:r>
        <w:fldChar w:fldCharType="end"/>
      </w:r>
      <w:r>
        <w:rPr>
          <w:i w:val="0"/>
          <w:iCs w:val="0"/>
          <w:color w:val="auto"/>
          <w:szCs w:val="21"/>
          <w:highlight w:val="none"/>
        </w:rPr>
        <w:fldChar w:fldCharType="end"/>
      </w:r>
    </w:p>
    <w:p w14:paraId="6F18CFE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_Toc15399 </w:instrText>
      </w:r>
      <w:r>
        <w:rPr>
          <w:i w:val="0"/>
          <w:iCs w:val="0"/>
          <w:szCs w:val="21"/>
          <w:highlight w:val="none"/>
        </w:rPr>
        <w:fldChar w:fldCharType="separate"/>
      </w:r>
      <w:r>
        <w:rPr>
          <w:rFonts w:hint="default" w:ascii="Arial" w:hAnsi="Arial" w:cs="Arial"/>
          <w:i w:val="0"/>
          <w:iCs w:val="0"/>
          <w:szCs w:val="22"/>
        </w:rPr>
        <w:t xml:space="preserve">2.4.1 </w:t>
      </w:r>
      <w:r>
        <w:rPr>
          <w:i w:val="0"/>
          <w:iCs w:val="0"/>
          <w:szCs w:val="22"/>
          <w:highlight w:val="none"/>
        </w:rPr>
        <w:t>隔栏递物</w:t>
      </w:r>
      <w:r>
        <w:tab/>
      </w:r>
      <w:r>
        <w:fldChar w:fldCharType="begin"/>
      </w:r>
      <w:r>
        <w:instrText xml:space="preserve"> PAGEREF _Toc15399 \h </w:instrText>
      </w:r>
      <w:r>
        <w:fldChar w:fldCharType="separate"/>
      </w:r>
      <w:r>
        <w:t>14</w:t>
      </w:r>
      <w:r>
        <w:fldChar w:fldCharType="end"/>
      </w:r>
      <w:r>
        <w:rPr>
          <w:i w:val="0"/>
          <w:iCs w:val="0"/>
          <w:color w:val="auto"/>
          <w:szCs w:val="21"/>
          <w:highlight w:val="none"/>
        </w:rPr>
        <w:fldChar w:fldCharType="end"/>
      </w:r>
    </w:p>
    <w:p w14:paraId="567E4351">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_Toc11068 </w:instrText>
      </w:r>
      <w:r>
        <w:rPr>
          <w:i w:val="0"/>
          <w:iCs w:val="0"/>
          <w:szCs w:val="21"/>
          <w:highlight w:val="none"/>
        </w:rPr>
        <w:fldChar w:fldCharType="separate"/>
      </w:r>
      <w:r>
        <w:rPr>
          <w:rFonts w:hint="default" w:ascii="Arial" w:hAnsi="Arial" w:cs="Arial"/>
          <w:i w:val="0"/>
          <w:iCs w:val="0"/>
          <w:szCs w:val="22"/>
        </w:rPr>
        <w:t xml:space="preserve">2.4.2 </w:t>
      </w:r>
      <w:r>
        <w:rPr>
          <w:i w:val="0"/>
          <w:iCs w:val="0"/>
          <w:szCs w:val="22"/>
          <w:highlight w:val="none"/>
        </w:rPr>
        <w:t>安检人员考核</w:t>
      </w:r>
      <w:r>
        <w:tab/>
      </w:r>
      <w:r>
        <w:fldChar w:fldCharType="begin"/>
      </w:r>
      <w:r>
        <w:instrText xml:space="preserve"> PAGEREF _Toc11068 \h </w:instrText>
      </w:r>
      <w:r>
        <w:fldChar w:fldCharType="separate"/>
      </w:r>
      <w:r>
        <w:t>15</w:t>
      </w:r>
      <w:r>
        <w:fldChar w:fldCharType="end"/>
      </w:r>
      <w:r>
        <w:rPr>
          <w:i w:val="0"/>
          <w:iCs w:val="0"/>
          <w:color w:val="auto"/>
          <w:szCs w:val="21"/>
          <w:highlight w:val="none"/>
        </w:rPr>
        <w:fldChar w:fldCharType="end"/>
      </w:r>
    </w:p>
    <w:p w14:paraId="764E9595">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_Toc21189 </w:instrText>
      </w:r>
      <w:r>
        <w:rPr>
          <w:i w:val="0"/>
          <w:iCs w:val="0"/>
          <w:szCs w:val="21"/>
          <w:highlight w:val="none"/>
        </w:rPr>
        <w:fldChar w:fldCharType="separate"/>
      </w:r>
      <w:r>
        <w:rPr>
          <w:rFonts w:hint="default" w:ascii="Arial" w:hAnsi="Arial" w:cs="Arial"/>
          <w:i w:val="0"/>
          <w:iCs w:val="0"/>
          <w:szCs w:val="22"/>
        </w:rPr>
        <w:t xml:space="preserve">2.4.3 </w:t>
      </w:r>
      <w:r>
        <w:rPr>
          <w:i w:val="0"/>
          <w:iCs w:val="0"/>
          <w:szCs w:val="22"/>
          <w:highlight w:val="none"/>
        </w:rPr>
        <w:t>扶梯人员摔倒监测</w:t>
      </w:r>
      <w:r>
        <w:tab/>
      </w:r>
      <w:r>
        <w:fldChar w:fldCharType="begin"/>
      </w:r>
      <w:r>
        <w:instrText xml:space="preserve"> PAGEREF _Toc21189 \h </w:instrText>
      </w:r>
      <w:r>
        <w:fldChar w:fldCharType="separate"/>
      </w:r>
      <w:r>
        <w:t>15</w:t>
      </w:r>
      <w:r>
        <w:fldChar w:fldCharType="end"/>
      </w:r>
      <w:r>
        <w:rPr>
          <w:i w:val="0"/>
          <w:iCs w:val="0"/>
          <w:color w:val="auto"/>
          <w:szCs w:val="21"/>
          <w:highlight w:val="none"/>
        </w:rPr>
        <w:fldChar w:fldCharType="end"/>
      </w:r>
    </w:p>
    <w:p w14:paraId="6C9E90B5">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_Toc5633 </w:instrText>
      </w:r>
      <w:r>
        <w:rPr>
          <w:i w:val="0"/>
          <w:iCs w:val="0"/>
          <w:szCs w:val="21"/>
          <w:highlight w:val="none"/>
        </w:rPr>
        <w:fldChar w:fldCharType="separate"/>
      </w:r>
      <w:r>
        <w:rPr>
          <w:rFonts w:hint="default" w:ascii="Arial" w:hAnsi="Arial" w:cs="Arial"/>
          <w:i w:val="0"/>
          <w:iCs w:val="0"/>
          <w:szCs w:val="22"/>
        </w:rPr>
        <w:t xml:space="preserve">2.4.4 </w:t>
      </w:r>
      <w:r>
        <w:rPr>
          <w:i w:val="0"/>
          <w:iCs w:val="0"/>
          <w:szCs w:val="22"/>
          <w:highlight w:val="none"/>
        </w:rPr>
        <w:t>扶梯有人检测</w:t>
      </w:r>
      <w:r>
        <w:tab/>
      </w:r>
      <w:r>
        <w:fldChar w:fldCharType="begin"/>
      </w:r>
      <w:r>
        <w:instrText xml:space="preserve"> PAGEREF _Toc5633 \h </w:instrText>
      </w:r>
      <w:r>
        <w:fldChar w:fldCharType="separate"/>
      </w:r>
      <w:r>
        <w:t>15</w:t>
      </w:r>
      <w:r>
        <w:fldChar w:fldCharType="end"/>
      </w:r>
      <w:r>
        <w:rPr>
          <w:i w:val="0"/>
          <w:iCs w:val="0"/>
          <w:color w:val="auto"/>
          <w:szCs w:val="21"/>
          <w:highlight w:val="none"/>
        </w:rPr>
        <w:fldChar w:fldCharType="end"/>
      </w:r>
    </w:p>
    <w:p w14:paraId="70CA5A8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_Toc5687 </w:instrText>
      </w:r>
      <w:r>
        <w:rPr>
          <w:i w:val="0"/>
          <w:iCs w:val="0"/>
          <w:szCs w:val="21"/>
          <w:highlight w:val="none"/>
        </w:rPr>
        <w:fldChar w:fldCharType="separate"/>
      </w:r>
      <w:r>
        <w:rPr>
          <w:rFonts w:hint="default" w:ascii="Arial" w:hAnsi="Arial" w:cs="Arial"/>
          <w:i w:val="0"/>
          <w:iCs w:val="0"/>
          <w:szCs w:val="22"/>
        </w:rPr>
        <w:t xml:space="preserve">2.4.5 </w:t>
      </w:r>
      <w:r>
        <w:rPr>
          <w:i w:val="0"/>
          <w:iCs w:val="0"/>
          <w:szCs w:val="22"/>
          <w:highlight w:val="none"/>
        </w:rPr>
        <w:t>直梯有人检测</w:t>
      </w:r>
      <w:r>
        <w:tab/>
      </w:r>
      <w:r>
        <w:fldChar w:fldCharType="begin"/>
      </w:r>
      <w:r>
        <w:instrText xml:space="preserve"> PAGEREF _Toc5687 \h </w:instrText>
      </w:r>
      <w:r>
        <w:fldChar w:fldCharType="separate"/>
      </w:r>
      <w:r>
        <w:t>15</w:t>
      </w:r>
      <w:r>
        <w:fldChar w:fldCharType="end"/>
      </w:r>
      <w:r>
        <w:rPr>
          <w:i w:val="0"/>
          <w:iCs w:val="0"/>
          <w:color w:val="auto"/>
          <w:szCs w:val="21"/>
          <w:highlight w:val="none"/>
        </w:rPr>
        <w:fldChar w:fldCharType="end"/>
      </w:r>
    </w:p>
    <w:p w14:paraId="2F283B0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_Toc4485 </w:instrText>
      </w:r>
      <w:r>
        <w:rPr>
          <w:i w:val="0"/>
          <w:iCs w:val="0"/>
          <w:szCs w:val="21"/>
          <w:highlight w:val="none"/>
        </w:rPr>
        <w:fldChar w:fldCharType="separate"/>
      </w:r>
      <w:r>
        <w:rPr>
          <w:rFonts w:hint="default" w:ascii="Arial" w:hAnsi="Arial" w:cs="Arial"/>
          <w:i w:val="0"/>
          <w:iCs w:val="0"/>
          <w:szCs w:val="22"/>
        </w:rPr>
        <w:t xml:space="preserve">2.4.6 </w:t>
      </w:r>
      <w:r>
        <w:rPr>
          <w:i w:val="0"/>
          <w:iCs w:val="0"/>
          <w:szCs w:val="22"/>
          <w:highlight w:val="none"/>
        </w:rPr>
        <w:t>车站巡检检测场景</w:t>
      </w:r>
      <w:r>
        <w:tab/>
      </w:r>
      <w:r>
        <w:fldChar w:fldCharType="begin"/>
      </w:r>
      <w:r>
        <w:instrText xml:space="preserve"> PAGEREF _Toc4485 \h </w:instrText>
      </w:r>
      <w:r>
        <w:fldChar w:fldCharType="separate"/>
      </w:r>
      <w:r>
        <w:t>16</w:t>
      </w:r>
      <w:r>
        <w:fldChar w:fldCharType="end"/>
      </w:r>
      <w:r>
        <w:rPr>
          <w:i w:val="0"/>
          <w:iCs w:val="0"/>
          <w:color w:val="auto"/>
          <w:szCs w:val="21"/>
          <w:highlight w:val="none"/>
        </w:rPr>
        <w:fldChar w:fldCharType="end"/>
      </w:r>
    </w:p>
    <w:p w14:paraId="05FD2317">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_Toc24250 </w:instrText>
      </w:r>
      <w:r>
        <w:rPr>
          <w:i w:val="0"/>
          <w:iCs w:val="0"/>
          <w:szCs w:val="21"/>
          <w:highlight w:val="none"/>
        </w:rPr>
        <w:fldChar w:fldCharType="separate"/>
      </w:r>
      <w:r>
        <w:rPr>
          <w:rFonts w:hint="default" w:ascii="Arial" w:hAnsi="Arial" w:cs="Arial"/>
          <w:i w:val="0"/>
          <w:iCs w:val="0"/>
          <w:szCs w:val="24"/>
        </w:rPr>
        <w:t xml:space="preserve">2.5 </w:t>
      </w:r>
      <w:r>
        <w:rPr>
          <w:i w:val="0"/>
          <w:iCs w:val="0"/>
          <w:szCs w:val="21"/>
          <w:highlight w:val="none"/>
        </w:rPr>
        <w:t>车站智能视频分析系统构成</w:t>
      </w:r>
      <w:r>
        <w:tab/>
      </w:r>
      <w:r>
        <w:fldChar w:fldCharType="begin"/>
      </w:r>
      <w:r>
        <w:instrText xml:space="preserve"> PAGEREF _Toc24250 \h </w:instrText>
      </w:r>
      <w:r>
        <w:fldChar w:fldCharType="separate"/>
      </w:r>
      <w:r>
        <w:t>16</w:t>
      </w:r>
      <w:r>
        <w:fldChar w:fldCharType="end"/>
      </w:r>
      <w:r>
        <w:rPr>
          <w:i w:val="0"/>
          <w:iCs w:val="0"/>
          <w:color w:val="auto"/>
          <w:szCs w:val="21"/>
          <w:highlight w:val="none"/>
        </w:rPr>
        <w:fldChar w:fldCharType="end"/>
      </w:r>
    </w:p>
    <w:p w14:paraId="6653D139">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_Toc24811 </w:instrText>
      </w:r>
      <w:r>
        <w:rPr>
          <w:i w:val="0"/>
          <w:iCs w:val="0"/>
          <w:szCs w:val="21"/>
          <w:highlight w:val="none"/>
        </w:rPr>
        <w:fldChar w:fldCharType="separate"/>
      </w:r>
      <w:r>
        <w:rPr>
          <w:rFonts w:hint="default" w:ascii="Arial" w:hAnsi="Arial" w:cs="Arial"/>
          <w:i w:val="0"/>
          <w:iCs w:val="0"/>
          <w:szCs w:val="22"/>
        </w:rPr>
        <w:t xml:space="preserve">2.5.1 </w:t>
      </w:r>
      <w:r>
        <w:rPr>
          <w:rFonts w:hint="eastAsia"/>
          <w:i w:val="0"/>
          <w:iCs w:val="0"/>
          <w:szCs w:val="22"/>
          <w:highlight w:val="none"/>
        </w:rPr>
        <w:t>视频分析设备</w:t>
      </w:r>
      <w:r>
        <w:tab/>
      </w:r>
      <w:r>
        <w:fldChar w:fldCharType="begin"/>
      </w:r>
      <w:r>
        <w:instrText xml:space="preserve"> PAGEREF _Toc24811 \h </w:instrText>
      </w:r>
      <w:r>
        <w:fldChar w:fldCharType="separate"/>
      </w:r>
      <w:r>
        <w:t>17</w:t>
      </w:r>
      <w:r>
        <w:fldChar w:fldCharType="end"/>
      </w:r>
      <w:r>
        <w:rPr>
          <w:i w:val="0"/>
          <w:iCs w:val="0"/>
          <w:color w:val="auto"/>
          <w:szCs w:val="21"/>
          <w:highlight w:val="none"/>
        </w:rPr>
        <w:fldChar w:fldCharType="end"/>
      </w:r>
    </w:p>
    <w:p w14:paraId="7BFE0635">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_Toc26458 </w:instrText>
      </w:r>
      <w:r>
        <w:rPr>
          <w:i w:val="0"/>
          <w:iCs w:val="0"/>
          <w:szCs w:val="21"/>
          <w:highlight w:val="none"/>
        </w:rPr>
        <w:fldChar w:fldCharType="separate"/>
      </w:r>
      <w:r>
        <w:rPr>
          <w:rFonts w:hint="default" w:ascii="Arial" w:hAnsi="Arial" w:cs="Arial"/>
          <w:i w:val="0"/>
          <w:iCs w:val="0"/>
          <w:szCs w:val="22"/>
        </w:rPr>
        <w:t xml:space="preserve">2.5.2 </w:t>
      </w:r>
      <w:r>
        <w:rPr>
          <w:rFonts w:hint="eastAsia"/>
          <w:i w:val="0"/>
          <w:iCs w:val="0"/>
          <w:szCs w:val="22"/>
          <w:highlight w:val="none"/>
        </w:rPr>
        <w:t>警务终端设备</w:t>
      </w:r>
      <w:r>
        <w:tab/>
      </w:r>
      <w:r>
        <w:fldChar w:fldCharType="begin"/>
      </w:r>
      <w:r>
        <w:instrText xml:space="preserve"> PAGEREF _Toc26458 \h </w:instrText>
      </w:r>
      <w:r>
        <w:fldChar w:fldCharType="separate"/>
      </w:r>
      <w:r>
        <w:t>18</w:t>
      </w:r>
      <w:r>
        <w:fldChar w:fldCharType="end"/>
      </w:r>
      <w:r>
        <w:rPr>
          <w:i w:val="0"/>
          <w:iCs w:val="0"/>
          <w:color w:val="auto"/>
          <w:szCs w:val="21"/>
          <w:highlight w:val="none"/>
        </w:rPr>
        <w:fldChar w:fldCharType="end"/>
      </w:r>
    </w:p>
    <w:p w14:paraId="13D6B3F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_Toc3516 </w:instrText>
      </w:r>
      <w:r>
        <w:rPr>
          <w:i w:val="0"/>
          <w:iCs w:val="0"/>
          <w:szCs w:val="21"/>
          <w:highlight w:val="none"/>
        </w:rPr>
        <w:fldChar w:fldCharType="separate"/>
      </w:r>
      <w:r>
        <w:rPr>
          <w:rFonts w:hint="default" w:ascii="Arial" w:hAnsi="Arial" w:cs="Arial"/>
          <w:i w:val="0"/>
          <w:iCs w:val="0"/>
          <w:szCs w:val="22"/>
        </w:rPr>
        <w:t xml:space="preserve">2.5.3 </w:t>
      </w:r>
      <w:r>
        <w:rPr>
          <w:rFonts w:hint="eastAsia"/>
          <w:i w:val="0"/>
          <w:iCs w:val="0"/>
          <w:szCs w:val="22"/>
          <w:highlight w:val="none"/>
        </w:rPr>
        <w:t>防火墙</w:t>
      </w:r>
      <w:r>
        <w:tab/>
      </w:r>
      <w:r>
        <w:fldChar w:fldCharType="begin"/>
      </w:r>
      <w:r>
        <w:instrText xml:space="preserve"> PAGEREF _Toc3516 \h </w:instrText>
      </w:r>
      <w:r>
        <w:fldChar w:fldCharType="separate"/>
      </w:r>
      <w:r>
        <w:t>18</w:t>
      </w:r>
      <w:r>
        <w:fldChar w:fldCharType="end"/>
      </w:r>
      <w:r>
        <w:rPr>
          <w:i w:val="0"/>
          <w:iCs w:val="0"/>
          <w:color w:val="auto"/>
          <w:szCs w:val="21"/>
          <w:highlight w:val="none"/>
        </w:rPr>
        <w:fldChar w:fldCharType="end"/>
      </w:r>
    </w:p>
    <w:p w14:paraId="6D58CB1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_Toc2937 </w:instrText>
      </w:r>
      <w:r>
        <w:rPr>
          <w:i w:val="0"/>
          <w:iCs w:val="0"/>
          <w:szCs w:val="21"/>
          <w:highlight w:val="none"/>
        </w:rPr>
        <w:fldChar w:fldCharType="separate"/>
      </w:r>
      <w:r>
        <w:rPr>
          <w:rFonts w:hint="default" w:ascii="Arial" w:hAnsi="Arial" w:cs="Arial"/>
          <w:i w:val="0"/>
          <w:iCs w:val="0"/>
          <w:szCs w:val="22"/>
        </w:rPr>
        <w:t xml:space="preserve">2.5.4 </w:t>
      </w:r>
      <w:r>
        <w:rPr>
          <w:rFonts w:hint="eastAsia"/>
          <w:i w:val="0"/>
          <w:iCs w:val="0"/>
          <w:szCs w:val="22"/>
          <w:highlight w:val="none"/>
        </w:rPr>
        <w:t>摄像机</w:t>
      </w:r>
      <w:r>
        <w:tab/>
      </w:r>
      <w:r>
        <w:fldChar w:fldCharType="begin"/>
      </w:r>
      <w:r>
        <w:instrText xml:space="preserve"> PAGEREF _Toc2937 \h </w:instrText>
      </w:r>
      <w:r>
        <w:fldChar w:fldCharType="separate"/>
      </w:r>
      <w:r>
        <w:t>18</w:t>
      </w:r>
      <w:r>
        <w:fldChar w:fldCharType="end"/>
      </w:r>
      <w:r>
        <w:rPr>
          <w:i w:val="0"/>
          <w:iCs w:val="0"/>
          <w:color w:val="auto"/>
          <w:szCs w:val="21"/>
          <w:highlight w:val="none"/>
        </w:rPr>
        <w:fldChar w:fldCharType="end"/>
      </w:r>
    </w:p>
    <w:p w14:paraId="3897EDDB">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_Toc9672 </w:instrText>
      </w:r>
      <w:r>
        <w:rPr>
          <w:i w:val="0"/>
          <w:iCs w:val="0"/>
          <w:szCs w:val="21"/>
          <w:highlight w:val="none"/>
        </w:rPr>
        <w:fldChar w:fldCharType="separate"/>
      </w:r>
      <w:r>
        <w:rPr>
          <w:rFonts w:hint="default" w:ascii="Arial" w:hAnsi="Arial" w:cs="Arial"/>
          <w:i w:val="0"/>
          <w:iCs w:val="0"/>
          <w:szCs w:val="24"/>
        </w:rPr>
        <w:t xml:space="preserve">2.6 </w:t>
      </w:r>
      <w:r>
        <w:rPr>
          <w:i w:val="0"/>
          <w:iCs w:val="0"/>
          <w:szCs w:val="21"/>
          <w:highlight w:val="none"/>
        </w:rPr>
        <w:t>管控平台视频智能分析系统功能</w:t>
      </w:r>
      <w:r>
        <w:tab/>
      </w:r>
      <w:r>
        <w:fldChar w:fldCharType="begin"/>
      </w:r>
      <w:r>
        <w:instrText xml:space="preserve"> PAGEREF _Toc9672 \h </w:instrText>
      </w:r>
      <w:r>
        <w:fldChar w:fldCharType="separate"/>
      </w:r>
      <w:r>
        <w:t>22</w:t>
      </w:r>
      <w:r>
        <w:fldChar w:fldCharType="end"/>
      </w:r>
      <w:r>
        <w:rPr>
          <w:i w:val="0"/>
          <w:iCs w:val="0"/>
          <w:color w:val="auto"/>
          <w:szCs w:val="21"/>
          <w:highlight w:val="none"/>
        </w:rPr>
        <w:fldChar w:fldCharType="end"/>
      </w:r>
    </w:p>
    <w:p w14:paraId="261B5A0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_Toc10685 </w:instrText>
      </w:r>
      <w:r>
        <w:rPr>
          <w:i w:val="0"/>
          <w:iCs w:val="0"/>
          <w:szCs w:val="21"/>
          <w:highlight w:val="none"/>
        </w:rPr>
        <w:fldChar w:fldCharType="separate"/>
      </w:r>
      <w:r>
        <w:rPr>
          <w:rFonts w:hint="default" w:ascii="Arial" w:hAnsi="Arial" w:cs="Arial"/>
          <w:i w:val="0"/>
          <w:iCs w:val="0"/>
          <w:szCs w:val="22"/>
        </w:rPr>
        <w:t xml:space="preserve">2.6.1 </w:t>
      </w:r>
      <w:r>
        <w:rPr>
          <w:i w:val="0"/>
          <w:iCs w:val="0"/>
          <w:szCs w:val="22"/>
          <w:highlight w:val="none"/>
          <w:lang w:val="en-US"/>
        </w:rPr>
        <w:t>功能概述​</w:t>
      </w:r>
      <w:r>
        <w:tab/>
      </w:r>
      <w:r>
        <w:fldChar w:fldCharType="begin"/>
      </w:r>
      <w:r>
        <w:instrText xml:space="preserve"> PAGEREF _Toc10685 \h </w:instrText>
      </w:r>
      <w:r>
        <w:fldChar w:fldCharType="separate"/>
      </w:r>
      <w:r>
        <w:t>22</w:t>
      </w:r>
      <w:r>
        <w:fldChar w:fldCharType="end"/>
      </w:r>
      <w:r>
        <w:rPr>
          <w:i w:val="0"/>
          <w:iCs w:val="0"/>
          <w:color w:val="auto"/>
          <w:szCs w:val="21"/>
          <w:highlight w:val="none"/>
        </w:rPr>
        <w:fldChar w:fldCharType="end"/>
      </w:r>
    </w:p>
    <w:p w14:paraId="2A21BF9C">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_Toc15591 </w:instrText>
      </w:r>
      <w:r>
        <w:rPr>
          <w:i w:val="0"/>
          <w:iCs w:val="0"/>
          <w:szCs w:val="21"/>
          <w:highlight w:val="none"/>
        </w:rPr>
        <w:fldChar w:fldCharType="separate"/>
      </w:r>
      <w:r>
        <w:rPr>
          <w:rFonts w:hint="default" w:ascii="Arial" w:hAnsi="Arial" w:cs="Arial"/>
          <w:i w:val="0"/>
          <w:iCs w:val="0"/>
          <w:szCs w:val="22"/>
        </w:rPr>
        <w:t xml:space="preserve">2.6.2 </w:t>
      </w:r>
      <w:r>
        <w:rPr>
          <w:i w:val="0"/>
          <w:iCs w:val="0"/>
          <w:szCs w:val="22"/>
          <w:highlight w:val="none"/>
          <w:lang w:val="en-US"/>
        </w:rPr>
        <w:t>核心功能模块</w:t>
      </w:r>
      <w:r>
        <w:tab/>
      </w:r>
      <w:r>
        <w:fldChar w:fldCharType="begin"/>
      </w:r>
      <w:r>
        <w:instrText xml:space="preserve"> PAGEREF _Toc15591 \h </w:instrText>
      </w:r>
      <w:r>
        <w:fldChar w:fldCharType="separate"/>
      </w:r>
      <w:r>
        <w:t>22</w:t>
      </w:r>
      <w:r>
        <w:fldChar w:fldCharType="end"/>
      </w:r>
      <w:r>
        <w:rPr>
          <w:i w:val="0"/>
          <w:iCs w:val="0"/>
          <w:color w:val="auto"/>
          <w:szCs w:val="21"/>
          <w:highlight w:val="none"/>
        </w:rPr>
        <w:fldChar w:fldCharType="end"/>
      </w:r>
    </w:p>
    <w:p w14:paraId="702F5EB0">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_Toc7994 </w:instrText>
      </w:r>
      <w:r>
        <w:rPr>
          <w:i w:val="0"/>
          <w:iCs w:val="0"/>
          <w:szCs w:val="21"/>
          <w:highlight w:val="none"/>
        </w:rPr>
        <w:fldChar w:fldCharType="separate"/>
      </w:r>
      <w:r>
        <w:rPr>
          <w:rFonts w:hint="default" w:ascii="Arial" w:hAnsi="Arial" w:cs="Arial"/>
          <w:i w:val="0"/>
          <w:iCs w:val="0"/>
          <w:szCs w:val="24"/>
        </w:rPr>
        <w:t xml:space="preserve">2.7 </w:t>
      </w:r>
      <w:r>
        <w:rPr>
          <w:rFonts w:hint="eastAsia"/>
          <w:i w:val="0"/>
          <w:iCs w:val="0"/>
          <w:szCs w:val="21"/>
          <w:highlight w:val="none"/>
        </w:rPr>
        <w:t>系统方案</w:t>
      </w:r>
      <w:r>
        <w:tab/>
      </w:r>
      <w:r>
        <w:fldChar w:fldCharType="begin"/>
      </w:r>
      <w:r>
        <w:instrText xml:space="preserve"> PAGEREF _Toc7994 \h </w:instrText>
      </w:r>
      <w:r>
        <w:fldChar w:fldCharType="separate"/>
      </w:r>
      <w:r>
        <w:t>23</w:t>
      </w:r>
      <w:r>
        <w:fldChar w:fldCharType="end"/>
      </w:r>
      <w:r>
        <w:rPr>
          <w:i w:val="0"/>
          <w:iCs w:val="0"/>
          <w:color w:val="auto"/>
          <w:szCs w:val="21"/>
          <w:highlight w:val="none"/>
        </w:rPr>
        <w:fldChar w:fldCharType="end"/>
      </w:r>
    </w:p>
    <w:p w14:paraId="5395F79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_Toc31223 </w:instrText>
      </w:r>
      <w:r>
        <w:rPr>
          <w:i w:val="0"/>
          <w:iCs w:val="0"/>
          <w:szCs w:val="21"/>
          <w:highlight w:val="none"/>
        </w:rPr>
        <w:fldChar w:fldCharType="separate"/>
      </w:r>
      <w:r>
        <w:rPr>
          <w:rFonts w:hint="default" w:ascii="Arial" w:hAnsi="Arial" w:cs="Arial"/>
          <w:i w:val="0"/>
          <w:iCs w:val="0"/>
          <w:szCs w:val="22"/>
        </w:rPr>
        <w:t xml:space="preserve">2.7.1 </w:t>
      </w:r>
      <w:r>
        <w:rPr>
          <w:i w:val="0"/>
          <w:iCs w:val="0"/>
          <w:szCs w:val="22"/>
          <w:highlight w:val="none"/>
          <w:lang w:val="en-US"/>
        </w:rPr>
        <w:t>设备连接​</w:t>
      </w:r>
      <w:r>
        <w:tab/>
      </w:r>
      <w:r>
        <w:fldChar w:fldCharType="begin"/>
      </w:r>
      <w:r>
        <w:instrText xml:space="preserve"> PAGEREF _Toc31223 \h </w:instrText>
      </w:r>
      <w:r>
        <w:fldChar w:fldCharType="separate"/>
      </w:r>
      <w:r>
        <w:t>23</w:t>
      </w:r>
      <w:r>
        <w:fldChar w:fldCharType="end"/>
      </w:r>
      <w:r>
        <w:rPr>
          <w:i w:val="0"/>
          <w:iCs w:val="0"/>
          <w:color w:val="auto"/>
          <w:szCs w:val="21"/>
          <w:highlight w:val="none"/>
        </w:rPr>
        <w:fldChar w:fldCharType="end"/>
      </w:r>
    </w:p>
    <w:p w14:paraId="7680C231">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_Toc9488 </w:instrText>
      </w:r>
      <w:r>
        <w:rPr>
          <w:i w:val="0"/>
          <w:iCs w:val="0"/>
          <w:szCs w:val="21"/>
          <w:highlight w:val="none"/>
        </w:rPr>
        <w:fldChar w:fldCharType="separate"/>
      </w:r>
      <w:r>
        <w:rPr>
          <w:rFonts w:hint="default" w:ascii="Arial" w:hAnsi="Arial" w:cs="Arial"/>
          <w:i w:val="0"/>
          <w:iCs w:val="0"/>
          <w:szCs w:val="22"/>
        </w:rPr>
        <w:t xml:space="preserve">2.7.2 </w:t>
      </w:r>
      <w:r>
        <w:rPr>
          <w:i w:val="0"/>
          <w:iCs w:val="0"/>
          <w:szCs w:val="22"/>
          <w:highlight w:val="none"/>
          <w:lang w:val="en-US"/>
        </w:rPr>
        <w:t>告警信息传输​</w:t>
      </w:r>
      <w:r>
        <w:tab/>
      </w:r>
      <w:r>
        <w:fldChar w:fldCharType="begin"/>
      </w:r>
      <w:r>
        <w:instrText xml:space="preserve"> PAGEREF _Toc9488 \h </w:instrText>
      </w:r>
      <w:r>
        <w:fldChar w:fldCharType="separate"/>
      </w:r>
      <w:r>
        <w:t>24</w:t>
      </w:r>
      <w:r>
        <w:fldChar w:fldCharType="end"/>
      </w:r>
      <w:r>
        <w:rPr>
          <w:i w:val="0"/>
          <w:iCs w:val="0"/>
          <w:color w:val="auto"/>
          <w:szCs w:val="21"/>
          <w:highlight w:val="none"/>
        </w:rPr>
        <w:fldChar w:fldCharType="end"/>
      </w:r>
    </w:p>
    <w:p w14:paraId="3D8E863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_Toc28805 </w:instrText>
      </w:r>
      <w:r>
        <w:rPr>
          <w:i w:val="0"/>
          <w:iCs w:val="0"/>
          <w:szCs w:val="21"/>
          <w:highlight w:val="none"/>
        </w:rPr>
        <w:fldChar w:fldCharType="separate"/>
      </w:r>
      <w:r>
        <w:rPr>
          <w:rFonts w:hint="default" w:ascii="Arial" w:hAnsi="Arial" w:cs="Arial"/>
          <w:i w:val="0"/>
          <w:iCs w:val="0"/>
          <w:szCs w:val="22"/>
        </w:rPr>
        <w:t xml:space="preserve">2.7.3 </w:t>
      </w:r>
      <w:r>
        <w:rPr>
          <w:i w:val="0"/>
          <w:iCs w:val="0"/>
          <w:szCs w:val="22"/>
          <w:highlight w:val="none"/>
          <w:lang w:val="en-US"/>
        </w:rPr>
        <w:t>算法运行机制​</w:t>
      </w:r>
      <w:r>
        <w:tab/>
      </w:r>
      <w:r>
        <w:fldChar w:fldCharType="begin"/>
      </w:r>
      <w:r>
        <w:instrText xml:space="preserve"> PAGEREF _Toc28805 \h </w:instrText>
      </w:r>
      <w:r>
        <w:fldChar w:fldCharType="separate"/>
      </w:r>
      <w:r>
        <w:t>24</w:t>
      </w:r>
      <w:r>
        <w:fldChar w:fldCharType="end"/>
      </w:r>
      <w:r>
        <w:rPr>
          <w:i w:val="0"/>
          <w:iCs w:val="0"/>
          <w:color w:val="auto"/>
          <w:szCs w:val="21"/>
          <w:highlight w:val="none"/>
        </w:rPr>
        <w:fldChar w:fldCharType="end"/>
      </w:r>
    </w:p>
    <w:p w14:paraId="6308C2C4">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_Toc27607 </w:instrText>
      </w:r>
      <w:r>
        <w:rPr>
          <w:i w:val="0"/>
          <w:iCs w:val="0"/>
          <w:szCs w:val="21"/>
          <w:highlight w:val="none"/>
        </w:rPr>
        <w:fldChar w:fldCharType="separate"/>
      </w:r>
      <w:r>
        <w:rPr>
          <w:rFonts w:hint="default" w:ascii="Arial" w:hAnsi="Arial" w:cs="Arial"/>
          <w:i w:val="0"/>
          <w:iCs w:val="0"/>
          <w:szCs w:val="24"/>
        </w:rPr>
        <w:t xml:space="preserve">2.8 </w:t>
      </w:r>
      <w:r>
        <w:rPr>
          <w:rFonts w:hint="eastAsia"/>
          <w:i w:val="0"/>
          <w:iCs w:val="0"/>
          <w:szCs w:val="21"/>
          <w:highlight w:val="none"/>
        </w:rPr>
        <w:t>与智慧地铁管控平台接口</w:t>
      </w:r>
      <w:r>
        <w:tab/>
      </w:r>
      <w:r>
        <w:fldChar w:fldCharType="begin"/>
      </w:r>
      <w:r>
        <w:instrText xml:space="preserve"> PAGEREF _Toc27607 \h </w:instrText>
      </w:r>
      <w:r>
        <w:fldChar w:fldCharType="separate"/>
      </w:r>
      <w:r>
        <w:t>24</w:t>
      </w:r>
      <w:r>
        <w:fldChar w:fldCharType="end"/>
      </w:r>
      <w:r>
        <w:rPr>
          <w:i w:val="0"/>
          <w:iCs w:val="0"/>
          <w:color w:val="auto"/>
          <w:szCs w:val="21"/>
          <w:highlight w:val="none"/>
        </w:rPr>
        <w:fldChar w:fldCharType="end"/>
      </w:r>
    </w:p>
    <w:p w14:paraId="43EF2FC6">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_Toc21761 </w:instrText>
      </w:r>
      <w:r>
        <w:rPr>
          <w:i w:val="0"/>
          <w:iCs w:val="0"/>
          <w:szCs w:val="21"/>
          <w:highlight w:val="none"/>
        </w:rPr>
        <w:fldChar w:fldCharType="separate"/>
      </w:r>
      <w:r>
        <w:rPr>
          <w:rFonts w:hint="default" w:ascii="Arial" w:hAnsi="Arial" w:cs="Arial"/>
          <w:i w:val="0"/>
          <w:iCs w:val="0"/>
          <w:szCs w:val="24"/>
        </w:rPr>
        <w:t xml:space="preserve">2.9 </w:t>
      </w:r>
      <w:r>
        <w:rPr>
          <w:rFonts w:hint="eastAsia"/>
          <w:i w:val="0"/>
          <w:iCs w:val="0"/>
          <w:szCs w:val="21"/>
          <w:highlight w:val="none"/>
        </w:rPr>
        <w:t>系统配电及接地</w:t>
      </w:r>
      <w:r>
        <w:tab/>
      </w:r>
      <w:r>
        <w:fldChar w:fldCharType="begin"/>
      </w:r>
      <w:r>
        <w:instrText xml:space="preserve"> PAGEREF _Toc21761 \h </w:instrText>
      </w:r>
      <w:r>
        <w:fldChar w:fldCharType="separate"/>
      </w:r>
      <w:r>
        <w:t>25</w:t>
      </w:r>
      <w:r>
        <w:fldChar w:fldCharType="end"/>
      </w:r>
      <w:r>
        <w:rPr>
          <w:i w:val="0"/>
          <w:iCs w:val="0"/>
          <w:color w:val="auto"/>
          <w:szCs w:val="21"/>
          <w:highlight w:val="none"/>
        </w:rPr>
        <w:fldChar w:fldCharType="end"/>
      </w:r>
    </w:p>
    <w:p w14:paraId="15191A80">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_Toc27534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3. </w:t>
      </w:r>
      <w:r>
        <w:rPr>
          <w:rFonts w:hint="eastAsia"/>
          <w:i w:val="0"/>
          <w:iCs w:val="0"/>
          <w:szCs w:val="32"/>
          <w:highlight w:val="none"/>
        </w:rPr>
        <w:t>FAS系统与门禁系统智能联动</w:t>
      </w:r>
      <w:r>
        <w:tab/>
      </w:r>
      <w:r>
        <w:fldChar w:fldCharType="begin"/>
      </w:r>
      <w:r>
        <w:instrText xml:space="preserve"> PAGEREF _Toc27534 \h </w:instrText>
      </w:r>
      <w:r>
        <w:fldChar w:fldCharType="separate"/>
      </w:r>
      <w:r>
        <w:t>26</w:t>
      </w:r>
      <w:r>
        <w:fldChar w:fldCharType="end"/>
      </w:r>
      <w:r>
        <w:rPr>
          <w:i w:val="0"/>
          <w:iCs w:val="0"/>
          <w:color w:val="auto"/>
          <w:szCs w:val="21"/>
          <w:highlight w:val="none"/>
        </w:rPr>
        <w:fldChar w:fldCharType="end"/>
      </w:r>
    </w:p>
    <w:p w14:paraId="4EF629E2">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_Toc18299 </w:instrText>
      </w:r>
      <w:r>
        <w:rPr>
          <w:i w:val="0"/>
          <w:iCs w:val="0"/>
          <w:szCs w:val="21"/>
          <w:highlight w:val="none"/>
        </w:rPr>
        <w:fldChar w:fldCharType="separate"/>
      </w:r>
      <w:r>
        <w:rPr>
          <w:rFonts w:hint="default" w:ascii="Arial" w:hAnsi="Arial" w:cs="Arial"/>
          <w:i w:val="0"/>
          <w:iCs w:val="0"/>
          <w:szCs w:val="24"/>
        </w:rPr>
        <w:t xml:space="preserve">3.1 </w:t>
      </w:r>
      <w:r>
        <w:rPr>
          <w:rFonts w:hint="eastAsia"/>
          <w:i w:val="0"/>
          <w:iCs w:val="0"/>
          <w:szCs w:val="21"/>
          <w:highlight w:val="none"/>
        </w:rPr>
        <w:t>系统方案</w:t>
      </w:r>
      <w:r>
        <w:tab/>
      </w:r>
      <w:r>
        <w:fldChar w:fldCharType="begin"/>
      </w:r>
      <w:r>
        <w:instrText xml:space="preserve"> PAGEREF _Toc18299 \h </w:instrText>
      </w:r>
      <w:r>
        <w:fldChar w:fldCharType="separate"/>
      </w:r>
      <w:r>
        <w:t>26</w:t>
      </w:r>
      <w:r>
        <w:fldChar w:fldCharType="end"/>
      </w:r>
      <w:r>
        <w:rPr>
          <w:i w:val="0"/>
          <w:iCs w:val="0"/>
          <w:color w:val="auto"/>
          <w:szCs w:val="21"/>
          <w:highlight w:val="none"/>
        </w:rPr>
        <w:fldChar w:fldCharType="end"/>
      </w:r>
    </w:p>
    <w:p w14:paraId="21741FC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_Toc21481 </w:instrText>
      </w:r>
      <w:r>
        <w:rPr>
          <w:i w:val="0"/>
          <w:iCs w:val="0"/>
          <w:szCs w:val="21"/>
          <w:highlight w:val="none"/>
        </w:rPr>
        <w:fldChar w:fldCharType="separate"/>
      </w:r>
      <w:r>
        <w:rPr>
          <w:rFonts w:hint="default" w:ascii="Arial" w:hAnsi="Arial" w:cs="Arial"/>
          <w:i w:val="0"/>
          <w:iCs w:val="0"/>
          <w:szCs w:val="22"/>
          <w:lang w:val="en-US"/>
        </w:rPr>
        <w:t xml:space="preserve">3.1.1 </w:t>
      </w:r>
      <w:r>
        <w:rPr>
          <w:rFonts w:hint="eastAsia"/>
          <w:i w:val="0"/>
          <w:iCs w:val="0"/>
          <w:szCs w:val="22"/>
          <w:highlight w:val="none"/>
          <w:lang w:val="en-US"/>
        </w:rPr>
        <w:t>模式调整方案</w:t>
      </w:r>
      <w:r>
        <w:tab/>
      </w:r>
      <w:r>
        <w:fldChar w:fldCharType="begin"/>
      </w:r>
      <w:r>
        <w:instrText xml:space="preserve"> PAGEREF _Toc21481 \h </w:instrText>
      </w:r>
      <w:r>
        <w:fldChar w:fldCharType="separate"/>
      </w:r>
      <w:r>
        <w:t>26</w:t>
      </w:r>
      <w:r>
        <w:fldChar w:fldCharType="end"/>
      </w:r>
      <w:r>
        <w:rPr>
          <w:i w:val="0"/>
          <w:iCs w:val="0"/>
          <w:color w:val="auto"/>
          <w:szCs w:val="21"/>
          <w:highlight w:val="none"/>
        </w:rPr>
        <w:fldChar w:fldCharType="end"/>
      </w:r>
    </w:p>
    <w:p w14:paraId="6E0FD28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_Toc4394 </w:instrText>
      </w:r>
      <w:r>
        <w:rPr>
          <w:i w:val="0"/>
          <w:iCs w:val="0"/>
          <w:szCs w:val="21"/>
          <w:highlight w:val="none"/>
        </w:rPr>
        <w:fldChar w:fldCharType="separate"/>
      </w:r>
      <w:r>
        <w:rPr>
          <w:rFonts w:hint="default" w:ascii="Arial" w:hAnsi="Arial" w:cs="Arial"/>
          <w:i w:val="0"/>
          <w:iCs w:val="0"/>
          <w:szCs w:val="22"/>
          <w:lang w:val="en-US"/>
        </w:rPr>
        <w:t xml:space="preserve">3.1.2 </w:t>
      </w:r>
      <w:r>
        <w:rPr>
          <w:rFonts w:hint="eastAsia"/>
          <w:i w:val="0"/>
          <w:iCs w:val="0"/>
          <w:szCs w:val="22"/>
          <w:highlight w:val="none"/>
          <w:lang w:val="en-US"/>
        </w:rPr>
        <w:t>语音播报装置的实施方案</w:t>
      </w:r>
      <w:r>
        <w:tab/>
      </w:r>
      <w:r>
        <w:fldChar w:fldCharType="begin"/>
      </w:r>
      <w:r>
        <w:instrText xml:space="preserve"> PAGEREF _Toc4394 \h </w:instrText>
      </w:r>
      <w:r>
        <w:fldChar w:fldCharType="separate"/>
      </w:r>
      <w:r>
        <w:t>26</w:t>
      </w:r>
      <w:r>
        <w:fldChar w:fldCharType="end"/>
      </w:r>
      <w:r>
        <w:rPr>
          <w:i w:val="0"/>
          <w:iCs w:val="0"/>
          <w:color w:val="auto"/>
          <w:szCs w:val="21"/>
          <w:highlight w:val="none"/>
        </w:rPr>
        <w:fldChar w:fldCharType="end"/>
      </w:r>
    </w:p>
    <w:p w14:paraId="284AC7A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_Toc10295 </w:instrText>
      </w:r>
      <w:r>
        <w:rPr>
          <w:i w:val="0"/>
          <w:iCs w:val="0"/>
          <w:szCs w:val="21"/>
          <w:highlight w:val="none"/>
        </w:rPr>
        <w:fldChar w:fldCharType="separate"/>
      </w:r>
      <w:r>
        <w:rPr>
          <w:rFonts w:hint="default" w:ascii="Arial" w:hAnsi="Arial" w:cs="Arial"/>
          <w:i w:val="0"/>
          <w:iCs w:val="0"/>
          <w:szCs w:val="22"/>
          <w:lang w:val="en-US"/>
        </w:rPr>
        <w:t xml:space="preserve">3.1.3 </w:t>
      </w:r>
      <w:r>
        <w:rPr>
          <w:rFonts w:hint="eastAsia"/>
          <w:i w:val="0"/>
          <w:iCs w:val="0"/>
          <w:szCs w:val="22"/>
          <w:highlight w:val="none"/>
          <w:lang w:val="en-US"/>
        </w:rPr>
        <w:t>调整范围</w:t>
      </w:r>
      <w:r>
        <w:tab/>
      </w:r>
      <w:r>
        <w:fldChar w:fldCharType="begin"/>
      </w:r>
      <w:r>
        <w:instrText xml:space="preserve"> PAGEREF _Toc10295 \h </w:instrText>
      </w:r>
      <w:r>
        <w:fldChar w:fldCharType="separate"/>
      </w:r>
      <w:r>
        <w:t>26</w:t>
      </w:r>
      <w:r>
        <w:fldChar w:fldCharType="end"/>
      </w:r>
      <w:r>
        <w:rPr>
          <w:i w:val="0"/>
          <w:iCs w:val="0"/>
          <w:color w:val="auto"/>
          <w:szCs w:val="21"/>
          <w:highlight w:val="none"/>
        </w:rPr>
        <w:fldChar w:fldCharType="end"/>
      </w:r>
    </w:p>
    <w:p w14:paraId="11DA8240">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_Toc21329 </w:instrText>
      </w:r>
      <w:r>
        <w:rPr>
          <w:i w:val="0"/>
          <w:iCs w:val="0"/>
          <w:szCs w:val="21"/>
          <w:highlight w:val="none"/>
        </w:rPr>
        <w:fldChar w:fldCharType="separate"/>
      </w:r>
      <w:r>
        <w:rPr>
          <w:rFonts w:hint="default" w:ascii="Arial" w:hAnsi="Arial" w:cs="Arial"/>
          <w:i w:val="0"/>
          <w:iCs w:val="0"/>
          <w:szCs w:val="24"/>
        </w:rPr>
        <w:t xml:space="preserve">3.2 </w:t>
      </w:r>
      <w:r>
        <w:rPr>
          <w:rFonts w:hint="eastAsia"/>
          <w:i w:val="0"/>
          <w:iCs w:val="0"/>
          <w:szCs w:val="21"/>
          <w:highlight w:val="none"/>
        </w:rPr>
        <w:t>系统接口</w:t>
      </w:r>
      <w:r>
        <w:tab/>
      </w:r>
      <w:r>
        <w:fldChar w:fldCharType="begin"/>
      </w:r>
      <w:r>
        <w:instrText xml:space="preserve"> PAGEREF _Toc21329 \h </w:instrText>
      </w:r>
      <w:r>
        <w:fldChar w:fldCharType="separate"/>
      </w:r>
      <w:r>
        <w:t>26</w:t>
      </w:r>
      <w:r>
        <w:fldChar w:fldCharType="end"/>
      </w:r>
      <w:r>
        <w:rPr>
          <w:i w:val="0"/>
          <w:iCs w:val="0"/>
          <w:color w:val="auto"/>
          <w:szCs w:val="21"/>
          <w:highlight w:val="none"/>
        </w:rPr>
        <w:fldChar w:fldCharType="end"/>
      </w:r>
    </w:p>
    <w:p w14:paraId="017C71B7">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_Toc11054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4. </w:t>
      </w:r>
      <w:r>
        <w:rPr>
          <w:rFonts w:hint="eastAsia"/>
          <w:i w:val="0"/>
          <w:iCs w:val="0"/>
          <w:szCs w:val="32"/>
          <w:highlight w:val="none"/>
        </w:rPr>
        <w:t>列车司机行为实时监测</w:t>
      </w:r>
      <w:r>
        <w:tab/>
      </w:r>
      <w:r>
        <w:fldChar w:fldCharType="begin"/>
      </w:r>
      <w:r>
        <w:instrText xml:space="preserve"> PAGEREF _Toc11054 \h </w:instrText>
      </w:r>
      <w:r>
        <w:fldChar w:fldCharType="separate"/>
      </w:r>
      <w:r>
        <w:t>28</w:t>
      </w:r>
      <w:r>
        <w:fldChar w:fldCharType="end"/>
      </w:r>
      <w:r>
        <w:rPr>
          <w:i w:val="0"/>
          <w:iCs w:val="0"/>
          <w:color w:val="auto"/>
          <w:szCs w:val="21"/>
          <w:highlight w:val="none"/>
        </w:rPr>
        <w:fldChar w:fldCharType="end"/>
      </w:r>
    </w:p>
    <w:p w14:paraId="242FEE2E">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_Toc23110 </w:instrText>
      </w:r>
      <w:r>
        <w:rPr>
          <w:i w:val="0"/>
          <w:iCs w:val="0"/>
          <w:szCs w:val="21"/>
          <w:highlight w:val="none"/>
        </w:rPr>
        <w:fldChar w:fldCharType="separate"/>
      </w:r>
      <w:r>
        <w:rPr>
          <w:rFonts w:hint="default" w:ascii="Arial" w:hAnsi="Arial" w:cs="Arial"/>
          <w:i w:val="0"/>
          <w:iCs w:val="0"/>
          <w:szCs w:val="24"/>
        </w:rPr>
        <w:t xml:space="preserve">4.1 </w:t>
      </w:r>
      <w:r>
        <w:rPr>
          <w:rFonts w:hint="eastAsia"/>
          <w:i w:val="0"/>
          <w:iCs w:val="0"/>
          <w:szCs w:val="21"/>
          <w:highlight w:val="none"/>
        </w:rPr>
        <w:t>系统构成</w:t>
      </w:r>
      <w:r>
        <w:tab/>
      </w:r>
      <w:r>
        <w:fldChar w:fldCharType="begin"/>
      </w:r>
      <w:r>
        <w:instrText xml:space="preserve"> PAGEREF _Toc23110 \h </w:instrText>
      </w:r>
      <w:r>
        <w:fldChar w:fldCharType="separate"/>
      </w:r>
      <w:r>
        <w:t>28</w:t>
      </w:r>
      <w:r>
        <w:fldChar w:fldCharType="end"/>
      </w:r>
      <w:r>
        <w:rPr>
          <w:i w:val="0"/>
          <w:iCs w:val="0"/>
          <w:color w:val="auto"/>
          <w:szCs w:val="21"/>
          <w:highlight w:val="none"/>
        </w:rPr>
        <w:fldChar w:fldCharType="end"/>
      </w:r>
    </w:p>
    <w:p w14:paraId="77C7AD9D">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_Toc8800 </w:instrText>
      </w:r>
      <w:r>
        <w:rPr>
          <w:i w:val="0"/>
          <w:iCs w:val="0"/>
          <w:szCs w:val="21"/>
          <w:highlight w:val="none"/>
        </w:rPr>
        <w:fldChar w:fldCharType="separate"/>
      </w:r>
      <w:r>
        <w:rPr>
          <w:rFonts w:hint="default" w:ascii="Arial" w:hAnsi="Arial" w:cs="Arial"/>
          <w:i w:val="0"/>
          <w:iCs w:val="0"/>
          <w:szCs w:val="24"/>
        </w:rPr>
        <w:t xml:space="preserve">4.2 </w:t>
      </w:r>
      <w:r>
        <w:rPr>
          <w:rFonts w:hint="eastAsia"/>
          <w:i w:val="0"/>
          <w:iCs w:val="0"/>
          <w:szCs w:val="21"/>
          <w:highlight w:val="none"/>
        </w:rPr>
        <w:t>系统功能</w:t>
      </w:r>
      <w:r>
        <w:tab/>
      </w:r>
      <w:r>
        <w:fldChar w:fldCharType="begin"/>
      </w:r>
      <w:r>
        <w:instrText xml:space="preserve"> PAGEREF _Toc8800 \h </w:instrText>
      </w:r>
      <w:r>
        <w:fldChar w:fldCharType="separate"/>
      </w:r>
      <w:r>
        <w:t>28</w:t>
      </w:r>
      <w:r>
        <w:fldChar w:fldCharType="end"/>
      </w:r>
      <w:r>
        <w:rPr>
          <w:i w:val="0"/>
          <w:iCs w:val="0"/>
          <w:color w:val="auto"/>
          <w:szCs w:val="21"/>
          <w:highlight w:val="none"/>
        </w:rPr>
        <w:fldChar w:fldCharType="end"/>
      </w:r>
    </w:p>
    <w:p w14:paraId="23A2F6C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_Toc7582 </w:instrText>
      </w:r>
      <w:r>
        <w:rPr>
          <w:i w:val="0"/>
          <w:iCs w:val="0"/>
          <w:szCs w:val="21"/>
          <w:highlight w:val="none"/>
        </w:rPr>
        <w:fldChar w:fldCharType="separate"/>
      </w:r>
      <w:r>
        <w:rPr>
          <w:rFonts w:hint="default" w:ascii="Arial" w:hAnsi="Arial" w:cs="Arial"/>
          <w:i w:val="0"/>
          <w:iCs w:val="0"/>
          <w:szCs w:val="22"/>
        </w:rPr>
        <w:t xml:space="preserve">4.2.1 </w:t>
      </w:r>
      <w:r>
        <w:rPr>
          <w:rFonts w:hint="eastAsia"/>
          <w:i w:val="0"/>
          <w:iCs w:val="0"/>
          <w:szCs w:val="22"/>
          <w:highlight w:val="none"/>
        </w:rPr>
        <w:t>视频监测功能</w:t>
      </w:r>
      <w:r>
        <w:tab/>
      </w:r>
      <w:r>
        <w:fldChar w:fldCharType="begin"/>
      </w:r>
      <w:r>
        <w:instrText xml:space="preserve"> PAGEREF _Toc7582 \h </w:instrText>
      </w:r>
      <w:r>
        <w:fldChar w:fldCharType="separate"/>
      </w:r>
      <w:r>
        <w:t>28</w:t>
      </w:r>
      <w:r>
        <w:fldChar w:fldCharType="end"/>
      </w:r>
      <w:r>
        <w:rPr>
          <w:i w:val="0"/>
          <w:iCs w:val="0"/>
          <w:color w:val="auto"/>
          <w:szCs w:val="21"/>
          <w:highlight w:val="none"/>
        </w:rPr>
        <w:fldChar w:fldCharType="end"/>
      </w:r>
    </w:p>
    <w:p w14:paraId="3040D4FB">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_Toc30255 </w:instrText>
      </w:r>
      <w:r>
        <w:rPr>
          <w:i w:val="0"/>
          <w:iCs w:val="0"/>
          <w:szCs w:val="21"/>
          <w:highlight w:val="none"/>
        </w:rPr>
        <w:fldChar w:fldCharType="separate"/>
      </w:r>
      <w:r>
        <w:rPr>
          <w:rFonts w:hint="default" w:ascii="Arial" w:hAnsi="Arial" w:cs="Arial"/>
          <w:i w:val="0"/>
          <w:iCs w:val="0"/>
          <w:szCs w:val="22"/>
        </w:rPr>
        <w:t xml:space="preserve">4.2.2 </w:t>
      </w:r>
      <w:r>
        <w:rPr>
          <w:i w:val="0"/>
          <w:iCs w:val="0"/>
          <w:szCs w:val="15"/>
          <w:highlight w:val="none"/>
        </w:rPr>
        <w:t>语音告警功能</w:t>
      </w:r>
      <w:r>
        <w:tab/>
      </w:r>
      <w:r>
        <w:fldChar w:fldCharType="begin"/>
      </w:r>
      <w:r>
        <w:instrText xml:space="preserve"> PAGEREF _Toc30255 \h </w:instrText>
      </w:r>
      <w:r>
        <w:fldChar w:fldCharType="separate"/>
      </w:r>
      <w:r>
        <w:t>28</w:t>
      </w:r>
      <w:r>
        <w:fldChar w:fldCharType="end"/>
      </w:r>
      <w:r>
        <w:rPr>
          <w:i w:val="0"/>
          <w:iCs w:val="0"/>
          <w:color w:val="auto"/>
          <w:szCs w:val="21"/>
          <w:highlight w:val="none"/>
        </w:rPr>
        <w:fldChar w:fldCharType="end"/>
      </w:r>
    </w:p>
    <w:p w14:paraId="07B2EABA">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_Toc32462 </w:instrText>
      </w:r>
      <w:r>
        <w:rPr>
          <w:i w:val="0"/>
          <w:iCs w:val="0"/>
          <w:szCs w:val="21"/>
          <w:highlight w:val="none"/>
        </w:rPr>
        <w:fldChar w:fldCharType="separate"/>
      </w:r>
      <w:r>
        <w:rPr>
          <w:rFonts w:hint="default" w:ascii="Arial" w:hAnsi="Arial" w:cs="Arial"/>
          <w:i w:val="0"/>
          <w:iCs w:val="0"/>
          <w:szCs w:val="24"/>
        </w:rPr>
        <w:t xml:space="preserve">4.3 </w:t>
      </w:r>
      <w:r>
        <w:rPr>
          <w:rFonts w:hint="eastAsia"/>
          <w:i w:val="0"/>
          <w:iCs w:val="0"/>
          <w:szCs w:val="21"/>
          <w:highlight w:val="none"/>
        </w:rPr>
        <w:t>系统方案</w:t>
      </w:r>
      <w:r>
        <w:tab/>
      </w:r>
      <w:r>
        <w:fldChar w:fldCharType="begin"/>
      </w:r>
      <w:r>
        <w:instrText xml:space="preserve"> PAGEREF _Toc32462 \h </w:instrText>
      </w:r>
      <w:r>
        <w:fldChar w:fldCharType="separate"/>
      </w:r>
      <w:r>
        <w:t>28</w:t>
      </w:r>
      <w:r>
        <w:fldChar w:fldCharType="end"/>
      </w:r>
      <w:r>
        <w:rPr>
          <w:i w:val="0"/>
          <w:iCs w:val="0"/>
          <w:color w:val="auto"/>
          <w:szCs w:val="21"/>
          <w:highlight w:val="none"/>
        </w:rPr>
        <w:fldChar w:fldCharType="end"/>
      </w:r>
    </w:p>
    <w:p w14:paraId="4BB1ADD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_Toc6766 </w:instrText>
      </w:r>
      <w:r>
        <w:rPr>
          <w:i w:val="0"/>
          <w:iCs w:val="0"/>
          <w:szCs w:val="21"/>
          <w:highlight w:val="none"/>
        </w:rPr>
        <w:fldChar w:fldCharType="separate"/>
      </w:r>
      <w:r>
        <w:rPr>
          <w:rFonts w:hint="default" w:ascii="Arial" w:hAnsi="Arial" w:cs="Arial"/>
          <w:i w:val="0"/>
          <w:iCs w:val="0"/>
          <w:szCs w:val="22"/>
        </w:rPr>
        <w:t xml:space="preserve">4.3.1 </w:t>
      </w:r>
      <w:r>
        <w:rPr>
          <w:rFonts w:hint="eastAsia"/>
          <w:i w:val="0"/>
          <w:iCs w:val="0"/>
          <w:szCs w:val="22"/>
          <w:highlight w:val="none"/>
        </w:rPr>
        <w:t>网络方案</w:t>
      </w:r>
      <w:r>
        <w:tab/>
      </w:r>
      <w:r>
        <w:fldChar w:fldCharType="begin"/>
      </w:r>
      <w:r>
        <w:instrText xml:space="preserve"> PAGEREF _Toc6766 \h </w:instrText>
      </w:r>
      <w:r>
        <w:fldChar w:fldCharType="separate"/>
      </w:r>
      <w:r>
        <w:t>28</w:t>
      </w:r>
      <w:r>
        <w:fldChar w:fldCharType="end"/>
      </w:r>
      <w:r>
        <w:rPr>
          <w:i w:val="0"/>
          <w:iCs w:val="0"/>
          <w:color w:val="auto"/>
          <w:szCs w:val="21"/>
          <w:highlight w:val="none"/>
        </w:rPr>
        <w:fldChar w:fldCharType="end"/>
      </w:r>
    </w:p>
    <w:p w14:paraId="5E9E700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_Toc8641 </w:instrText>
      </w:r>
      <w:r>
        <w:rPr>
          <w:i w:val="0"/>
          <w:iCs w:val="0"/>
          <w:szCs w:val="21"/>
          <w:highlight w:val="none"/>
        </w:rPr>
        <w:fldChar w:fldCharType="separate"/>
      </w:r>
      <w:r>
        <w:rPr>
          <w:rFonts w:hint="default" w:ascii="Arial" w:hAnsi="Arial" w:cs="Arial"/>
          <w:i w:val="0"/>
          <w:iCs w:val="0"/>
          <w:szCs w:val="22"/>
        </w:rPr>
        <w:t xml:space="preserve">4.3.2 </w:t>
      </w:r>
      <w:r>
        <w:rPr>
          <w:rFonts w:hint="eastAsia"/>
          <w:i w:val="0"/>
          <w:iCs w:val="0"/>
          <w:szCs w:val="22"/>
          <w:highlight w:val="none"/>
        </w:rPr>
        <w:t>配电方案</w:t>
      </w:r>
      <w:r>
        <w:tab/>
      </w:r>
      <w:r>
        <w:fldChar w:fldCharType="begin"/>
      </w:r>
      <w:r>
        <w:instrText xml:space="preserve"> PAGEREF _Toc8641 \h </w:instrText>
      </w:r>
      <w:r>
        <w:fldChar w:fldCharType="separate"/>
      </w:r>
      <w:r>
        <w:t>28</w:t>
      </w:r>
      <w:r>
        <w:fldChar w:fldCharType="end"/>
      </w:r>
      <w:r>
        <w:rPr>
          <w:i w:val="0"/>
          <w:iCs w:val="0"/>
          <w:color w:val="auto"/>
          <w:szCs w:val="21"/>
          <w:highlight w:val="none"/>
        </w:rPr>
        <w:fldChar w:fldCharType="end"/>
      </w:r>
    </w:p>
    <w:p w14:paraId="50FC9D78">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_Toc19743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5. </w:t>
      </w:r>
      <w:r>
        <w:rPr>
          <w:rFonts w:hint="eastAsia"/>
          <w:i w:val="0"/>
          <w:iCs w:val="0"/>
          <w:szCs w:val="32"/>
          <w:highlight w:val="none"/>
        </w:rPr>
        <w:t>智慧人脸门禁系统</w:t>
      </w:r>
      <w:r>
        <w:tab/>
      </w:r>
      <w:r>
        <w:fldChar w:fldCharType="begin"/>
      </w:r>
      <w:r>
        <w:instrText xml:space="preserve"> PAGEREF _Toc19743 \h </w:instrText>
      </w:r>
      <w:r>
        <w:fldChar w:fldCharType="separate"/>
      </w:r>
      <w:r>
        <w:t>30</w:t>
      </w:r>
      <w:r>
        <w:fldChar w:fldCharType="end"/>
      </w:r>
      <w:r>
        <w:rPr>
          <w:i w:val="0"/>
          <w:iCs w:val="0"/>
          <w:color w:val="auto"/>
          <w:szCs w:val="21"/>
          <w:highlight w:val="none"/>
        </w:rPr>
        <w:fldChar w:fldCharType="end"/>
      </w:r>
    </w:p>
    <w:p w14:paraId="03063A0C">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_Toc22323 </w:instrText>
      </w:r>
      <w:r>
        <w:rPr>
          <w:i w:val="0"/>
          <w:iCs w:val="0"/>
          <w:szCs w:val="21"/>
          <w:highlight w:val="none"/>
        </w:rPr>
        <w:fldChar w:fldCharType="separate"/>
      </w:r>
      <w:r>
        <w:rPr>
          <w:rFonts w:hint="default" w:ascii="Arial" w:hAnsi="Arial" w:cs="Arial"/>
          <w:i w:val="0"/>
          <w:iCs w:val="0"/>
          <w:szCs w:val="24"/>
        </w:rPr>
        <w:t xml:space="preserve">5.1 </w:t>
      </w:r>
      <w:r>
        <w:rPr>
          <w:rFonts w:hint="eastAsia"/>
          <w:i w:val="0"/>
          <w:iCs w:val="0"/>
          <w:szCs w:val="21"/>
          <w:highlight w:val="none"/>
        </w:rPr>
        <w:t>系统方案</w:t>
      </w:r>
      <w:r>
        <w:tab/>
      </w:r>
      <w:r>
        <w:fldChar w:fldCharType="begin"/>
      </w:r>
      <w:r>
        <w:instrText xml:space="preserve"> PAGEREF _Toc22323 \h </w:instrText>
      </w:r>
      <w:r>
        <w:fldChar w:fldCharType="separate"/>
      </w:r>
      <w:r>
        <w:t>30</w:t>
      </w:r>
      <w:r>
        <w:fldChar w:fldCharType="end"/>
      </w:r>
      <w:r>
        <w:rPr>
          <w:i w:val="0"/>
          <w:iCs w:val="0"/>
          <w:color w:val="auto"/>
          <w:szCs w:val="21"/>
          <w:highlight w:val="none"/>
        </w:rPr>
        <w:fldChar w:fldCharType="end"/>
      </w:r>
    </w:p>
    <w:p w14:paraId="58DBB72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_Toc25567 </w:instrText>
      </w:r>
      <w:r>
        <w:rPr>
          <w:i w:val="0"/>
          <w:iCs w:val="0"/>
          <w:szCs w:val="21"/>
          <w:highlight w:val="none"/>
        </w:rPr>
        <w:fldChar w:fldCharType="separate"/>
      </w:r>
      <w:r>
        <w:rPr>
          <w:rFonts w:hint="default" w:ascii="Arial" w:hAnsi="Arial" w:cs="Arial"/>
          <w:i w:val="0"/>
          <w:iCs w:val="0"/>
          <w:szCs w:val="22"/>
        </w:rPr>
        <w:t xml:space="preserve">5.1.1 </w:t>
      </w:r>
      <w:r>
        <w:rPr>
          <w:rFonts w:hint="eastAsia"/>
          <w:i w:val="0"/>
          <w:iCs w:val="0"/>
          <w:szCs w:val="22"/>
          <w:highlight w:val="none"/>
        </w:rPr>
        <w:t>中心系统方案</w:t>
      </w:r>
      <w:r>
        <w:tab/>
      </w:r>
      <w:r>
        <w:fldChar w:fldCharType="begin"/>
      </w:r>
      <w:r>
        <w:instrText xml:space="preserve"> PAGEREF _Toc25567 \h </w:instrText>
      </w:r>
      <w:r>
        <w:fldChar w:fldCharType="separate"/>
      </w:r>
      <w:r>
        <w:t>30</w:t>
      </w:r>
      <w:r>
        <w:fldChar w:fldCharType="end"/>
      </w:r>
      <w:r>
        <w:rPr>
          <w:i w:val="0"/>
          <w:iCs w:val="0"/>
          <w:color w:val="auto"/>
          <w:szCs w:val="21"/>
          <w:highlight w:val="none"/>
        </w:rPr>
        <w:fldChar w:fldCharType="end"/>
      </w:r>
    </w:p>
    <w:p w14:paraId="2F23A3E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_Toc3794 </w:instrText>
      </w:r>
      <w:r>
        <w:rPr>
          <w:i w:val="0"/>
          <w:iCs w:val="0"/>
          <w:szCs w:val="21"/>
          <w:highlight w:val="none"/>
        </w:rPr>
        <w:fldChar w:fldCharType="separate"/>
      </w:r>
      <w:r>
        <w:rPr>
          <w:rFonts w:hint="default" w:ascii="Arial" w:hAnsi="Arial" w:cs="Arial"/>
          <w:i w:val="0"/>
          <w:iCs w:val="0"/>
          <w:szCs w:val="22"/>
        </w:rPr>
        <w:t xml:space="preserve">5.1.2 </w:t>
      </w:r>
      <w:r>
        <w:rPr>
          <w:rFonts w:hint="eastAsia"/>
          <w:i w:val="0"/>
          <w:iCs w:val="0"/>
          <w:szCs w:val="22"/>
          <w:highlight w:val="none"/>
        </w:rPr>
        <w:t>车站系统方案</w:t>
      </w:r>
      <w:r>
        <w:tab/>
      </w:r>
      <w:r>
        <w:fldChar w:fldCharType="begin"/>
      </w:r>
      <w:r>
        <w:instrText xml:space="preserve"> PAGEREF _Toc3794 \h </w:instrText>
      </w:r>
      <w:r>
        <w:fldChar w:fldCharType="separate"/>
      </w:r>
      <w:r>
        <w:t>30</w:t>
      </w:r>
      <w:r>
        <w:fldChar w:fldCharType="end"/>
      </w:r>
      <w:r>
        <w:rPr>
          <w:i w:val="0"/>
          <w:iCs w:val="0"/>
          <w:color w:val="auto"/>
          <w:szCs w:val="21"/>
          <w:highlight w:val="none"/>
        </w:rPr>
        <w:fldChar w:fldCharType="end"/>
      </w:r>
    </w:p>
    <w:p w14:paraId="03A6930F">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_Toc26117 </w:instrText>
      </w:r>
      <w:r>
        <w:rPr>
          <w:i w:val="0"/>
          <w:iCs w:val="0"/>
          <w:szCs w:val="21"/>
          <w:highlight w:val="none"/>
        </w:rPr>
        <w:fldChar w:fldCharType="separate"/>
      </w:r>
      <w:r>
        <w:rPr>
          <w:rFonts w:hint="default" w:ascii="Arial" w:hAnsi="Arial" w:cs="Arial"/>
          <w:i w:val="0"/>
          <w:iCs w:val="0"/>
          <w:szCs w:val="24"/>
        </w:rPr>
        <w:t xml:space="preserve">5.2 </w:t>
      </w:r>
      <w:r>
        <w:rPr>
          <w:rFonts w:hint="eastAsia"/>
          <w:i w:val="0"/>
          <w:iCs w:val="0"/>
          <w:szCs w:val="21"/>
          <w:highlight w:val="none"/>
        </w:rPr>
        <w:t>系统构成</w:t>
      </w:r>
      <w:r>
        <w:tab/>
      </w:r>
      <w:r>
        <w:fldChar w:fldCharType="begin"/>
      </w:r>
      <w:r>
        <w:instrText xml:space="preserve"> PAGEREF _Toc26117 \h </w:instrText>
      </w:r>
      <w:r>
        <w:fldChar w:fldCharType="separate"/>
      </w:r>
      <w:r>
        <w:t>31</w:t>
      </w:r>
      <w:r>
        <w:fldChar w:fldCharType="end"/>
      </w:r>
      <w:r>
        <w:rPr>
          <w:i w:val="0"/>
          <w:iCs w:val="0"/>
          <w:color w:val="auto"/>
          <w:szCs w:val="21"/>
          <w:highlight w:val="none"/>
        </w:rPr>
        <w:fldChar w:fldCharType="end"/>
      </w:r>
    </w:p>
    <w:p w14:paraId="5DDE82C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_Toc14194 </w:instrText>
      </w:r>
      <w:r>
        <w:rPr>
          <w:i w:val="0"/>
          <w:iCs w:val="0"/>
          <w:szCs w:val="21"/>
          <w:highlight w:val="none"/>
        </w:rPr>
        <w:fldChar w:fldCharType="separate"/>
      </w:r>
      <w:r>
        <w:rPr>
          <w:rFonts w:hint="default" w:ascii="Arial" w:hAnsi="Arial" w:cs="Arial"/>
          <w:i w:val="0"/>
          <w:iCs w:val="0"/>
          <w:szCs w:val="22"/>
        </w:rPr>
        <w:t xml:space="preserve">5.2.1 </w:t>
      </w:r>
      <w:r>
        <w:rPr>
          <w:rFonts w:hint="eastAsia"/>
          <w:i w:val="0"/>
          <w:iCs w:val="0"/>
          <w:szCs w:val="22"/>
          <w:highlight w:val="none"/>
        </w:rPr>
        <w:t>中央级系统构成</w:t>
      </w:r>
      <w:r>
        <w:tab/>
      </w:r>
      <w:r>
        <w:fldChar w:fldCharType="begin"/>
      </w:r>
      <w:r>
        <w:instrText xml:space="preserve"> PAGEREF _Toc14194 \h </w:instrText>
      </w:r>
      <w:r>
        <w:fldChar w:fldCharType="separate"/>
      </w:r>
      <w:r>
        <w:t>31</w:t>
      </w:r>
      <w:r>
        <w:fldChar w:fldCharType="end"/>
      </w:r>
      <w:r>
        <w:rPr>
          <w:i w:val="0"/>
          <w:iCs w:val="0"/>
          <w:color w:val="auto"/>
          <w:szCs w:val="21"/>
          <w:highlight w:val="none"/>
        </w:rPr>
        <w:fldChar w:fldCharType="end"/>
      </w:r>
    </w:p>
    <w:p w14:paraId="6E36F06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_Toc24714 </w:instrText>
      </w:r>
      <w:r>
        <w:rPr>
          <w:i w:val="0"/>
          <w:iCs w:val="0"/>
          <w:szCs w:val="21"/>
          <w:highlight w:val="none"/>
        </w:rPr>
        <w:fldChar w:fldCharType="separate"/>
      </w:r>
      <w:r>
        <w:rPr>
          <w:rFonts w:hint="default" w:ascii="Arial" w:hAnsi="Arial" w:cs="Arial"/>
          <w:i w:val="0"/>
          <w:iCs w:val="0"/>
          <w:szCs w:val="22"/>
        </w:rPr>
        <w:t xml:space="preserve">5.2.2 </w:t>
      </w:r>
      <w:r>
        <w:rPr>
          <w:rFonts w:hint="eastAsia"/>
          <w:i w:val="0"/>
          <w:iCs w:val="0"/>
          <w:szCs w:val="22"/>
          <w:highlight w:val="none"/>
        </w:rPr>
        <w:t>车站级系统构成</w:t>
      </w:r>
      <w:r>
        <w:tab/>
      </w:r>
      <w:r>
        <w:fldChar w:fldCharType="begin"/>
      </w:r>
      <w:r>
        <w:instrText xml:space="preserve"> PAGEREF _Toc24714 \h </w:instrText>
      </w:r>
      <w:r>
        <w:fldChar w:fldCharType="separate"/>
      </w:r>
      <w:r>
        <w:t>32</w:t>
      </w:r>
      <w:r>
        <w:fldChar w:fldCharType="end"/>
      </w:r>
      <w:r>
        <w:rPr>
          <w:i w:val="0"/>
          <w:iCs w:val="0"/>
          <w:color w:val="auto"/>
          <w:szCs w:val="21"/>
          <w:highlight w:val="none"/>
        </w:rPr>
        <w:fldChar w:fldCharType="end"/>
      </w:r>
    </w:p>
    <w:p w14:paraId="5C6837CC">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_Toc26073 </w:instrText>
      </w:r>
      <w:r>
        <w:rPr>
          <w:i w:val="0"/>
          <w:iCs w:val="0"/>
          <w:szCs w:val="21"/>
          <w:highlight w:val="none"/>
        </w:rPr>
        <w:fldChar w:fldCharType="separate"/>
      </w:r>
      <w:r>
        <w:rPr>
          <w:rFonts w:hint="default" w:ascii="Arial" w:hAnsi="Arial" w:cs="Arial"/>
          <w:i w:val="0"/>
          <w:iCs w:val="0"/>
          <w:szCs w:val="22"/>
        </w:rPr>
        <w:t xml:space="preserve">5.2.3 </w:t>
      </w:r>
      <w:r>
        <w:rPr>
          <w:rFonts w:hint="eastAsia"/>
          <w:i w:val="0"/>
          <w:iCs w:val="0"/>
          <w:szCs w:val="22"/>
          <w:highlight w:val="none"/>
        </w:rPr>
        <w:t>车辆段系统构成</w:t>
      </w:r>
      <w:r>
        <w:tab/>
      </w:r>
      <w:r>
        <w:fldChar w:fldCharType="begin"/>
      </w:r>
      <w:r>
        <w:instrText xml:space="preserve"> PAGEREF _Toc26073 \h </w:instrText>
      </w:r>
      <w:r>
        <w:fldChar w:fldCharType="separate"/>
      </w:r>
      <w:r>
        <w:t>32</w:t>
      </w:r>
      <w:r>
        <w:fldChar w:fldCharType="end"/>
      </w:r>
      <w:r>
        <w:rPr>
          <w:i w:val="0"/>
          <w:iCs w:val="0"/>
          <w:color w:val="auto"/>
          <w:szCs w:val="21"/>
          <w:highlight w:val="none"/>
        </w:rPr>
        <w:fldChar w:fldCharType="end"/>
      </w:r>
    </w:p>
    <w:p w14:paraId="0805B7C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_Toc2590 </w:instrText>
      </w:r>
      <w:r>
        <w:rPr>
          <w:i w:val="0"/>
          <w:iCs w:val="0"/>
          <w:szCs w:val="21"/>
          <w:highlight w:val="none"/>
        </w:rPr>
        <w:fldChar w:fldCharType="separate"/>
      </w:r>
      <w:r>
        <w:rPr>
          <w:rFonts w:hint="default" w:ascii="Arial" w:hAnsi="Arial" w:cs="Arial"/>
          <w:i w:val="0"/>
          <w:iCs w:val="0"/>
          <w:szCs w:val="22"/>
        </w:rPr>
        <w:t xml:space="preserve">5.2.4 </w:t>
      </w:r>
      <w:r>
        <w:rPr>
          <w:rFonts w:hint="eastAsia"/>
          <w:i w:val="0"/>
          <w:iCs w:val="0"/>
          <w:szCs w:val="22"/>
          <w:highlight w:val="none"/>
        </w:rPr>
        <w:t>就地级系统构成</w:t>
      </w:r>
      <w:r>
        <w:tab/>
      </w:r>
      <w:r>
        <w:fldChar w:fldCharType="begin"/>
      </w:r>
      <w:r>
        <w:instrText xml:space="preserve"> PAGEREF _Toc2590 \h </w:instrText>
      </w:r>
      <w:r>
        <w:fldChar w:fldCharType="separate"/>
      </w:r>
      <w:r>
        <w:t>32</w:t>
      </w:r>
      <w:r>
        <w:fldChar w:fldCharType="end"/>
      </w:r>
      <w:r>
        <w:rPr>
          <w:i w:val="0"/>
          <w:iCs w:val="0"/>
          <w:color w:val="auto"/>
          <w:szCs w:val="21"/>
          <w:highlight w:val="none"/>
        </w:rPr>
        <w:fldChar w:fldCharType="end"/>
      </w:r>
    </w:p>
    <w:p w14:paraId="484EDE83">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_Toc7913 </w:instrText>
      </w:r>
      <w:r>
        <w:rPr>
          <w:i w:val="0"/>
          <w:iCs w:val="0"/>
          <w:szCs w:val="21"/>
          <w:highlight w:val="none"/>
        </w:rPr>
        <w:fldChar w:fldCharType="separate"/>
      </w:r>
      <w:r>
        <w:rPr>
          <w:rFonts w:hint="default" w:ascii="Arial" w:hAnsi="Arial" w:cs="Arial"/>
          <w:i w:val="0"/>
          <w:iCs w:val="0"/>
          <w:szCs w:val="24"/>
        </w:rPr>
        <w:t xml:space="preserve">5.3 </w:t>
      </w:r>
      <w:r>
        <w:rPr>
          <w:rFonts w:hint="eastAsia"/>
          <w:i w:val="0"/>
          <w:iCs w:val="0"/>
          <w:szCs w:val="21"/>
          <w:highlight w:val="none"/>
        </w:rPr>
        <w:t>系统功能</w:t>
      </w:r>
      <w:r>
        <w:tab/>
      </w:r>
      <w:r>
        <w:fldChar w:fldCharType="begin"/>
      </w:r>
      <w:r>
        <w:instrText xml:space="preserve"> PAGEREF _Toc7913 \h </w:instrText>
      </w:r>
      <w:r>
        <w:fldChar w:fldCharType="separate"/>
      </w:r>
      <w:r>
        <w:t>32</w:t>
      </w:r>
      <w:r>
        <w:fldChar w:fldCharType="end"/>
      </w:r>
      <w:r>
        <w:rPr>
          <w:i w:val="0"/>
          <w:iCs w:val="0"/>
          <w:color w:val="auto"/>
          <w:szCs w:val="21"/>
          <w:highlight w:val="none"/>
        </w:rPr>
        <w:fldChar w:fldCharType="end"/>
      </w:r>
    </w:p>
    <w:p w14:paraId="7199CEF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_Toc16679 </w:instrText>
      </w:r>
      <w:r>
        <w:rPr>
          <w:i w:val="0"/>
          <w:iCs w:val="0"/>
          <w:szCs w:val="21"/>
          <w:highlight w:val="none"/>
        </w:rPr>
        <w:fldChar w:fldCharType="separate"/>
      </w:r>
      <w:r>
        <w:rPr>
          <w:rFonts w:hint="default" w:ascii="Arial" w:hAnsi="Arial" w:cs="Arial"/>
          <w:i w:val="0"/>
          <w:iCs w:val="0"/>
          <w:szCs w:val="22"/>
        </w:rPr>
        <w:t xml:space="preserve">5.3.1 </w:t>
      </w:r>
      <w:r>
        <w:rPr>
          <w:rFonts w:hint="eastAsia"/>
          <w:i w:val="0"/>
          <w:iCs w:val="0"/>
          <w:szCs w:val="22"/>
          <w:highlight w:val="none"/>
        </w:rPr>
        <w:t>中央级系统功能</w:t>
      </w:r>
      <w:r>
        <w:tab/>
      </w:r>
      <w:r>
        <w:fldChar w:fldCharType="begin"/>
      </w:r>
      <w:r>
        <w:instrText xml:space="preserve"> PAGEREF _Toc16679 \h </w:instrText>
      </w:r>
      <w:r>
        <w:fldChar w:fldCharType="separate"/>
      </w:r>
      <w:r>
        <w:t>32</w:t>
      </w:r>
      <w:r>
        <w:fldChar w:fldCharType="end"/>
      </w:r>
      <w:r>
        <w:rPr>
          <w:i w:val="0"/>
          <w:iCs w:val="0"/>
          <w:color w:val="auto"/>
          <w:szCs w:val="21"/>
          <w:highlight w:val="none"/>
        </w:rPr>
        <w:fldChar w:fldCharType="end"/>
      </w:r>
    </w:p>
    <w:p w14:paraId="70B2702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_Toc18493 </w:instrText>
      </w:r>
      <w:r>
        <w:rPr>
          <w:i w:val="0"/>
          <w:iCs w:val="0"/>
          <w:szCs w:val="21"/>
          <w:highlight w:val="none"/>
        </w:rPr>
        <w:fldChar w:fldCharType="separate"/>
      </w:r>
      <w:r>
        <w:rPr>
          <w:rFonts w:hint="default" w:ascii="Arial" w:hAnsi="Arial" w:cs="Arial"/>
          <w:i w:val="0"/>
          <w:iCs w:val="0"/>
          <w:szCs w:val="22"/>
        </w:rPr>
        <w:t xml:space="preserve">5.3.2 </w:t>
      </w:r>
      <w:r>
        <w:rPr>
          <w:rFonts w:hint="eastAsia"/>
          <w:i w:val="0"/>
          <w:iCs w:val="0"/>
          <w:szCs w:val="22"/>
          <w:highlight w:val="none"/>
        </w:rPr>
        <w:t>车站级系统功能</w:t>
      </w:r>
      <w:r>
        <w:tab/>
      </w:r>
      <w:r>
        <w:fldChar w:fldCharType="begin"/>
      </w:r>
      <w:r>
        <w:instrText xml:space="preserve"> PAGEREF _Toc18493 \h </w:instrText>
      </w:r>
      <w:r>
        <w:fldChar w:fldCharType="separate"/>
      </w:r>
      <w:r>
        <w:t>33</w:t>
      </w:r>
      <w:r>
        <w:fldChar w:fldCharType="end"/>
      </w:r>
      <w:r>
        <w:rPr>
          <w:i w:val="0"/>
          <w:iCs w:val="0"/>
          <w:color w:val="auto"/>
          <w:szCs w:val="21"/>
          <w:highlight w:val="none"/>
        </w:rPr>
        <w:fldChar w:fldCharType="end"/>
      </w:r>
    </w:p>
    <w:p w14:paraId="1871A0EB">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_Toc31356 </w:instrText>
      </w:r>
      <w:r>
        <w:rPr>
          <w:i w:val="0"/>
          <w:iCs w:val="0"/>
          <w:szCs w:val="21"/>
          <w:highlight w:val="none"/>
        </w:rPr>
        <w:fldChar w:fldCharType="separate"/>
      </w:r>
      <w:r>
        <w:rPr>
          <w:rFonts w:hint="default" w:ascii="Arial" w:hAnsi="Arial" w:cs="Arial"/>
          <w:i w:val="0"/>
          <w:iCs w:val="0"/>
          <w:szCs w:val="24"/>
        </w:rPr>
        <w:t xml:space="preserve">5.4 </w:t>
      </w:r>
      <w:r>
        <w:rPr>
          <w:rFonts w:hint="eastAsia"/>
          <w:i w:val="0"/>
          <w:iCs w:val="0"/>
          <w:szCs w:val="21"/>
          <w:highlight w:val="none"/>
        </w:rPr>
        <w:t>系统主要技术要求</w:t>
      </w:r>
      <w:r>
        <w:tab/>
      </w:r>
      <w:r>
        <w:fldChar w:fldCharType="begin"/>
      </w:r>
      <w:r>
        <w:instrText xml:space="preserve"> PAGEREF _Toc31356 \h </w:instrText>
      </w:r>
      <w:r>
        <w:fldChar w:fldCharType="separate"/>
      </w:r>
      <w:r>
        <w:t>33</w:t>
      </w:r>
      <w:r>
        <w:fldChar w:fldCharType="end"/>
      </w:r>
      <w:r>
        <w:rPr>
          <w:i w:val="0"/>
          <w:iCs w:val="0"/>
          <w:color w:val="auto"/>
          <w:szCs w:val="21"/>
          <w:highlight w:val="none"/>
        </w:rPr>
        <w:fldChar w:fldCharType="end"/>
      </w:r>
    </w:p>
    <w:p w14:paraId="4DD647C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_Toc6761 </w:instrText>
      </w:r>
      <w:r>
        <w:rPr>
          <w:i w:val="0"/>
          <w:iCs w:val="0"/>
          <w:szCs w:val="21"/>
          <w:highlight w:val="none"/>
        </w:rPr>
        <w:fldChar w:fldCharType="separate"/>
      </w:r>
      <w:r>
        <w:rPr>
          <w:rFonts w:hint="default" w:ascii="Arial" w:hAnsi="Arial" w:cs="Arial"/>
          <w:i w:val="0"/>
          <w:iCs w:val="0"/>
          <w:szCs w:val="22"/>
        </w:rPr>
        <w:t xml:space="preserve">5.4.1 </w:t>
      </w:r>
      <w:r>
        <w:rPr>
          <w:rFonts w:hint="eastAsia"/>
          <w:i w:val="0"/>
          <w:iCs w:val="0"/>
          <w:szCs w:val="22"/>
          <w:highlight w:val="none"/>
        </w:rPr>
        <w:t>统一管理</w:t>
      </w:r>
      <w:r>
        <w:tab/>
      </w:r>
      <w:r>
        <w:fldChar w:fldCharType="begin"/>
      </w:r>
      <w:r>
        <w:instrText xml:space="preserve"> PAGEREF _Toc6761 \h </w:instrText>
      </w:r>
      <w:r>
        <w:fldChar w:fldCharType="separate"/>
      </w:r>
      <w:r>
        <w:t>33</w:t>
      </w:r>
      <w:r>
        <w:fldChar w:fldCharType="end"/>
      </w:r>
      <w:r>
        <w:rPr>
          <w:i w:val="0"/>
          <w:iCs w:val="0"/>
          <w:color w:val="auto"/>
          <w:szCs w:val="21"/>
          <w:highlight w:val="none"/>
        </w:rPr>
        <w:fldChar w:fldCharType="end"/>
      </w:r>
    </w:p>
    <w:p w14:paraId="208ACD8B">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_Toc12049 </w:instrText>
      </w:r>
      <w:r>
        <w:rPr>
          <w:i w:val="0"/>
          <w:iCs w:val="0"/>
          <w:szCs w:val="21"/>
          <w:highlight w:val="none"/>
        </w:rPr>
        <w:fldChar w:fldCharType="separate"/>
      </w:r>
      <w:r>
        <w:rPr>
          <w:rFonts w:hint="default" w:ascii="Arial" w:hAnsi="Arial" w:cs="Arial"/>
          <w:i w:val="0"/>
          <w:iCs w:val="0"/>
          <w:szCs w:val="22"/>
        </w:rPr>
        <w:t xml:space="preserve">5.4.2 </w:t>
      </w:r>
      <w:r>
        <w:rPr>
          <w:rFonts w:hint="eastAsia"/>
          <w:i w:val="0"/>
          <w:iCs w:val="0"/>
          <w:szCs w:val="22"/>
          <w:highlight w:val="none"/>
        </w:rPr>
        <w:t>模块化应用</w:t>
      </w:r>
      <w:r>
        <w:tab/>
      </w:r>
      <w:r>
        <w:fldChar w:fldCharType="begin"/>
      </w:r>
      <w:r>
        <w:instrText xml:space="preserve"> PAGEREF _Toc12049 \h </w:instrText>
      </w:r>
      <w:r>
        <w:fldChar w:fldCharType="separate"/>
      </w:r>
      <w:r>
        <w:t>34</w:t>
      </w:r>
      <w:r>
        <w:fldChar w:fldCharType="end"/>
      </w:r>
      <w:r>
        <w:rPr>
          <w:i w:val="0"/>
          <w:iCs w:val="0"/>
          <w:color w:val="auto"/>
          <w:szCs w:val="21"/>
          <w:highlight w:val="none"/>
        </w:rPr>
        <w:fldChar w:fldCharType="end"/>
      </w:r>
    </w:p>
    <w:p w14:paraId="6BA3A9B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_Toc2687 </w:instrText>
      </w:r>
      <w:r>
        <w:rPr>
          <w:i w:val="0"/>
          <w:iCs w:val="0"/>
          <w:szCs w:val="21"/>
          <w:highlight w:val="none"/>
        </w:rPr>
        <w:fldChar w:fldCharType="separate"/>
      </w:r>
      <w:r>
        <w:rPr>
          <w:rFonts w:hint="default" w:ascii="Arial" w:hAnsi="Arial" w:cs="Arial"/>
          <w:i w:val="0"/>
          <w:iCs w:val="0"/>
          <w:szCs w:val="22"/>
        </w:rPr>
        <w:t xml:space="preserve">5.4.3 </w:t>
      </w:r>
      <w:r>
        <w:rPr>
          <w:rFonts w:hint="eastAsia"/>
          <w:i w:val="0"/>
          <w:iCs w:val="0"/>
          <w:szCs w:val="22"/>
          <w:highlight w:val="none"/>
        </w:rPr>
        <w:t>配套管理支持</w:t>
      </w:r>
      <w:r>
        <w:tab/>
      </w:r>
      <w:r>
        <w:fldChar w:fldCharType="begin"/>
      </w:r>
      <w:r>
        <w:instrText xml:space="preserve"> PAGEREF _Toc2687 \h </w:instrText>
      </w:r>
      <w:r>
        <w:fldChar w:fldCharType="separate"/>
      </w:r>
      <w:r>
        <w:t>34</w:t>
      </w:r>
      <w:r>
        <w:fldChar w:fldCharType="end"/>
      </w:r>
      <w:r>
        <w:rPr>
          <w:i w:val="0"/>
          <w:iCs w:val="0"/>
          <w:color w:val="auto"/>
          <w:szCs w:val="21"/>
          <w:highlight w:val="none"/>
        </w:rPr>
        <w:fldChar w:fldCharType="end"/>
      </w:r>
    </w:p>
    <w:p w14:paraId="4F616881">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_Toc2036 </w:instrText>
      </w:r>
      <w:r>
        <w:rPr>
          <w:i w:val="0"/>
          <w:iCs w:val="0"/>
          <w:szCs w:val="21"/>
          <w:highlight w:val="none"/>
        </w:rPr>
        <w:fldChar w:fldCharType="separate"/>
      </w:r>
      <w:r>
        <w:rPr>
          <w:rFonts w:hint="default" w:ascii="Arial" w:hAnsi="Arial" w:cs="Arial"/>
          <w:i w:val="0"/>
          <w:iCs w:val="0"/>
          <w:szCs w:val="24"/>
        </w:rPr>
        <w:t xml:space="preserve">5.5 </w:t>
      </w:r>
      <w:r>
        <w:rPr>
          <w:rFonts w:hint="eastAsia"/>
          <w:i w:val="0"/>
          <w:iCs w:val="0"/>
          <w:szCs w:val="21"/>
          <w:highlight w:val="none"/>
        </w:rPr>
        <w:t>系统电源、接地</w:t>
      </w:r>
      <w:r>
        <w:tab/>
      </w:r>
      <w:r>
        <w:fldChar w:fldCharType="begin"/>
      </w:r>
      <w:r>
        <w:instrText xml:space="preserve"> PAGEREF _Toc2036 \h </w:instrText>
      </w:r>
      <w:r>
        <w:fldChar w:fldCharType="separate"/>
      </w:r>
      <w:r>
        <w:t>35</w:t>
      </w:r>
      <w:r>
        <w:fldChar w:fldCharType="end"/>
      </w:r>
      <w:r>
        <w:rPr>
          <w:i w:val="0"/>
          <w:iCs w:val="0"/>
          <w:color w:val="auto"/>
          <w:szCs w:val="21"/>
          <w:highlight w:val="none"/>
        </w:rPr>
        <w:fldChar w:fldCharType="end"/>
      </w:r>
    </w:p>
    <w:p w14:paraId="6E09D84C">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_Toc3212 </w:instrText>
      </w:r>
      <w:r>
        <w:rPr>
          <w:i w:val="0"/>
          <w:iCs w:val="0"/>
          <w:szCs w:val="21"/>
          <w:highlight w:val="none"/>
        </w:rPr>
        <w:fldChar w:fldCharType="separate"/>
      </w:r>
      <w:r>
        <w:rPr>
          <w:rFonts w:hint="default" w:ascii="Arial" w:hAnsi="Arial" w:cs="Arial"/>
          <w:i w:val="0"/>
          <w:iCs w:val="0"/>
          <w:szCs w:val="24"/>
        </w:rPr>
        <w:t xml:space="preserve">5.6 </w:t>
      </w:r>
      <w:r>
        <w:rPr>
          <w:rFonts w:hint="eastAsia"/>
          <w:i w:val="0"/>
          <w:iCs w:val="0"/>
          <w:szCs w:val="21"/>
          <w:highlight w:val="none"/>
        </w:rPr>
        <w:t>与既有系统的接口</w:t>
      </w:r>
      <w:r>
        <w:tab/>
      </w:r>
      <w:r>
        <w:fldChar w:fldCharType="begin"/>
      </w:r>
      <w:r>
        <w:instrText xml:space="preserve"> PAGEREF _Toc3212 \h </w:instrText>
      </w:r>
      <w:r>
        <w:fldChar w:fldCharType="separate"/>
      </w:r>
      <w:r>
        <w:t>35</w:t>
      </w:r>
      <w:r>
        <w:fldChar w:fldCharType="end"/>
      </w:r>
      <w:r>
        <w:rPr>
          <w:i w:val="0"/>
          <w:iCs w:val="0"/>
          <w:color w:val="auto"/>
          <w:szCs w:val="21"/>
          <w:highlight w:val="none"/>
        </w:rPr>
        <w:fldChar w:fldCharType="end"/>
      </w:r>
    </w:p>
    <w:p w14:paraId="30AABC0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_Toc17227 </w:instrText>
      </w:r>
      <w:r>
        <w:rPr>
          <w:i w:val="0"/>
          <w:iCs w:val="0"/>
          <w:szCs w:val="21"/>
          <w:highlight w:val="none"/>
        </w:rPr>
        <w:fldChar w:fldCharType="separate"/>
      </w:r>
      <w:r>
        <w:rPr>
          <w:rFonts w:hint="default" w:ascii="Arial" w:hAnsi="Arial" w:cs="Arial"/>
          <w:i w:val="0"/>
          <w:iCs w:val="0"/>
          <w:szCs w:val="22"/>
        </w:rPr>
        <w:t xml:space="preserve">5.6.1 </w:t>
      </w:r>
      <w:r>
        <w:rPr>
          <w:rFonts w:hint="eastAsia"/>
          <w:i w:val="0"/>
          <w:iCs w:val="0"/>
          <w:szCs w:val="22"/>
          <w:highlight w:val="none"/>
        </w:rPr>
        <w:t>与ACS系统的接口</w:t>
      </w:r>
      <w:r>
        <w:tab/>
      </w:r>
      <w:r>
        <w:fldChar w:fldCharType="begin"/>
      </w:r>
      <w:r>
        <w:instrText xml:space="preserve"> PAGEREF _Toc17227 \h </w:instrText>
      </w:r>
      <w:r>
        <w:fldChar w:fldCharType="separate"/>
      </w:r>
      <w:r>
        <w:t>35</w:t>
      </w:r>
      <w:r>
        <w:fldChar w:fldCharType="end"/>
      </w:r>
      <w:r>
        <w:rPr>
          <w:i w:val="0"/>
          <w:iCs w:val="0"/>
          <w:color w:val="auto"/>
          <w:szCs w:val="21"/>
          <w:highlight w:val="none"/>
        </w:rPr>
        <w:fldChar w:fldCharType="end"/>
      </w:r>
    </w:p>
    <w:p w14:paraId="4F875A9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_Toc24359 </w:instrText>
      </w:r>
      <w:r>
        <w:rPr>
          <w:i w:val="0"/>
          <w:iCs w:val="0"/>
          <w:szCs w:val="21"/>
          <w:highlight w:val="none"/>
        </w:rPr>
        <w:fldChar w:fldCharType="separate"/>
      </w:r>
      <w:r>
        <w:rPr>
          <w:rFonts w:hint="default" w:ascii="Arial" w:hAnsi="Arial" w:cs="Arial"/>
          <w:i w:val="0"/>
          <w:iCs w:val="0"/>
          <w:szCs w:val="22"/>
        </w:rPr>
        <w:t xml:space="preserve">5.6.2 </w:t>
      </w:r>
      <w:r>
        <w:rPr>
          <w:rFonts w:hint="eastAsia"/>
          <w:i w:val="0"/>
          <w:iCs w:val="0"/>
          <w:szCs w:val="22"/>
          <w:highlight w:val="none"/>
        </w:rPr>
        <w:t>与ISCS系统的接口</w:t>
      </w:r>
      <w:r>
        <w:tab/>
      </w:r>
      <w:r>
        <w:fldChar w:fldCharType="begin"/>
      </w:r>
      <w:r>
        <w:instrText xml:space="preserve"> PAGEREF _Toc24359 \h </w:instrText>
      </w:r>
      <w:r>
        <w:fldChar w:fldCharType="separate"/>
      </w:r>
      <w:r>
        <w:t>36</w:t>
      </w:r>
      <w:r>
        <w:fldChar w:fldCharType="end"/>
      </w:r>
      <w:r>
        <w:rPr>
          <w:i w:val="0"/>
          <w:iCs w:val="0"/>
          <w:color w:val="auto"/>
          <w:szCs w:val="21"/>
          <w:highlight w:val="none"/>
        </w:rPr>
        <w:fldChar w:fldCharType="end"/>
      </w:r>
    </w:p>
    <w:p w14:paraId="7645475A">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_Toc25143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6. </w:t>
      </w:r>
      <w:r>
        <w:rPr>
          <w:rFonts w:hint="eastAsia"/>
          <w:i w:val="0"/>
          <w:iCs w:val="0"/>
          <w:szCs w:val="32"/>
          <w:highlight w:val="none"/>
        </w:rPr>
        <w:t>智能钥匙柜</w:t>
      </w:r>
      <w:r>
        <w:tab/>
      </w:r>
      <w:r>
        <w:fldChar w:fldCharType="begin"/>
      </w:r>
      <w:r>
        <w:instrText xml:space="preserve"> PAGEREF _Toc25143 \h </w:instrText>
      </w:r>
      <w:r>
        <w:fldChar w:fldCharType="separate"/>
      </w:r>
      <w:r>
        <w:t>37</w:t>
      </w:r>
      <w:r>
        <w:fldChar w:fldCharType="end"/>
      </w:r>
      <w:r>
        <w:rPr>
          <w:i w:val="0"/>
          <w:iCs w:val="0"/>
          <w:color w:val="auto"/>
          <w:szCs w:val="21"/>
          <w:highlight w:val="none"/>
        </w:rPr>
        <w:fldChar w:fldCharType="end"/>
      </w:r>
    </w:p>
    <w:p w14:paraId="2CC90BBA">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_Toc20553 </w:instrText>
      </w:r>
      <w:r>
        <w:rPr>
          <w:i w:val="0"/>
          <w:iCs w:val="0"/>
          <w:szCs w:val="21"/>
          <w:highlight w:val="none"/>
        </w:rPr>
        <w:fldChar w:fldCharType="separate"/>
      </w:r>
      <w:r>
        <w:rPr>
          <w:rFonts w:hint="default" w:ascii="Arial" w:hAnsi="Arial" w:cs="Arial"/>
          <w:i w:val="0"/>
          <w:iCs w:val="0"/>
          <w:szCs w:val="24"/>
        </w:rPr>
        <w:t xml:space="preserve">6.1 </w:t>
      </w:r>
      <w:r>
        <w:rPr>
          <w:rFonts w:hint="eastAsia"/>
          <w:i w:val="0"/>
          <w:iCs w:val="0"/>
          <w:szCs w:val="21"/>
          <w:highlight w:val="none"/>
        </w:rPr>
        <w:t>系统方案</w:t>
      </w:r>
      <w:r>
        <w:tab/>
      </w:r>
      <w:r>
        <w:fldChar w:fldCharType="begin"/>
      </w:r>
      <w:r>
        <w:instrText xml:space="preserve"> PAGEREF _Toc20553 \h </w:instrText>
      </w:r>
      <w:r>
        <w:fldChar w:fldCharType="separate"/>
      </w:r>
      <w:r>
        <w:t>37</w:t>
      </w:r>
      <w:r>
        <w:fldChar w:fldCharType="end"/>
      </w:r>
      <w:r>
        <w:rPr>
          <w:i w:val="0"/>
          <w:iCs w:val="0"/>
          <w:color w:val="auto"/>
          <w:szCs w:val="21"/>
          <w:highlight w:val="none"/>
        </w:rPr>
        <w:fldChar w:fldCharType="end"/>
      </w:r>
    </w:p>
    <w:p w14:paraId="16223CC8">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_Toc28353 </w:instrText>
      </w:r>
      <w:r>
        <w:rPr>
          <w:i w:val="0"/>
          <w:iCs w:val="0"/>
          <w:szCs w:val="21"/>
          <w:highlight w:val="none"/>
        </w:rPr>
        <w:fldChar w:fldCharType="separate"/>
      </w:r>
      <w:r>
        <w:rPr>
          <w:rFonts w:hint="default" w:ascii="Arial" w:hAnsi="Arial" w:cs="Arial"/>
          <w:i w:val="0"/>
          <w:iCs w:val="0"/>
          <w:szCs w:val="24"/>
        </w:rPr>
        <w:t xml:space="preserve">6.2 </w:t>
      </w:r>
      <w:r>
        <w:rPr>
          <w:rFonts w:hint="eastAsia"/>
          <w:i w:val="0"/>
          <w:iCs w:val="0"/>
          <w:szCs w:val="21"/>
          <w:highlight w:val="none"/>
        </w:rPr>
        <w:t>系统构成及功能</w:t>
      </w:r>
      <w:r>
        <w:tab/>
      </w:r>
      <w:r>
        <w:fldChar w:fldCharType="begin"/>
      </w:r>
      <w:r>
        <w:instrText xml:space="preserve"> PAGEREF _Toc28353 \h </w:instrText>
      </w:r>
      <w:r>
        <w:fldChar w:fldCharType="separate"/>
      </w:r>
      <w:r>
        <w:t>37</w:t>
      </w:r>
      <w:r>
        <w:fldChar w:fldCharType="end"/>
      </w:r>
      <w:r>
        <w:rPr>
          <w:i w:val="0"/>
          <w:iCs w:val="0"/>
          <w:color w:val="auto"/>
          <w:szCs w:val="21"/>
          <w:highlight w:val="none"/>
        </w:rPr>
        <w:fldChar w:fldCharType="end"/>
      </w:r>
    </w:p>
    <w:p w14:paraId="5C71191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_Toc11775 </w:instrText>
      </w:r>
      <w:r>
        <w:rPr>
          <w:i w:val="0"/>
          <w:iCs w:val="0"/>
          <w:szCs w:val="21"/>
          <w:highlight w:val="none"/>
        </w:rPr>
        <w:fldChar w:fldCharType="separate"/>
      </w:r>
      <w:r>
        <w:rPr>
          <w:rFonts w:hint="default" w:ascii="Arial" w:hAnsi="Arial" w:cs="Arial"/>
          <w:i w:val="0"/>
          <w:iCs w:val="0"/>
          <w:szCs w:val="22"/>
        </w:rPr>
        <w:t xml:space="preserve">6.2.1 </w:t>
      </w:r>
      <w:r>
        <w:rPr>
          <w:rFonts w:hint="eastAsia"/>
          <w:i w:val="0"/>
          <w:iCs w:val="0"/>
          <w:szCs w:val="22"/>
          <w:highlight w:val="none"/>
        </w:rPr>
        <w:t>智能控制终端</w:t>
      </w:r>
      <w:r>
        <w:tab/>
      </w:r>
      <w:r>
        <w:fldChar w:fldCharType="begin"/>
      </w:r>
      <w:r>
        <w:instrText xml:space="preserve"> PAGEREF _Toc11775 \h </w:instrText>
      </w:r>
      <w:r>
        <w:fldChar w:fldCharType="separate"/>
      </w:r>
      <w:r>
        <w:t>37</w:t>
      </w:r>
      <w:r>
        <w:fldChar w:fldCharType="end"/>
      </w:r>
      <w:r>
        <w:rPr>
          <w:i w:val="0"/>
          <w:iCs w:val="0"/>
          <w:color w:val="auto"/>
          <w:szCs w:val="21"/>
          <w:highlight w:val="none"/>
        </w:rPr>
        <w:fldChar w:fldCharType="end"/>
      </w:r>
    </w:p>
    <w:p w14:paraId="0149CAA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_Toc25151 </w:instrText>
      </w:r>
      <w:r>
        <w:rPr>
          <w:i w:val="0"/>
          <w:iCs w:val="0"/>
          <w:szCs w:val="21"/>
          <w:highlight w:val="none"/>
        </w:rPr>
        <w:fldChar w:fldCharType="separate"/>
      </w:r>
      <w:r>
        <w:rPr>
          <w:rFonts w:hint="default" w:ascii="Arial" w:hAnsi="Arial" w:cs="Arial"/>
          <w:i w:val="0"/>
          <w:iCs w:val="0"/>
          <w:szCs w:val="22"/>
        </w:rPr>
        <w:t xml:space="preserve">6.2.2 </w:t>
      </w:r>
      <w:r>
        <w:rPr>
          <w:rFonts w:hint="eastAsia"/>
          <w:i w:val="0"/>
          <w:iCs w:val="0"/>
          <w:szCs w:val="22"/>
          <w:highlight w:val="none"/>
        </w:rPr>
        <w:t>智能钥匙扣</w:t>
      </w:r>
      <w:r>
        <w:tab/>
      </w:r>
      <w:r>
        <w:fldChar w:fldCharType="begin"/>
      </w:r>
      <w:r>
        <w:instrText xml:space="preserve"> PAGEREF _Toc25151 \h </w:instrText>
      </w:r>
      <w:r>
        <w:fldChar w:fldCharType="separate"/>
      </w:r>
      <w:r>
        <w:t>37</w:t>
      </w:r>
      <w:r>
        <w:fldChar w:fldCharType="end"/>
      </w:r>
      <w:r>
        <w:rPr>
          <w:i w:val="0"/>
          <w:iCs w:val="0"/>
          <w:color w:val="auto"/>
          <w:szCs w:val="21"/>
          <w:highlight w:val="none"/>
        </w:rPr>
        <w:fldChar w:fldCharType="end"/>
      </w:r>
    </w:p>
    <w:p w14:paraId="7A96852E">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_Toc27077 </w:instrText>
      </w:r>
      <w:r>
        <w:rPr>
          <w:i w:val="0"/>
          <w:iCs w:val="0"/>
          <w:szCs w:val="21"/>
          <w:highlight w:val="none"/>
        </w:rPr>
        <w:fldChar w:fldCharType="separate"/>
      </w:r>
      <w:r>
        <w:rPr>
          <w:rFonts w:hint="default" w:ascii="Arial" w:hAnsi="Arial" w:cs="Arial"/>
          <w:i w:val="0"/>
          <w:iCs w:val="0"/>
          <w:szCs w:val="22"/>
        </w:rPr>
        <w:t xml:space="preserve">6.2.3 </w:t>
      </w:r>
      <w:r>
        <w:rPr>
          <w:rFonts w:hint="eastAsia"/>
          <w:i w:val="0"/>
          <w:iCs w:val="0"/>
          <w:szCs w:val="22"/>
          <w:highlight w:val="none"/>
        </w:rPr>
        <w:t>管理软件</w:t>
      </w:r>
      <w:r>
        <w:tab/>
      </w:r>
      <w:r>
        <w:fldChar w:fldCharType="begin"/>
      </w:r>
      <w:r>
        <w:instrText xml:space="preserve"> PAGEREF _Toc27077 \h </w:instrText>
      </w:r>
      <w:r>
        <w:fldChar w:fldCharType="separate"/>
      </w:r>
      <w:r>
        <w:t>37</w:t>
      </w:r>
      <w:r>
        <w:fldChar w:fldCharType="end"/>
      </w:r>
      <w:r>
        <w:rPr>
          <w:i w:val="0"/>
          <w:iCs w:val="0"/>
          <w:color w:val="auto"/>
          <w:szCs w:val="21"/>
          <w:highlight w:val="none"/>
        </w:rPr>
        <w:fldChar w:fldCharType="end"/>
      </w:r>
    </w:p>
    <w:p w14:paraId="5F7F1D83">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_Toc14289 </w:instrText>
      </w:r>
      <w:r>
        <w:rPr>
          <w:i w:val="0"/>
          <w:iCs w:val="0"/>
          <w:szCs w:val="21"/>
          <w:highlight w:val="none"/>
        </w:rPr>
        <w:fldChar w:fldCharType="separate"/>
      </w:r>
      <w:r>
        <w:rPr>
          <w:rFonts w:hint="default" w:ascii="Arial" w:hAnsi="Arial" w:cs="Arial"/>
          <w:i w:val="0"/>
          <w:iCs w:val="0"/>
          <w:szCs w:val="24"/>
        </w:rPr>
        <w:t xml:space="preserve">6.3 </w:t>
      </w:r>
      <w:r>
        <w:rPr>
          <w:rFonts w:hint="eastAsia"/>
          <w:i w:val="0"/>
          <w:iCs w:val="0"/>
          <w:szCs w:val="21"/>
          <w:highlight w:val="none"/>
        </w:rPr>
        <w:t>系统接口</w:t>
      </w:r>
      <w:r>
        <w:tab/>
      </w:r>
      <w:r>
        <w:fldChar w:fldCharType="begin"/>
      </w:r>
      <w:r>
        <w:instrText xml:space="preserve"> PAGEREF _Toc14289 \h </w:instrText>
      </w:r>
      <w:r>
        <w:fldChar w:fldCharType="separate"/>
      </w:r>
      <w:r>
        <w:t>38</w:t>
      </w:r>
      <w:r>
        <w:fldChar w:fldCharType="end"/>
      </w:r>
      <w:r>
        <w:rPr>
          <w:i w:val="0"/>
          <w:iCs w:val="0"/>
          <w:color w:val="auto"/>
          <w:szCs w:val="21"/>
          <w:highlight w:val="none"/>
        </w:rPr>
        <w:fldChar w:fldCharType="end"/>
      </w:r>
    </w:p>
    <w:p w14:paraId="6CB0B552">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_Toc27520 </w:instrText>
      </w:r>
      <w:r>
        <w:rPr>
          <w:i w:val="0"/>
          <w:iCs w:val="0"/>
          <w:szCs w:val="21"/>
          <w:highlight w:val="none"/>
        </w:rPr>
        <w:fldChar w:fldCharType="separate"/>
      </w:r>
      <w:r>
        <w:rPr>
          <w:rFonts w:hint="default" w:ascii="Arial" w:hAnsi="Arial" w:cs="Arial"/>
          <w:i w:val="0"/>
          <w:iCs w:val="0"/>
          <w:szCs w:val="24"/>
        </w:rPr>
        <w:t xml:space="preserve">6.4 </w:t>
      </w:r>
      <w:r>
        <w:rPr>
          <w:rFonts w:hint="eastAsia"/>
          <w:i w:val="0"/>
          <w:iCs w:val="0"/>
          <w:szCs w:val="21"/>
          <w:highlight w:val="none"/>
        </w:rPr>
        <w:t>系统电源、接地</w:t>
      </w:r>
      <w:r>
        <w:tab/>
      </w:r>
      <w:r>
        <w:fldChar w:fldCharType="begin"/>
      </w:r>
      <w:r>
        <w:instrText xml:space="preserve"> PAGEREF _Toc27520 \h </w:instrText>
      </w:r>
      <w:r>
        <w:fldChar w:fldCharType="separate"/>
      </w:r>
      <w:r>
        <w:t>38</w:t>
      </w:r>
      <w:r>
        <w:fldChar w:fldCharType="end"/>
      </w:r>
      <w:r>
        <w:rPr>
          <w:i w:val="0"/>
          <w:iCs w:val="0"/>
          <w:color w:val="auto"/>
          <w:szCs w:val="21"/>
          <w:highlight w:val="none"/>
        </w:rPr>
        <w:fldChar w:fldCharType="end"/>
      </w:r>
    </w:p>
    <w:p w14:paraId="60EF497B">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_Toc21485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7. </w:t>
      </w:r>
      <w:r>
        <w:rPr>
          <w:rFonts w:hint="eastAsia"/>
          <w:i w:val="0"/>
          <w:iCs w:val="0"/>
          <w:szCs w:val="32"/>
          <w:highlight w:val="none"/>
        </w:rPr>
        <w:t>智能运维</w:t>
      </w:r>
      <w:r>
        <w:tab/>
      </w:r>
      <w:r>
        <w:fldChar w:fldCharType="begin"/>
      </w:r>
      <w:r>
        <w:instrText xml:space="preserve"> PAGEREF _Toc21485 \h </w:instrText>
      </w:r>
      <w:r>
        <w:fldChar w:fldCharType="separate"/>
      </w:r>
      <w:r>
        <w:t>40</w:t>
      </w:r>
      <w:r>
        <w:fldChar w:fldCharType="end"/>
      </w:r>
      <w:r>
        <w:rPr>
          <w:i w:val="0"/>
          <w:iCs w:val="0"/>
          <w:color w:val="auto"/>
          <w:szCs w:val="21"/>
          <w:highlight w:val="none"/>
        </w:rPr>
        <w:fldChar w:fldCharType="end"/>
      </w:r>
    </w:p>
    <w:p w14:paraId="49B8428C">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_Toc14700 </w:instrText>
      </w:r>
      <w:r>
        <w:rPr>
          <w:i w:val="0"/>
          <w:iCs w:val="0"/>
          <w:szCs w:val="21"/>
          <w:highlight w:val="none"/>
        </w:rPr>
        <w:fldChar w:fldCharType="separate"/>
      </w:r>
      <w:r>
        <w:rPr>
          <w:rFonts w:hint="default" w:ascii="Arial" w:hAnsi="Arial" w:cs="Arial"/>
          <w:i w:val="0"/>
          <w:iCs w:val="0"/>
          <w:szCs w:val="24"/>
        </w:rPr>
        <w:t xml:space="preserve">7.1 </w:t>
      </w:r>
      <w:r>
        <w:rPr>
          <w:rFonts w:hint="eastAsia"/>
          <w:i w:val="0"/>
          <w:iCs w:val="0"/>
          <w:szCs w:val="21"/>
          <w:highlight w:val="none"/>
        </w:rPr>
        <w:t>功能需求</w:t>
      </w:r>
      <w:r>
        <w:tab/>
      </w:r>
      <w:r>
        <w:fldChar w:fldCharType="begin"/>
      </w:r>
      <w:r>
        <w:instrText xml:space="preserve"> PAGEREF _Toc14700 \h </w:instrText>
      </w:r>
      <w:r>
        <w:fldChar w:fldCharType="separate"/>
      </w:r>
      <w:r>
        <w:t>40</w:t>
      </w:r>
      <w:r>
        <w:fldChar w:fldCharType="end"/>
      </w:r>
      <w:r>
        <w:rPr>
          <w:i w:val="0"/>
          <w:iCs w:val="0"/>
          <w:color w:val="auto"/>
          <w:szCs w:val="21"/>
          <w:highlight w:val="none"/>
        </w:rPr>
        <w:fldChar w:fldCharType="end"/>
      </w:r>
    </w:p>
    <w:p w14:paraId="3E3159E1">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_Toc28938 </w:instrText>
      </w:r>
      <w:r>
        <w:rPr>
          <w:i w:val="0"/>
          <w:iCs w:val="0"/>
          <w:szCs w:val="21"/>
          <w:highlight w:val="none"/>
        </w:rPr>
        <w:fldChar w:fldCharType="separate"/>
      </w:r>
      <w:r>
        <w:rPr>
          <w:rFonts w:hint="default" w:ascii="Arial" w:hAnsi="Arial" w:cs="Arial"/>
          <w:i w:val="0"/>
          <w:iCs w:val="0"/>
          <w:szCs w:val="24"/>
        </w:rPr>
        <w:t xml:space="preserve">7.2 </w:t>
      </w:r>
      <w:r>
        <w:rPr>
          <w:rFonts w:hint="eastAsia"/>
          <w:i w:val="0"/>
          <w:iCs w:val="0"/>
          <w:szCs w:val="21"/>
          <w:highlight w:val="none"/>
        </w:rPr>
        <w:t>智能运维平台功能</w:t>
      </w:r>
      <w:r>
        <w:tab/>
      </w:r>
      <w:r>
        <w:fldChar w:fldCharType="begin"/>
      </w:r>
      <w:r>
        <w:instrText xml:space="preserve"> PAGEREF _Toc28938 \h </w:instrText>
      </w:r>
      <w:r>
        <w:fldChar w:fldCharType="separate"/>
      </w:r>
      <w:r>
        <w:t>40</w:t>
      </w:r>
      <w:r>
        <w:fldChar w:fldCharType="end"/>
      </w:r>
      <w:r>
        <w:rPr>
          <w:i w:val="0"/>
          <w:iCs w:val="0"/>
          <w:color w:val="auto"/>
          <w:szCs w:val="21"/>
          <w:highlight w:val="none"/>
        </w:rPr>
        <w:fldChar w:fldCharType="end"/>
      </w:r>
    </w:p>
    <w:p w14:paraId="58FFBE7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_Toc1162 </w:instrText>
      </w:r>
      <w:r>
        <w:rPr>
          <w:i w:val="0"/>
          <w:iCs w:val="0"/>
          <w:szCs w:val="21"/>
          <w:highlight w:val="none"/>
        </w:rPr>
        <w:fldChar w:fldCharType="separate"/>
      </w:r>
      <w:r>
        <w:rPr>
          <w:rFonts w:hint="default" w:ascii="Arial" w:hAnsi="Arial" w:cs="Arial"/>
          <w:i w:val="0"/>
          <w:iCs w:val="0"/>
          <w:szCs w:val="22"/>
        </w:rPr>
        <w:t xml:space="preserve">7.2.1 </w:t>
      </w:r>
      <w:r>
        <w:rPr>
          <w:rFonts w:hint="eastAsia"/>
          <w:i w:val="0"/>
          <w:iCs w:val="0"/>
          <w:szCs w:val="22"/>
          <w:highlight w:val="none"/>
        </w:rPr>
        <w:t>数据接入功能</w:t>
      </w:r>
      <w:r>
        <w:tab/>
      </w:r>
      <w:r>
        <w:fldChar w:fldCharType="begin"/>
      </w:r>
      <w:r>
        <w:instrText xml:space="preserve"> PAGEREF _Toc1162 \h </w:instrText>
      </w:r>
      <w:r>
        <w:fldChar w:fldCharType="separate"/>
      </w:r>
      <w:r>
        <w:t>40</w:t>
      </w:r>
      <w:r>
        <w:fldChar w:fldCharType="end"/>
      </w:r>
      <w:r>
        <w:rPr>
          <w:i w:val="0"/>
          <w:iCs w:val="0"/>
          <w:color w:val="auto"/>
          <w:szCs w:val="21"/>
          <w:highlight w:val="none"/>
        </w:rPr>
        <w:fldChar w:fldCharType="end"/>
      </w:r>
    </w:p>
    <w:p w14:paraId="4FBB79A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_Toc752 </w:instrText>
      </w:r>
      <w:r>
        <w:rPr>
          <w:i w:val="0"/>
          <w:iCs w:val="0"/>
          <w:szCs w:val="21"/>
          <w:highlight w:val="none"/>
        </w:rPr>
        <w:fldChar w:fldCharType="separate"/>
      </w:r>
      <w:r>
        <w:rPr>
          <w:rFonts w:hint="default" w:ascii="Arial" w:hAnsi="Arial" w:cs="Arial"/>
          <w:i w:val="0"/>
          <w:iCs w:val="0"/>
          <w:szCs w:val="22"/>
        </w:rPr>
        <w:t xml:space="preserve">7.2.2 </w:t>
      </w:r>
      <w:r>
        <w:rPr>
          <w:rFonts w:hint="eastAsia"/>
          <w:i w:val="0"/>
          <w:iCs w:val="0"/>
          <w:szCs w:val="22"/>
          <w:highlight w:val="none"/>
        </w:rPr>
        <w:t>智能分析与辅助决策</w:t>
      </w:r>
      <w:r>
        <w:tab/>
      </w:r>
      <w:r>
        <w:fldChar w:fldCharType="begin"/>
      </w:r>
      <w:r>
        <w:instrText xml:space="preserve"> PAGEREF _Toc752 \h </w:instrText>
      </w:r>
      <w:r>
        <w:fldChar w:fldCharType="separate"/>
      </w:r>
      <w:r>
        <w:t>42</w:t>
      </w:r>
      <w:r>
        <w:fldChar w:fldCharType="end"/>
      </w:r>
      <w:r>
        <w:rPr>
          <w:i w:val="0"/>
          <w:iCs w:val="0"/>
          <w:color w:val="auto"/>
          <w:szCs w:val="21"/>
          <w:highlight w:val="none"/>
        </w:rPr>
        <w:fldChar w:fldCharType="end"/>
      </w:r>
    </w:p>
    <w:p w14:paraId="20EF2EC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_Toc25921 </w:instrText>
      </w:r>
      <w:r>
        <w:rPr>
          <w:i w:val="0"/>
          <w:iCs w:val="0"/>
          <w:szCs w:val="21"/>
          <w:highlight w:val="none"/>
        </w:rPr>
        <w:fldChar w:fldCharType="separate"/>
      </w:r>
      <w:r>
        <w:rPr>
          <w:rFonts w:hint="default" w:ascii="Arial" w:hAnsi="Arial" w:cs="Arial"/>
          <w:i w:val="0"/>
          <w:iCs w:val="0"/>
          <w:szCs w:val="22"/>
        </w:rPr>
        <w:t xml:space="preserve">7.2.3 </w:t>
      </w:r>
      <w:r>
        <w:rPr>
          <w:rFonts w:hint="eastAsia"/>
          <w:i w:val="0"/>
          <w:iCs w:val="0"/>
          <w:szCs w:val="22"/>
          <w:highlight w:val="none"/>
        </w:rPr>
        <w:t>通用功能</w:t>
      </w:r>
      <w:r>
        <w:tab/>
      </w:r>
      <w:r>
        <w:fldChar w:fldCharType="begin"/>
      </w:r>
      <w:r>
        <w:instrText xml:space="preserve"> PAGEREF _Toc25921 \h </w:instrText>
      </w:r>
      <w:r>
        <w:fldChar w:fldCharType="separate"/>
      </w:r>
      <w:r>
        <w:t>43</w:t>
      </w:r>
      <w:r>
        <w:fldChar w:fldCharType="end"/>
      </w:r>
      <w:r>
        <w:rPr>
          <w:i w:val="0"/>
          <w:iCs w:val="0"/>
          <w:color w:val="auto"/>
          <w:szCs w:val="21"/>
          <w:highlight w:val="none"/>
        </w:rPr>
        <w:fldChar w:fldCharType="end"/>
      </w:r>
    </w:p>
    <w:p w14:paraId="7BA0ACF5">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_Toc19764 </w:instrText>
      </w:r>
      <w:r>
        <w:rPr>
          <w:i w:val="0"/>
          <w:iCs w:val="0"/>
          <w:szCs w:val="21"/>
          <w:highlight w:val="none"/>
        </w:rPr>
        <w:fldChar w:fldCharType="separate"/>
      </w:r>
      <w:r>
        <w:rPr>
          <w:rFonts w:hint="default" w:ascii="Arial" w:hAnsi="Arial" w:cs="Arial"/>
          <w:i w:val="0"/>
          <w:iCs w:val="0"/>
          <w:szCs w:val="22"/>
        </w:rPr>
        <w:t xml:space="preserve">7.2.4 </w:t>
      </w:r>
      <w:r>
        <w:rPr>
          <w:rFonts w:hint="eastAsia"/>
          <w:i w:val="0"/>
          <w:iCs w:val="0"/>
          <w:szCs w:val="22"/>
          <w:highlight w:val="none"/>
        </w:rPr>
        <w:t>人机交互界面</w:t>
      </w:r>
      <w:r>
        <w:tab/>
      </w:r>
      <w:r>
        <w:fldChar w:fldCharType="begin"/>
      </w:r>
      <w:r>
        <w:instrText xml:space="preserve"> PAGEREF _Toc19764 \h </w:instrText>
      </w:r>
      <w:r>
        <w:fldChar w:fldCharType="separate"/>
      </w:r>
      <w:r>
        <w:t>48</w:t>
      </w:r>
      <w:r>
        <w:fldChar w:fldCharType="end"/>
      </w:r>
      <w:r>
        <w:rPr>
          <w:i w:val="0"/>
          <w:iCs w:val="0"/>
          <w:color w:val="auto"/>
          <w:szCs w:val="21"/>
          <w:highlight w:val="none"/>
        </w:rPr>
        <w:fldChar w:fldCharType="end"/>
      </w:r>
    </w:p>
    <w:p w14:paraId="0727ABE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_Toc12888 </w:instrText>
      </w:r>
      <w:r>
        <w:rPr>
          <w:i w:val="0"/>
          <w:iCs w:val="0"/>
          <w:szCs w:val="21"/>
          <w:highlight w:val="none"/>
        </w:rPr>
        <w:fldChar w:fldCharType="separate"/>
      </w:r>
      <w:r>
        <w:rPr>
          <w:rFonts w:hint="default" w:ascii="Arial" w:hAnsi="Arial" w:cs="Arial"/>
          <w:i w:val="0"/>
          <w:iCs w:val="0"/>
          <w:szCs w:val="22"/>
        </w:rPr>
        <w:t xml:space="preserve">7.2.5 </w:t>
      </w:r>
      <w:r>
        <w:rPr>
          <w:rFonts w:hint="eastAsia"/>
          <w:i w:val="0"/>
          <w:iCs w:val="0"/>
          <w:szCs w:val="22"/>
          <w:highlight w:val="none"/>
        </w:rPr>
        <w:t>数据接口</w:t>
      </w:r>
      <w:r>
        <w:tab/>
      </w:r>
      <w:r>
        <w:fldChar w:fldCharType="begin"/>
      </w:r>
      <w:r>
        <w:instrText xml:space="preserve"> PAGEREF _Toc12888 \h </w:instrText>
      </w:r>
      <w:r>
        <w:fldChar w:fldCharType="separate"/>
      </w:r>
      <w:r>
        <w:t>49</w:t>
      </w:r>
      <w:r>
        <w:fldChar w:fldCharType="end"/>
      </w:r>
      <w:r>
        <w:rPr>
          <w:i w:val="0"/>
          <w:iCs w:val="0"/>
          <w:color w:val="auto"/>
          <w:szCs w:val="21"/>
          <w:highlight w:val="none"/>
        </w:rPr>
        <w:fldChar w:fldCharType="end"/>
      </w:r>
    </w:p>
    <w:p w14:paraId="0D0CC0DF">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_Toc3816 </w:instrText>
      </w:r>
      <w:r>
        <w:rPr>
          <w:i w:val="0"/>
          <w:iCs w:val="0"/>
          <w:szCs w:val="21"/>
          <w:highlight w:val="none"/>
        </w:rPr>
        <w:fldChar w:fldCharType="separate"/>
      </w:r>
      <w:r>
        <w:rPr>
          <w:rFonts w:hint="default" w:ascii="Arial" w:hAnsi="Arial" w:cs="Arial"/>
          <w:i w:val="0"/>
          <w:iCs w:val="0"/>
          <w:szCs w:val="24"/>
        </w:rPr>
        <w:t xml:space="preserve">7.3 </w:t>
      </w:r>
      <w:r>
        <w:rPr>
          <w:rFonts w:hint="eastAsia"/>
          <w:i w:val="0"/>
          <w:iCs w:val="0"/>
          <w:szCs w:val="21"/>
          <w:highlight w:val="none"/>
        </w:rPr>
        <w:t>通信智能运维</w:t>
      </w:r>
      <w:r>
        <w:tab/>
      </w:r>
      <w:r>
        <w:fldChar w:fldCharType="begin"/>
      </w:r>
      <w:r>
        <w:instrText xml:space="preserve"> PAGEREF _Toc3816 \h </w:instrText>
      </w:r>
      <w:r>
        <w:fldChar w:fldCharType="separate"/>
      </w:r>
      <w:r>
        <w:t>49</w:t>
      </w:r>
      <w:r>
        <w:fldChar w:fldCharType="end"/>
      </w:r>
      <w:r>
        <w:rPr>
          <w:i w:val="0"/>
          <w:iCs w:val="0"/>
          <w:color w:val="auto"/>
          <w:szCs w:val="21"/>
          <w:highlight w:val="none"/>
        </w:rPr>
        <w:fldChar w:fldCharType="end"/>
      </w:r>
    </w:p>
    <w:p w14:paraId="6360C36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_Toc27762 </w:instrText>
      </w:r>
      <w:r>
        <w:rPr>
          <w:i w:val="0"/>
          <w:iCs w:val="0"/>
          <w:szCs w:val="21"/>
          <w:highlight w:val="none"/>
        </w:rPr>
        <w:fldChar w:fldCharType="separate"/>
      </w:r>
      <w:r>
        <w:rPr>
          <w:rFonts w:hint="default" w:ascii="Arial" w:hAnsi="Arial" w:cs="Arial"/>
          <w:i w:val="0"/>
          <w:iCs w:val="0"/>
          <w:szCs w:val="22"/>
        </w:rPr>
        <w:t xml:space="preserve">7.3.1 </w:t>
      </w:r>
      <w:r>
        <w:rPr>
          <w:rFonts w:hint="eastAsia"/>
          <w:i w:val="0"/>
          <w:iCs w:val="0"/>
          <w:szCs w:val="22"/>
          <w:highlight w:val="none"/>
        </w:rPr>
        <w:t>系统功能</w:t>
      </w:r>
      <w:r>
        <w:tab/>
      </w:r>
      <w:r>
        <w:fldChar w:fldCharType="begin"/>
      </w:r>
      <w:r>
        <w:instrText xml:space="preserve"> PAGEREF _Toc27762 \h </w:instrText>
      </w:r>
      <w:r>
        <w:fldChar w:fldCharType="separate"/>
      </w:r>
      <w:r>
        <w:t>49</w:t>
      </w:r>
      <w:r>
        <w:fldChar w:fldCharType="end"/>
      </w:r>
      <w:r>
        <w:rPr>
          <w:i w:val="0"/>
          <w:iCs w:val="0"/>
          <w:color w:val="auto"/>
          <w:szCs w:val="21"/>
          <w:highlight w:val="none"/>
        </w:rPr>
        <w:fldChar w:fldCharType="end"/>
      </w:r>
    </w:p>
    <w:p w14:paraId="13DC8595">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_Toc29840 </w:instrText>
      </w:r>
      <w:r>
        <w:rPr>
          <w:i w:val="0"/>
          <w:iCs w:val="0"/>
          <w:szCs w:val="21"/>
          <w:highlight w:val="none"/>
        </w:rPr>
        <w:fldChar w:fldCharType="separate"/>
      </w:r>
      <w:r>
        <w:rPr>
          <w:rFonts w:hint="default" w:ascii="Arial" w:hAnsi="Arial" w:cs="Arial"/>
          <w:i w:val="0"/>
          <w:iCs w:val="0"/>
          <w:szCs w:val="22"/>
        </w:rPr>
        <w:t xml:space="preserve">7.3.2 </w:t>
      </w:r>
      <w:r>
        <w:rPr>
          <w:rFonts w:hint="eastAsia"/>
          <w:i w:val="0"/>
          <w:iCs w:val="0"/>
          <w:szCs w:val="22"/>
          <w:highlight w:val="none"/>
        </w:rPr>
        <w:t>系统接口</w:t>
      </w:r>
      <w:r>
        <w:tab/>
      </w:r>
      <w:r>
        <w:fldChar w:fldCharType="begin"/>
      </w:r>
      <w:r>
        <w:instrText xml:space="preserve"> PAGEREF _Toc29840 \h </w:instrText>
      </w:r>
      <w:r>
        <w:fldChar w:fldCharType="separate"/>
      </w:r>
      <w:r>
        <w:t>55</w:t>
      </w:r>
      <w:r>
        <w:fldChar w:fldCharType="end"/>
      </w:r>
      <w:r>
        <w:rPr>
          <w:i w:val="0"/>
          <w:iCs w:val="0"/>
          <w:color w:val="auto"/>
          <w:szCs w:val="21"/>
          <w:highlight w:val="none"/>
        </w:rPr>
        <w:fldChar w:fldCharType="end"/>
      </w:r>
    </w:p>
    <w:p w14:paraId="706B9216">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_Toc19122 </w:instrText>
      </w:r>
      <w:r>
        <w:rPr>
          <w:i w:val="0"/>
          <w:iCs w:val="0"/>
          <w:szCs w:val="21"/>
          <w:highlight w:val="none"/>
        </w:rPr>
        <w:fldChar w:fldCharType="separate"/>
      </w:r>
      <w:r>
        <w:rPr>
          <w:rFonts w:hint="default" w:ascii="Arial" w:hAnsi="Arial" w:cs="Arial"/>
          <w:i w:val="0"/>
          <w:iCs w:val="0"/>
          <w:szCs w:val="24"/>
        </w:rPr>
        <w:t xml:space="preserve">7.4 </w:t>
      </w:r>
      <w:r>
        <w:rPr>
          <w:rFonts w:hint="eastAsia"/>
          <w:i w:val="0"/>
          <w:iCs w:val="0"/>
          <w:szCs w:val="21"/>
          <w:highlight w:val="none"/>
        </w:rPr>
        <w:t>AFC智能运维</w:t>
      </w:r>
      <w:r>
        <w:tab/>
      </w:r>
      <w:r>
        <w:fldChar w:fldCharType="begin"/>
      </w:r>
      <w:r>
        <w:instrText xml:space="preserve"> PAGEREF _Toc19122 \h </w:instrText>
      </w:r>
      <w:r>
        <w:fldChar w:fldCharType="separate"/>
      </w:r>
      <w:r>
        <w:t>55</w:t>
      </w:r>
      <w:r>
        <w:fldChar w:fldCharType="end"/>
      </w:r>
      <w:r>
        <w:rPr>
          <w:i w:val="0"/>
          <w:iCs w:val="0"/>
          <w:color w:val="auto"/>
          <w:szCs w:val="21"/>
          <w:highlight w:val="none"/>
        </w:rPr>
        <w:fldChar w:fldCharType="end"/>
      </w:r>
    </w:p>
    <w:p w14:paraId="6526780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_Toc19147 </w:instrText>
      </w:r>
      <w:r>
        <w:rPr>
          <w:i w:val="0"/>
          <w:iCs w:val="0"/>
          <w:szCs w:val="21"/>
          <w:highlight w:val="none"/>
        </w:rPr>
        <w:fldChar w:fldCharType="separate"/>
      </w:r>
      <w:r>
        <w:rPr>
          <w:rFonts w:hint="default" w:ascii="Arial" w:hAnsi="Arial" w:cs="Arial"/>
          <w:i w:val="0"/>
          <w:iCs w:val="0"/>
          <w:szCs w:val="22"/>
        </w:rPr>
        <w:t xml:space="preserve">7.4.1 </w:t>
      </w:r>
      <w:r>
        <w:rPr>
          <w:rFonts w:hint="eastAsia"/>
          <w:i w:val="0"/>
          <w:iCs w:val="0"/>
          <w:szCs w:val="22"/>
          <w:highlight w:val="none"/>
        </w:rPr>
        <w:t>系统功能</w:t>
      </w:r>
      <w:r>
        <w:tab/>
      </w:r>
      <w:r>
        <w:fldChar w:fldCharType="begin"/>
      </w:r>
      <w:r>
        <w:instrText xml:space="preserve"> PAGEREF _Toc19147 \h </w:instrText>
      </w:r>
      <w:r>
        <w:fldChar w:fldCharType="separate"/>
      </w:r>
      <w:r>
        <w:t>55</w:t>
      </w:r>
      <w:r>
        <w:fldChar w:fldCharType="end"/>
      </w:r>
      <w:r>
        <w:rPr>
          <w:i w:val="0"/>
          <w:iCs w:val="0"/>
          <w:color w:val="auto"/>
          <w:szCs w:val="21"/>
          <w:highlight w:val="none"/>
        </w:rPr>
        <w:fldChar w:fldCharType="end"/>
      </w:r>
    </w:p>
    <w:p w14:paraId="795633B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_Toc6448 </w:instrText>
      </w:r>
      <w:r>
        <w:rPr>
          <w:i w:val="0"/>
          <w:iCs w:val="0"/>
          <w:szCs w:val="21"/>
          <w:highlight w:val="none"/>
        </w:rPr>
        <w:fldChar w:fldCharType="separate"/>
      </w:r>
      <w:r>
        <w:rPr>
          <w:rFonts w:hint="default" w:ascii="Arial" w:hAnsi="Arial" w:cs="Arial"/>
          <w:i w:val="0"/>
          <w:iCs w:val="0"/>
          <w:szCs w:val="22"/>
        </w:rPr>
        <w:t xml:space="preserve">7.4.2 </w:t>
      </w:r>
      <w:r>
        <w:rPr>
          <w:rFonts w:hint="eastAsia"/>
          <w:i w:val="0"/>
          <w:iCs w:val="0"/>
          <w:szCs w:val="22"/>
          <w:highlight w:val="none"/>
        </w:rPr>
        <w:t>系统接口</w:t>
      </w:r>
      <w:r>
        <w:tab/>
      </w:r>
      <w:r>
        <w:fldChar w:fldCharType="begin"/>
      </w:r>
      <w:r>
        <w:instrText xml:space="preserve"> PAGEREF _Toc6448 \h </w:instrText>
      </w:r>
      <w:r>
        <w:fldChar w:fldCharType="separate"/>
      </w:r>
      <w:r>
        <w:t>60</w:t>
      </w:r>
      <w:r>
        <w:fldChar w:fldCharType="end"/>
      </w:r>
      <w:r>
        <w:rPr>
          <w:i w:val="0"/>
          <w:iCs w:val="0"/>
          <w:color w:val="auto"/>
          <w:szCs w:val="21"/>
          <w:highlight w:val="none"/>
        </w:rPr>
        <w:fldChar w:fldCharType="end"/>
      </w:r>
    </w:p>
    <w:p w14:paraId="1455F42C">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_Toc32609 </w:instrText>
      </w:r>
      <w:r>
        <w:rPr>
          <w:i w:val="0"/>
          <w:iCs w:val="0"/>
          <w:szCs w:val="21"/>
          <w:highlight w:val="none"/>
        </w:rPr>
        <w:fldChar w:fldCharType="separate"/>
      </w:r>
      <w:r>
        <w:rPr>
          <w:rFonts w:hint="default" w:ascii="Arial" w:hAnsi="Arial" w:cs="Arial"/>
          <w:i w:val="0"/>
          <w:iCs w:val="0"/>
          <w:szCs w:val="24"/>
        </w:rPr>
        <w:t xml:space="preserve">7.5 </w:t>
      </w:r>
      <w:r>
        <w:rPr>
          <w:rFonts w:hint="eastAsia"/>
          <w:i w:val="0"/>
          <w:iCs w:val="0"/>
          <w:szCs w:val="21"/>
          <w:highlight w:val="none"/>
        </w:rPr>
        <w:t>电扶梯智能运维</w:t>
      </w:r>
      <w:r>
        <w:tab/>
      </w:r>
      <w:r>
        <w:fldChar w:fldCharType="begin"/>
      </w:r>
      <w:r>
        <w:instrText xml:space="preserve"> PAGEREF _Toc32609 \h </w:instrText>
      </w:r>
      <w:r>
        <w:fldChar w:fldCharType="separate"/>
      </w:r>
      <w:r>
        <w:t>61</w:t>
      </w:r>
      <w:r>
        <w:fldChar w:fldCharType="end"/>
      </w:r>
      <w:r>
        <w:rPr>
          <w:i w:val="0"/>
          <w:iCs w:val="0"/>
          <w:color w:val="auto"/>
          <w:szCs w:val="21"/>
          <w:highlight w:val="none"/>
        </w:rPr>
        <w:fldChar w:fldCharType="end"/>
      </w:r>
    </w:p>
    <w:p w14:paraId="4760705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_Toc24676 </w:instrText>
      </w:r>
      <w:r>
        <w:rPr>
          <w:i w:val="0"/>
          <w:iCs w:val="0"/>
          <w:szCs w:val="21"/>
          <w:highlight w:val="none"/>
        </w:rPr>
        <w:fldChar w:fldCharType="separate"/>
      </w:r>
      <w:r>
        <w:rPr>
          <w:rFonts w:hint="default" w:ascii="Arial" w:hAnsi="Arial" w:cs="Arial"/>
          <w:i w:val="0"/>
          <w:iCs w:val="0"/>
          <w:szCs w:val="22"/>
        </w:rPr>
        <w:t xml:space="preserve">7.5.1 </w:t>
      </w:r>
      <w:r>
        <w:rPr>
          <w:rFonts w:hint="eastAsia"/>
          <w:i w:val="0"/>
          <w:iCs w:val="0"/>
          <w:szCs w:val="22"/>
          <w:highlight w:val="none"/>
        </w:rPr>
        <w:t>系统功能</w:t>
      </w:r>
      <w:r>
        <w:tab/>
      </w:r>
      <w:r>
        <w:fldChar w:fldCharType="begin"/>
      </w:r>
      <w:r>
        <w:instrText xml:space="preserve"> PAGEREF _Toc24676 \h </w:instrText>
      </w:r>
      <w:r>
        <w:fldChar w:fldCharType="separate"/>
      </w:r>
      <w:r>
        <w:t>61</w:t>
      </w:r>
      <w:r>
        <w:fldChar w:fldCharType="end"/>
      </w:r>
      <w:r>
        <w:rPr>
          <w:i w:val="0"/>
          <w:iCs w:val="0"/>
          <w:color w:val="auto"/>
          <w:szCs w:val="21"/>
          <w:highlight w:val="none"/>
        </w:rPr>
        <w:fldChar w:fldCharType="end"/>
      </w:r>
    </w:p>
    <w:p w14:paraId="48D57F5C">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_Toc11144 </w:instrText>
      </w:r>
      <w:r>
        <w:rPr>
          <w:i w:val="0"/>
          <w:iCs w:val="0"/>
          <w:szCs w:val="21"/>
          <w:highlight w:val="none"/>
        </w:rPr>
        <w:fldChar w:fldCharType="separate"/>
      </w:r>
      <w:r>
        <w:rPr>
          <w:rFonts w:hint="default" w:ascii="Arial" w:hAnsi="Arial" w:cs="Arial"/>
          <w:i w:val="0"/>
          <w:iCs w:val="0"/>
          <w:szCs w:val="22"/>
        </w:rPr>
        <w:t xml:space="preserve">7.5.2 </w:t>
      </w:r>
      <w:r>
        <w:rPr>
          <w:rFonts w:hint="eastAsia"/>
          <w:i w:val="0"/>
          <w:iCs w:val="0"/>
          <w:szCs w:val="22"/>
          <w:highlight w:val="none"/>
        </w:rPr>
        <w:t>系统接口</w:t>
      </w:r>
      <w:r>
        <w:tab/>
      </w:r>
      <w:r>
        <w:fldChar w:fldCharType="begin"/>
      </w:r>
      <w:r>
        <w:instrText xml:space="preserve"> PAGEREF _Toc11144 \h </w:instrText>
      </w:r>
      <w:r>
        <w:fldChar w:fldCharType="separate"/>
      </w:r>
      <w:r>
        <w:t>66</w:t>
      </w:r>
      <w:r>
        <w:fldChar w:fldCharType="end"/>
      </w:r>
      <w:r>
        <w:rPr>
          <w:i w:val="0"/>
          <w:iCs w:val="0"/>
          <w:color w:val="auto"/>
          <w:szCs w:val="21"/>
          <w:highlight w:val="none"/>
        </w:rPr>
        <w:fldChar w:fldCharType="end"/>
      </w:r>
    </w:p>
    <w:p w14:paraId="6D9FCCFB">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_Toc17597 </w:instrText>
      </w:r>
      <w:r>
        <w:rPr>
          <w:i w:val="0"/>
          <w:iCs w:val="0"/>
          <w:szCs w:val="21"/>
          <w:highlight w:val="none"/>
        </w:rPr>
        <w:fldChar w:fldCharType="separate"/>
      </w:r>
      <w:r>
        <w:rPr>
          <w:rFonts w:hint="default" w:ascii="Arial" w:hAnsi="Arial" w:cs="Arial"/>
          <w:i w:val="0"/>
          <w:iCs w:val="0"/>
          <w:szCs w:val="24"/>
        </w:rPr>
        <w:t xml:space="preserve">7.6 </w:t>
      </w:r>
      <w:r>
        <w:rPr>
          <w:rFonts w:hint="eastAsia"/>
          <w:i w:val="0"/>
          <w:iCs w:val="0"/>
          <w:szCs w:val="21"/>
          <w:highlight w:val="none"/>
        </w:rPr>
        <w:t>站台门智能运维</w:t>
      </w:r>
      <w:r>
        <w:tab/>
      </w:r>
      <w:r>
        <w:fldChar w:fldCharType="begin"/>
      </w:r>
      <w:r>
        <w:instrText xml:space="preserve"> PAGEREF _Toc17597 \h </w:instrText>
      </w:r>
      <w:r>
        <w:fldChar w:fldCharType="separate"/>
      </w:r>
      <w:r>
        <w:t>67</w:t>
      </w:r>
      <w:r>
        <w:fldChar w:fldCharType="end"/>
      </w:r>
      <w:r>
        <w:rPr>
          <w:i w:val="0"/>
          <w:iCs w:val="0"/>
          <w:color w:val="auto"/>
          <w:szCs w:val="21"/>
          <w:highlight w:val="none"/>
        </w:rPr>
        <w:fldChar w:fldCharType="end"/>
      </w:r>
    </w:p>
    <w:p w14:paraId="085F0A19">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_Toc31146 </w:instrText>
      </w:r>
      <w:r>
        <w:rPr>
          <w:i w:val="0"/>
          <w:iCs w:val="0"/>
          <w:szCs w:val="21"/>
          <w:highlight w:val="none"/>
        </w:rPr>
        <w:fldChar w:fldCharType="separate"/>
      </w:r>
      <w:r>
        <w:rPr>
          <w:rFonts w:hint="default" w:ascii="Arial" w:hAnsi="Arial" w:cs="Arial"/>
          <w:i w:val="0"/>
          <w:iCs w:val="0"/>
          <w:szCs w:val="22"/>
          <w:lang w:val="en-US"/>
        </w:rPr>
        <w:t xml:space="preserve">7.6.1 </w:t>
      </w:r>
      <w:r>
        <w:rPr>
          <w:rFonts w:hint="eastAsia"/>
          <w:i w:val="0"/>
          <w:iCs w:val="0"/>
          <w:szCs w:val="22"/>
          <w:highlight w:val="none"/>
          <w:lang w:val="en-US"/>
        </w:rPr>
        <w:t>系统架构与数据采集</w:t>
      </w:r>
      <w:r>
        <w:tab/>
      </w:r>
      <w:r>
        <w:fldChar w:fldCharType="begin"/>
      </w:r>
      <w:r>
        <w:instrText xml:space="preserve"> PAGEREF _Toc31146 \h </w:instrText>
      </w:r>
      <w:r>
        <w:fldChar w:fldCharType="separate"/>
      </w:r>
      <w:r>
        <w:t>67</w:t>
      </w:r>
      <w:r>
        <w:fldChar w:fldCharType="end"/>
      </w:r>
      <w:r>
        <w:rPr>
          <w:i w:val="0"/>
          <w:iCs w:val="0"/>
          <w:color w:val="auto"/>
          <w:szCs w:val="21"/>
          <w:highlight w:val="none"/>
        </w:rPr>
        <w:fldChar w:fldCharType="end"/>
      </w:r>
    </w:p>
    <w:p w14:paraId="231047C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_Toc18416 </w:instrText>
      </w:r>
      <w:r>
        <w:rPr>
          <w:i w:val="0"/>
          <w:iCs w:val="0"/>
          <w:szCs w:val="21"/>
          <w:highlight w:val="none"/>
        </w:rPr>
        <w:fldChar w:fldCharType="separate"/>
      </w:r>
      <w:r>
        <w:rPr>
          <w:rFonts w:hint="default" w:ascii="Arial" w:hAnsi="Arial" w:cs="Arial"/>
          <w:i w:val="0"/>
          <w:iCs w:val="0"/>
          <w:szCs w:val="22"/>
          <w:lang w:val="en-US"/>
        </w:rPr>
        <w:t xml:space="preserve">7.6.2 </w:t>
      </w:r>
      <w:r>
        <w:rPr>
          <w:rFonts w:hint="eastAsia"/>
          <w:i w:val="0"/>
          <w:iCs w:val="0"/>
          <w:szCs w:val="22"/>
          <w:highlight w:val="none"/>
          <w:lang w:val="en-US"/>
        </w:rPr>
        <w:t>系统</w:t>
      </w:r>
      <w:r>
        <w:rPr>
          <w:rFonts w:hint="eastAsia"/>
          <w:i w:val="0"/>
          <w:iCs w:val="0"/>
          <w:szCs w:val="22"/>
          <w:highlight w:val="none"/>
          <w:lang w:val="en-US" w:eastAsia="zh-CN"/>
        </w:rPr>
        <w:t>功能</w:t>
      </w:r>
      <w:r>
        <w:tab/>
      </w:r>
      <w:r>
        <w:fldChar w:fldCharType="begin"/>
      </w:r>
      <w:r>
        <w:instrText xml:space="preserve"> PAGEREF _Toc18416 \h </w:instrText>
      </w:r>
      <w:r>
        <w:fldChar w:fldCharType="separate"/>
      </w:r>
      <w:r>
        <w:t>68</w:t>
      </w:r>
      <w:r>
        <w:fldChar w:fldCharType="end"/>
      </w:r>
      <w:r>
        <w:rPr>
          <w:i w:val="0"/>
          <w:iCs w:val="0"/>
          <w:color w:val="auto"/>
          <w:szCs w:val="21"/>
          <w:highlight w:val="none"/>
        </w:rPr>
        <w:fldChar w:fldCharType="end"/>
      </w:r>
    </w:p>
    <w:p w14:paraId="09A73EA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_Toc2539 </w:instrText>
      </w:r>
      <w:r>
        <w:rPr>
          <w:i w:val="0"/>
          <w:iCs w:val="0"/>
          <w:szCs w:val="21"/>
          <w:highlight w:val="none"/>
        </w:rPr>
        <w:fldChar w:fldCharType="separate"/>
      </w:r>
      <w:r>
        <w:rPr>
          <w:rFonts w:hint="default" w:ascii="Arial" w:hAnsi="Arial" w:cs="Arial"/>
          <w:i w:val="0"/>
          <w:iCs w:val="0"/>
          <w:szCs w:val="22"/>
        </w:rPr>
        <w:t xml:space="preserve">7.6.3 </w:t>
      </w:r>
      <w:r>
        <w:rPr>
          <w:rFonts w:hint="eastAsia"/>
          <w:i w:val="0"/>
          <w:iCs w:val="0"/>
          <w:szCs w:val="22"/>
          <w:highlight w:val="none"/>
        </w:rPr>
        <w:t>系统接口</w:t>
      </w:r>
      <w:r>
        <w:tab/>
      </w:r>
      <w:r>
        <w:fldChar w:fldCharType="begin"/>
      </w:r>
      <w:r>
        <w:instrText xml:space="preserve"> PAGEREF _Toc2539 \h </w:instrText>
      </w:r>
      <w:r>
        <w:fldChar w:fldCharType="separate"/>
      </w:r>
      <w:r>
        <w:t>73</w:t>
      </w:r>
      <w:r>
        <w:fldChar w:fldCharType="end"/>
      </w:r>
      <w:r>
        <w:rPr>
          <w:i w:val="0"/>
          <w:iCs w:val="0"/>
          <w:color w:val="auto"/>
          <w:szCs w:val="21"/>
          <w:highlight w:val="none"/>
        </w:rPr>
        <w:fldChar w:fldCharType="end"/>
      </w:r>
    </w:p>
    <w:p w14:paraId="674DDB5C">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_Toc8647 </w:instrText>
      </w:r>
      <w:r>
        <w:rPr>
          <w:i w:val="0"/>
          <w:iCs w:val="0"/>
          <w:szCs w:val="21"/>
          <w:highlight w:val="none"/>
        </w:rPr>
        <w:fldChar w:fldCharType="separate"/>
      </w:r>
      <w:r>
        <w:rPr>
          <w:rFonts w:hint="default" w:ascii="Arial" w:hAnsi="Arial" w:cs="Arial"/>
          <w:i w:val="0"/>
          <w:iCs w:val="0"/>
          <w:szCs w:val="24"/>
        </w:rPr>
        <w:t xml:space="preserve">7.7 </w:t>
      </w:r>
      <w:r>
        <w:rPr>
          <w:rFonts w:hint="eastAsia"/>
          <w:i w:val="0"/>
          <w:iCs w:val="0"/>
          <w:szCs w:val="21"/>
          <w:highlight w:val="none"/>
        </w:rPr>
        <w:t>供电智能运维</w:t>
      </w:r>
      <w:r>
        <w:tab/>
      </w:r>
      <w:r>
        <w:fldChar w:fldCharType="begin"/>
      </w:r>
      <w:r>
        <w:instrText xml:space="preserve"> PAGEREF _Toc8647 \h </w:instrText>
      </w:r>
      <w:r>
        <w:fldChar w:fldCharType="separate"/>
      </w:r>
      <w:r>
        <w:t>74</w:t>
      </w:r>
      <w:r>
        <w:fldChar w:fldCharType="end"/>
      </w:r>
      <w:r>
        <w:rPr>
          <w:i w:val="0"/>
          <w:iCs w:val="0"/>
          <w:color w:val="auto"/>
          <w:szCs w:val="21"/>
          <w:highlight w:val="none"/>
        </w:rPr>
        <w:fldChar w:fldCharType="end"/>
      </w:r>
    </w:p>
    <w:p w14:paraId="4024102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_Toc21562 </w:instrText>
      </w:r>
      <w:r>
        <w:rPr>
          <w:i w:val="0"/>
          <w:iCs w:val="0"/>
          <w:szCs w:val="21"/>
          <w:highlight w:val="none"/>
        </w:rPr>
        <w:fldChar w:fldCharType="separate"/>
      </w:r>
      <w:r>
        <w:rPr>
          <w:rFonts w:hint="default" w:ascii="Arial" w:hAnsi="Arial" w:cs="Arial"/>
          <w:i w:val="0"/>
          <w:iCs w:val="0"/>
          <w:szCs w:val="22"/>
        </w:rPr>
        <w:t xml:space="preserve">7.7.1 </w:t>
      </w:r>
      <w:r>
        <w:rPr>
          <w:rFonts w:hint="eastAsia"/>
          <w:i w:val="0"/>
          <w:iCs w:val="0"/>
          <w:szCs w:val="22"/>
          <w:highlight w:val="none"/>
        </w:rPr>
        <w:t>系统方案</w:t>
      </w:r>
      <w:r>
        <w:tab/>
      </w:r>
      <w:r>
        <w:fldChar w:fldCharType="begin"/>
      </w:r>
      <w:r>
        <w:instrText xml:space="preserve"> PAGEREF _Toc21562 \h </w:instrText>
      </w:r>
      <w:r>
        <w:fldChar w:fldCharType="separate"/>
      </w:r>
      <w:r>
        <w:t>74</w:t>
      </w:r>
      <w:r>
        <w:fldChar w:fldCharType="end"/>
      </w:r>
      <w:r>
        <w:rPr>
          <w:i w:val="0"/>
          <w:iCs w:val="0"/>
          <w:color w:val="auto"/>
          <w:szCs w:val="21"/>
          <w:highlight w:val="none"/>
        </w:rPr>
        <w:fldChar w:fldCharType="end"/>
      </w:r>
    </w:p>
    <w:p w14:paraId="30F83711">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_Toc21632 </w:instrText>
      </w:r>
      <w:r>
        <w:rPr>
          <w:i w:val="0"/>
          <w:iCs w:val="0"/>
          <w:szCs w:val="21"/>
          <w:highlight w:val="none"/>
        </w:rPr>
        <w:fldChar w:fldCharType="separate"/>
      </w:r>
      <w:r>
        <w:rPr>
          <w:rFonts w:hint="default" w:ascii="Arial" w:hAnsi="Arial" w:cs="Arial"/>
          <w:i w:val="0"/>
          <w:iCs w:val="0"/>
          <w:szCs w:val="22"/>
        </w:rPr>
        <w:t xml:space="preserve">7.7.2 </w:t>
      </w:r>
      <w:r>
        <w:rPr>
          <w:rFonts w:hint="eastAsia"/>
          <w:i w:val="0"/>
          <w:iCs w:val="0"/>
          <w:szCs w:val="22"/>
          <w:highlight w:val="none"/>
        </w:rPr>
        <w:t>系统功能</w:t>
      </w:r>
      <w:r>
        <w:tab/>
      </w:r>
      <w:r>
        <w:fldChar w:fldCharType="begin"/>
      </w:r>
      <w:r>
        <w:instrText xml:space="preserve"> PAGEREF _Toc21632 \h </w:instrText>
      </w:r>
      <w:r>
        <w:fldChar w:fldCharType="separate"/>
      </w:r>
      <w:r>
        <w:t>76</w:t>
      </w:r>
      <w:r>
        <w:fldChar w:fldCharType="end"/>
      </w:r>
      <w:r>
        <w:rPr>
          <w:i w:val="0"/>
          <w:iCs w:val="0"/>
          <w:color w:val="auto"/>
          <w:szCs w:val="21"/>
          <w:highlight w:val="none"/>
        </w:rPr>
        <w:fldChar w:fldCharType="end"/>
      </w:r>
    </w:p>
    <w:p w14:paraId="2048611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_Toc15297 </w:instrText>
      </w:r>
      <w:r>
        <w:rPr>
          <w:i w:val="0"/>
          <w:iCs w:val="0"/>
          <w:szCs w:val="21"/>
          <w:highlight w:val="none"/>
        </w:rPr>
        <w:fldChar w:fldCharType="separate"/>
      </w:r>
      <w:r>
        <w:rPr>
          <w:rFonts w:hint="default" w:ascii="Arial" w:hAnsi="Arial" w:cs="Arial"/>
          <w:i w:val="0"/>
          <w:iCs w:val="0"/>
          <w:szCs w:val="22"/>
        </w:rPr>
        <w:t xml:space="preserve">7.7.3 </w:t>
      </w:r>
      <w:r>
        <w:rPr>
          <w:rFonts w:hint="eastAsia"/>
          <w:i w:val="0"/>
          <w:iCs w:val="0"/>
          <w:szCs w:val="22"/>
          <w:highlight w:val="none"/>
        </w:rPr>
        <w:t>系统接口</w:t>
      </w:r>
      <w:r>
        <w:tab/>
      </w:r>
      <w:r>
        <w:fldChar w:fldCharType="begin"/>
      </w:r>
      <w:r>
        <w:instrText xml:space="preserve"> PAGEREF _Toc15297 \h </w:instrText>
      </w:r>
      <w:r>
        <w:fldChar w:fldCharType="separate"/>
      </w:r>
      <w:r>
        <w:t>83</w:t>
      </w:r>
      <w:r>
        <w:fldChar w:fldCharType="end"/>
      </w:r>
      <w:r>
        <w:rPr>
          <w:i w:val="0"/>
          <w:iCs w:val="0"/>
          <w:color w:val="auto"/>
          <w:szCs w:val="21"/>
          <w:highlight w:val="none"/>
        </w:rPr>
        <w:fldChar w:fldCharType="end"/>
      </w:r>
    </w:p>
    <w:p w14:paraId="222C9515">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_Toc244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8. </w:t>
      </w:r>
      <w:r>
        <w:rPr>
          <w:rFonts w:hint="eastAsia"/>
          <w:i w:val="0"/>
          <w:iCs w:val="0"/>
          <w:szCs w:val="32"/>
          <w:highlight w:val="none"/>
        </w:rPr>
        <w:t>智慧公寓管理系统</w:t>
      </w:r>
      <w:r>
        <w:tab/>
      </w:r>
      <w:r>
        <w:fldChar w:fldCharType="begin"/>
      </w:r>
      <w:r>
        <w:instrText xml:space="preserve"> PAGEREF _Toc244 \h </w:instrText>
      </w:r>
      <w:r>
        <w:fldChar w:fldCharType="separate"/>
      </w:r>
      <w:r>
        <w:t>85</w:t>
      </w:r>
      <w:r>
        <w:fldChar w:fldCharType="end"/>
      </w:r>
      <w:r>
        <w:rPr>
          <w:i w:val="0"/>
          <w:iCs w:val="0"/>
          <w:color w:val="auto"/>
          <w:szCs w:val="21"/>
          <w:highlight w:val="none"/>
        </w:rPr>
        <w:fldChar w:fldCharType="end"/>
      </w:r>
    </w:p>
    <w:p w14:paraId="5FCBBB1E">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_Toc26342 </w:instrText>
      </w:r>
      <w:r>
        <w:rPr>
          <w:i w:val="0"/>
          <w:iCs w:val="0"/>
          <w:szCs w:val="21"/>
          <w:highlight w:val="none"/>
        </w:rPr>
        <w:fldChar w:fldCharType="separate"/>
      </w:r>
      <w:r>
        <w:rPr>
          <w:rFonts w:hint="default" w:ascii="Arial" w:hAnsi="Arial" w:cs="Arial"/>
          <w:i w:val="0"/>
          <w:iCs w:val="0"/>
          <w:szCs w:val="24"/>
        </w:rPr>
        <w:t xml:space="preserve">8.1 </w:t>
      </w:r>
      <w:r>
        <w:rPr>
          <w:rFonts w:hint="eastAsia"/>
          <w:i w:val="0"/>
          <w:iCs w:val="0"/>
          <w:szCs w:val="21"/>
          <w:highlight w:val="none"/>
        </w:rPr>
        <w:t>系统概述</w:t>
      </w:r>
      <w:r>
        <w:tab/>
      </w:r>
      <w:r>
        <w:fldChar w:fldCharType="begin"/>
      </w:r>
      <w:r>
        <w:instrText xml:space="preserve"> PAGEREF _Toc26342 \h </w:instrText>
      </w:r>
      <w:r>
        <w:fldChar w:fldCharType="separate"/>
      </w:r>
      <w:r>
        <w:t>85</w:t>
      </w:r>
      <w:r>
        <w:fldChar w:fldCharType="end"/>
      </w:r>
      <w:r>
        <w:rPr>
          <w:i w:val="0"/>
          <w:iCs w:val="0"/>
          <w:color w:val="auto"/>
          <w:szCs w:val="21"/>
          <w:highlight w:val="none"/>
        </w:rPr>
        <w:fldChar w:fldCharType="end"/>
      </w:r>
    </w:p>
    <w:p w14:paraId="36AD1D60">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_Toc24862 </w:instrText>
      </w:r>
      <w:r>
        <w:rPr>
          <w:i w:val="0"/>
          <w:iCs w:val="0"/>
          <w:szCs w:val="21"/>
          <w:highlight w:val="none"/>
        </w:rPr>
        <w:fldChar w:fldCharType="separate"/>
      </w:r>
      <w:r>
        <w:rPr>
          <w:rFonts w:hint="default" w:ascii="Arial" w:hAnsi="Arial" w:cs="Arial"/>
          <w:i w:val="0"/>
          <w:iCs w:val="0"/>
          <w:szCs w:val="24"/>
        </w:rPr>
        <w:t xml:space="preserve">8.2 </w:t>
      </w:r>
      <w:r>
        <w:rPr>
          <w:rFonts w:hint="eastAsia"/>
          <w:i w:val="0"/>
          <w:iCs w:val="0"/>
          <w:szCs w:val="21"/>
          <w:highlight w:val="none"/>
        </w:rPr>
        <w:t>工程范围</w:t>
      </w:r>
      <w:r>
        <w:tab/>
      </w:r>
      <w:r>
        <w:fldChar w:fldCharType="begin"/>
      </w:r>
      <w:r>
        <w:instrText xml:space="preserve"> PAGEREF _Toc24862 \h </w:instrText>
      </w:r>
      <w:r>
        <w:fldChar w:fldCharType="separate"/>
      </w:r>
      <w:r>
        <w:t>85</w:t>
      </w:r>
      <w:r>
        <w:fldChar w:fldCharType="end"/>
      </w:r>
      <w:r>
        <w:rPr>
          <w:i w:val="0"/>
          <w:iCs w:val="0"/>
          <w:color w:val="auto"/>
          <w:szCs w:val="21"/>
          <w:highlight w:val="none"/>
        </w:rPr>
        <w:fldChar w:fldCharType="end"/>
      </w:r>
    </w:p>
    <w:p w14:paraId="1D25DBD1">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_Toc18492 </w:instrText>
      </w:r>
      <w:r>
        <w:rPr>
          <w:i w:val="0"/>
          <w:iCs w:val="0"/>
          <w:szCs w:val="21"/>
          <w:highlight w:val="none"/>
        </w:rPr>
        <w:fldChar w:fldCharType="separate"/>
      </w:r>
      <w:r>
        <w:rPr>
          <w:rFonts w:hint="default" w:ascii="Arial" w:hAnsi="Arial" w:cs="Arial"/>
          <w:i w:val="0"/>
          <w:iCs w:val="0"/>
          <w:szCs w:val="24"/>
        </w:rPr>
        <w:t xml:space="preserve">8.3 </w:t>
      </w:r>
      <w:r>
        <w:rPr>
          <w:rFonts w:hint="eastAsia"/>
          <w:i w:val="0"/>
          <w:iCs w:val="0"/>
          <w:szCs w:val="21"/>
          <w:highlight w:val="none"/>
        </w:rPr>
        <w:t>系统构成</w:t>
      </w:r>
      <w:r>
        <w:tab/>
      </w:r>
      <w:r>
        <w:fldChar w:fldCharType="begin"/>
      </w:r>
      <w:r>
        <w:instrText xml:space="preserve"> PAGEREF _Toc18492 \h </w:instrText>
      </w:r>
      <w:r>
        <w:fldChar w:fldCharType="separate"/>
      </w:r>
      <w:r>
        <w:t>85</w:t>
      </w:r>
      <w:r>
        <w:fldChar w:fldCharType="end"/>
      </w:r>
      <w:r>
        <w:rPr>
          <w:i w:val="0"/>
          <w:iCs w:val="0"/>
          <w:color w:val="auto"/>
          <w:szCs w:val="21"/>
          <w:highlight w:val="none"/>
        </w:rPr>
        <w:fldChar w:fldCharType="end"/>
      </w:r>
    </w:p>
    <w:p w14:paraId="6CCF8029">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_Toc17342 </w:instrText>
      </w:r>
      <w:r>
        <w:rPr>
          <w:i w:val="0"/>
          <w:iCs w:val="0"/>
          <w:szCs w:val="21"/>
          <w:highlight w:val="none"/>
        </w:rPr>
        <w:fldChar w:fldCharType="separate"/>
      </w:r>
      <w:r>
        <w:rPr>
          <w:rFonts w:hint="default" w:ascii="Arial" w:hAnsi="Arial" w:cs="Arial"/>
          <w:i w:val="0"/>
          <w:iCs w:val="0"/>
          <w:szCs w:val="24"/>
        </w:rPr>
        <w:t xml:space="preserve">8.4 </w:t>
      </w:r>
      <w:r>
        <w:rPr>
          <w:rFonts w:hint="eastAsia"/>
          <w:i w:val="0"/>
          <w:iCs w:val="0"/>
          <w:szCs w:val="21"/>
          <w:highlight w:val="none"/>
        </w:rPr>
        <w:t>系统方案</w:t>
      </w:r>
      <w:r>
        <w:tab/>
      </w:r>
      <w:r>
        <w:fldChar w:fldCharType="begin"/>
      </w:r>
      <w:r>
        <w:instrText xml:space="preserve"> PAGEREF _Toc17342 \h </w:instrText>
      </w:r>
      <w:r>
        <w:fldChar w:fldCharType="separate"/>
      </w:r>
      <w:r>
        <w:t>85</w:t>
      </w:r>
      <w:r>
        <w:fldChar w:fldCharType="end"/>
      </w:r>
      <w:r>
        <w:rPr>
          <w:i w:val="0"/>
          <w:iCs w:val="0"/>
          <w:color w:val="auto"/>
          <w:szCs w:val="21"/>
          <w:highlight w:val="none"/>
        </w:rPr>
        <w:fldChar w:fldCharType="end"/>
      </w:r>
    </w:p>
    <w:p w14:paraId="45D25A13">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_Toc26646 </w:instrText>
      </w:r>
      <w:r>
        <w:rPr>
          <w:i w:val="0"/>
          <w:iCs w:val="0"/>
          <w:szCs w:val="21"/>
          <w:highlight w:val="none"/>
        </w:rPr>
        <w:fldChar w:fldCharType="separate"/>
      </w:r>
      <w:r>
        <w:rPr>
          <w:rFonts w:hint="default" w:ascii="Arial" w:hAnsi="Arial" w:cs="Arial"/>
          <w:i w:val="0"/>
          <w:iCs w:val="0"/>
          <w:szCs w:val="24"/>
        </w:rPr>
        <w:t xml:space="preserve">8.5 </w:t>
      </w:r>
      <w:r>
        <w:rPr>
          <w:rFonts w:hint="eastAsia"/>
          <w:i w:val="0"/>
          <w:iCs w:val="0"/>
          <w:szCs w:val="21"/>
          <w:highlight w:val="none"/>
        </w:rPr>
        <w:t>系统功能</w:t>
      </w:r>
      <w:r>
        <w:tab/>
      </w:r>
      <w:r>
        <w:fldChar w:fldCharType="begin"/>
      </w:r>
      <w:r>
        <w:instrText xml:space="preserve"> PAGEREF _Toc26646 \h </w:instrText>
      </w:r>
      <w:r>
        <w:fldChar w:fldCharType="separate"/>
      </w:r>
      <w:r>
        <w:t>86</w:t>
      </w:r>
      <w:r>
        <w:fldChar w:fldCharType="end"/>
      </w:r>
      <w:r>
        <w:rPr>
          <w:i w:val="0"/>
          <w:iCs w:val="0"/>
          <w:color w:val="auto"/>
          <w:szCs w:val="21"/>
          <w:highlight w:val="none"/>
        </w:rPr>
        <w:fldChar w:fldCharType="end"/>
      </w:r>
    </w:p>
    <w:p w14:paraId="63C6CECC">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_Toc31271 </w:instrText>
      </w:r>
      <w:r>
        <w:rPr>
          <w:i w:val="0"/>
          <w:iCs w:val="0"/>
          <w:szCs w:val="21"/>
          <w:highlight w:val="none"/>
        </w:rPr>
        <w:fldChar w:fldCharType="separate"/>
      </w:r>
      <w:r>
        <w:rPr>
          <w:rFonts w:hint="default" w:ascii="Arial" w:hAnsi="Arial" w:cs="Arial"/>
          <w:i w:val="0"/>
          <w:iCs w:val="0"/>
          <w:szCs w:val="22"/>
        </w:rPr>
        <w:t xml:space="preserve">8.5.1 </w:t>
      </w:r>
      <w:r>
        <w:rPr>
          <w:rFonts w:hint="eastAsia"/>
          <w:i w:val="0"/>
          <w:iCs w:val="0"/>
          <w:szCs w:val="22"/>
          <w:highlight w:val="none"/>
        </w:rPr>
        <w:t>功能概述</w:t>
      </w:r>
      <w:r>
        <w:tab/>
      </w:r>
      <w:r>
        <w:fldChar w:fldCharType="begin"/>
      </w:r>
      <w:r>
        <w:instrText xml:space="preserve"> PAGEREF _Toc31271 \h </w:instrText>
      </w:r>
      <w:r>
        <w:fldChar w:fldCharType="separate"/>
      </w:r>
      <w:r>
        <w:t>86</w:t>
      </w:r>
      <w:r>
        <w:fldChar w:fldCharType="end"/>
      </w:r>
      <w:r>
        <w:rPr>
          <w:i w:val="0"/>
          <w:iCs w:val="0"/>
          <w:color w:val="auto"/>
          <w:szCs w:val="21"/>
          <w:highlight w:val="none"/>
        </w:rPr>
        <w:fldChar w:fldCharType="end"/>
      </w:r>
    </w:p>
    <w:p w14:paraId="3EC74CC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_Toc15257 </w:instrText>
      </w:r>
      <w:r>
        <w:rPr>
          <w:i w:val="0"/>
          <w:iCs w:val="0"/>
          <w:szCs w:val="21"/>
          <w:highlight w:val="none"/>
        </w:rPr>
        <w:fldChar w:fldCharType="separate"/>
      </w:r>
      <w:r>
        <w:rPr>
          <w:rFonts w:hint="default" w:ascii="Arial" w:hAnsi="Arial" w:cs="Arial"/>
          <w:i w:val="0"/>
          <w:iCs w:val="0"/>
          <w:szCs w:val="22"/>
        </w:rPr>
        <w:t xml:space="preserve">8.5.2 </w:t>
      </w:r>
      <w:r>
        <w:rPr>
          <w:rFonts w:hint="eastAsia"/>
          <w:i w:val="0"/>
          <w:iCs w:val="0"/>
          <w:szCs w:val="22"/>
          <w:highlight w:val="none"/>
        </w:rPr>
        <w:t>数据导入</w:t>
      </w:r>
      <w:r>
        <w:tab/>
      </w:r>
      <w:r>
        <w:fldChar w:fldCharType="begin"/>
      </w:r>
      <w:r>
        <w:instrText xml:space="preserve"> PAGEREF _Toc15257 \h </w:instrText>
      </w:r>
      <w:r>
        <w:fldChar w:fldCharType="separate"/>
      </w:r>
      <w:r>
        <w:t>86</w:t>
      </w:r>
      <w:r>
        <w:fldChar w:fldCharType="end"/>
      </w:r>
      <w:r>
        <w:rPr>
          <w:i w:val="0"/>
          <w:iCs w:val="0"/>
          <w:color w:val="auto"/>
          <w:szCs w:val="21"/>
          <w:highlight w:val="none"/>
        </w:rPr>
        <w:fldChar w:fldCharType="end"/>
      </w:r>
    </w:p>
    <w:p w14:paraId="33547CD9">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_Toc29057 </w:instrText>
      </w:r>
      <w:r>
        <w:rPr>
          <w:i w:val="0"/>
          <w:iCs w:val="0"/>
          <w:szCs w:val="21"/>
          <w:highlight w:val="none"/>
        </w:rPr>
        <w:fldChar w:fldCharType="separate"/>
      </w:r>
      <w:r>
        <w:rPr>
          <w:rFonts w:hint="default" w:ascii="Arial" w:hAnsi="Arial" w:cs="Arial"/>
          <w:i w:val="0"/>
          <w:iCs w:val="0"/>
          <w:szCs w:val="22"/>
        </w:rPr>
        <w:t xml:space="preserve">8.5.3 </w:t>
      </w:r>
      <w:r>
        <w:rPr>
          <w:rFonts w:hint="eastAsia"/>
          <w:i w:val="0"/>
          <w:iCs w:val="0"/>
          <w:szCs w:val="22"/>
          <w:highlight w:val="none"/>
        </w:rPr>
        <w:t>电梯梯控</w:t>
      </w:r>
      <w:r>
        <w:tab/>
      </w:r>
      <w:r>
        <w:fldChar w:fldCharType="begin"/>
      </w:r>
      <w:r>
        <w:instrText xml:space="preserve"> PAGEREF _Toc29057 \h </w:instrText>
      </w:r>
      <w:r>
        <w:fldChar w:fldCharType="separate"/>
      </w:r>
      <w:r>
        <w:t>87</w:t>
      </w:r>
      <w:r>
        <w:fldChar w:fldCharType="end"/>
      </w:r>
      <w:r>
        <w:rPr>
          <w:i w:val="0"/>
          <w:iCs w:val="0"/>
          <w:color w:val="auto"/>
          <w:szCs w:val="21"/>
          <w:highlight w:val="none"/>
        </w:rPr>
        <w:fldChar w:fldCharType="end"/>
      </w:r>
    </w:p>
    <w:p w14:paraId="7CF354BE">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_Toc32131 </w:instrText>
      </w:r>
      <w:r>
        <w:rPr>
          <w:i w:val="0"/>
          <w:iCs w:val="0"/>
          <w:szCs w:val="21"/>
          <w:highlight w:val="none"/>
        </w:rPr>
        <w:fldChar w:fldCharType="separate"/>
      </w:r>
      <w:r>
        <w:rPr>
          <w:rFonts w:hint="default" w:ascii="Arial" w:hAnsi="Arial" w:cs="Arial"/>
          <w:i w:val="0"/>
          <w:iCs w:val="0"/>
          <w:szCs w:val="22"/>
        </w:rPr>
        <w:t xml:space="preserve">8.5.4 </w:t>
      </w:r>
      <w:r>
        <w:rPr>
          <w:rFonts w:hint="eastAsia"/>
          <w:i w:val="0"/>
          <w:iCs w:val="0"/>
          <w:szCs w:val="22"/>
          <w:highlight w:val="none"/>
        </w:rPr>
        <w:t>智能分房</w:t>
      </w:r>
      <w:r>
        <w:tab/>
      </w:r>
      <w:r>
        <w:fldChar w:fldCharType="begin"/>
      </w:r>
      <w:r>
        <w:instrText xml:space="preserve"> PAGEREF _Toc32131 \h </w:instrText>
      </w:r>
      <w:r>
        <w:fldChar w:fldCharType="separate"/>
      </w:r>
      <w:r>
        <w:t>87</w:t>
      </w:r>
      <w:r>
        <w:fldChar w:fldCharType="end"/>
      </w:r>
      <w:r>
        <w:rPr>
          <w:i w:val="0"/>
          <w:iCs w:val="0"/>
          <w:color w:val="auto"/>
          <w:szCs w:val="21"/>
          <w:highlight w:val="none"/>
        </w:rPr>
        <w:fldChar w:fldCharType="end"/>
      </w:r>
    </w:p>
    <w:p w14:paraId="76A5D3F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_Toc15101 </w:instrText>
      </w:r>
      <w:r>
        <w:rPr>
          <w:i w:val="0"/>
          <w:iCs w:val="0"/>
          <w:szCs w:val="21"/>
          <w:highlight w:val="none"/>
        </w:rPr>
        <w:fldChar w:fldCharType="separate"/>
      </w:r>
      <w:r>
        <w:rPr>
          <w:rFonts w:hint="default" w:ascii="Arial" w:hAnsi="Arial" w:cs="Arial"/>
          <w:i w:val="0"/>
          <w:iCs w:val="0"/>
          <w:szCs w:val="22"/>
        </w:rPr>
        <w:t xml:space="preserve">8.5.5 </w:t>
      </w:r>
      <w:r>
        <w:rPr>
          <w:rFonts w:hint="eastAsia"/>
          <w:i w:val="0"/>
          <w:iCs w:val="0"/>
          <w:szCs w:val="22"/>
          <w:highlight w:val="none"/>
        </w:rPr>
        <w:t>信息管理</w:t>
      </w:r>
      <w:r>
        <w:tab/>
      </w:r>
      <w:r>
        <w:fldChar w:fldCharType="begin"/>
      </w:r>
      <w:r>
        <w:instrText xml:space="preserve"> PAGEREF _Toc15101 \h </w:instrText>
      </w:r>
      <w:r>
        <w:fldChar w:fldCharType="separate"/>
      </w:r>
      <w:r>
        <w:t>87</w:t>
      </w:r>
      <w:r>
        <w:fldChar w:fldCharType="end"/>
      </w:r>
      <w:r>
        <w:rPr>
          <w:i w:val="0"/>
          <w:iCs w:val="0"/>
          <w:color w:val="auto"/>
          <w:szCs w:val="21"/>
          <w:highlight w:val="none"/>
        </w:rPr>
        <w:fldChar w:fldCharType="end"/>
      </w:r>
    </w:p>
    <w:p w14:paraId="4C21DDAC">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_Toc24063 </w:instrText>
      </w:r>
      <w:r>
        <w:rPr>
          <w:i w:val="0"/>
          <w:iCs w:val="0"/>
          <w:szCs w:val="21"/>
          <w:highlight w:val="none"/>
        </w:rPr>
        <w:fldChar w:fldCharType="separate"/>
      </w:r>
      <w:r>
        <w:rPr>
          <w:rFonts w:hint="default" w:ascii="Arial" w:hAnsi="Arial" w:cs="Arial"/>
          <w:i w:val="0"/>
          <w:iCs w:val="0"/>
          <w:szCs w:val="22"/>
        </w:rPr>
        <w:t xml:space="preserve">8.5.6 </w:t>
      </w:r>
      <w:r>
        <w:rPr>
          <w:rFonts w:hint="eastAsia"/>
          <w:i w:val="0"/>
          <w:iCs w:val="0"/>
          <w:szCs w:val="22"/>
          <w:highlight w:val="none"/>
        </w:rPr>
        <w:t>节能控制</w:t>
      </w:r>
      <w:r>
        <w:tab/>
      </w:r>
      <w:r>
        <w:fldChar w:fldCharType="begin"/>
      </w:r>
      <w:r>
        <w:instrText xml:space="preserve"> PAGEREF _Toc24063 \h </w:instrText>
      </w:r>
      <w:r>
        <w:fldChar w:fldCharType="separate"/>
      </w:r>
      <w:r>
        <w:t>87</w:t>
      </w:r>
      <w:r>
        <w:fldChar w:fldCharType="end"/>
      </w:r>
      <w:r>
        <w:rPr>
          <w:i w:val="0"/>
          <w:iCs w:val="0"/>
          <w:color w:val="auto"/>
          <w:szCs w:val="21"/>
          <w:highlight w:val="none"/>
        </w:rPr>
        <w:fldChar w:fldCharType="end"/>
      </w:r>
    </w:p>
    <w:p w14:paraId="5838E76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_Toc8914 </w:instrText>
      </w:r>
      <w:r>
        <w:rPr>
          <w:i w:val="0"/>
          <w:iCs w:val="0"/>
          <w:szCs w:val="21"/>
          <w:highlight w:val="none"/>
        </w:rPr>
        <w:fldChar w:fldCharType="separate"/>
      </w:r>
      <w:r>
        <w:rPr>
          <w:rFonts w:hint="default" w:ascii="Arial" w:hAnsi="Arial" w:cs="Arial"/>
          <w:i w:val="0"/>
          <w:iCs w:val="0"/>
          <w:szCs w:val="22"/>
        </w:rPr>
        <w:t xml:space="preserve">8.5.7 </w:t>
      </w:r>
      <w:r>
        <w:rPr>
          <w:rFonts w:hint="eastAsia"/>
          <w:i w:val="0"/>
          <w:iCs w:val="0"/>
          <w:szCs w:val="22"/>
          <w:highlight w:val="none"/>
        </w:rPr>
        <w:t>终端设备功能</w:t>
      </w:r>
      <w:r>
        <w:tab/>
      </w:r>
      <w:r>
        <w:fldChar w:fldCharType="begin"/>
      </w:r>
      <w:r>
        <w:instrText xml:space="preserve"> PAGEREF _Toc8914 \h </w:instrText>
      </w:r>
      <w:r>
        <w:fldChar w:fldCharType="separate"/>
      </w:r>
      <w:r>
        <w:t>87</w:t>
      </w:r>
      <w:r>
        <w:fldChar w:fldCharType="end"/>
      </w:r>
      <w:r>
        <w:rPr>
          <w:i w:val="0"/>
          <w:iCs w:val="0"/>
          <w:color w:val="auto"/>
          <w:szCs w:val="21"/>
          <w:highlight w:val="none"/>
        </w:rPr>
        <w:fldChar w:fldCharType="end"/>
      </w:r>
    </w:p>
    <w:p w14:paraId="7954AD2D">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_Toc19006 </w:instrText>
      </w:r>
      <w:r>
        <w:rPr>
          <w:i w:val="0"/>
          <w:iCs w:val="0"/>
          <w:szCs w:val="21"/>
          <w:highlight w:val="none"/>
        </w:rPr>
        <w:fldChar w:fldCharType="separate"/>
      </w:r>
      <w:r>
        <w:rPr>
          <w:rFonts w:hint="default" w:ascii="Arial" w:hAnsi="Arial" w:cs="Arial"/>
          <w:i w:val="0"/>
          <w:iCs w:val="0"/>
          <w:szCs w:val="24"/>
        </w:rPr>
        <w:t xml:space="preserve">8.6 </w:t>
      </w:r>
      <w:r>
        <w:rPr>
          <w:rFonts w:hint="eastAsia"/>
          <w:i w:val="0"/>
          <w:iCs w:val="0"/>
          <w:szCs w:val="21"/>
          <w:highlight w:val="none"/>
        </w:rPr>
        <w:t>系统电源、接地</w:t>
      </w:r>
      <w:r>
        <w:tab/>
      </w:r>
      <w:r>
        <w:fldChar w:fldCharType="begin"/>
      </w:r>
      <w:r>
        <w:instrText xml:space="preserve"> PAGEREF _Toc19006 \h </w:instrText>
      </w:r>
      <w:r>
        <w:fldChar w:fldCharType="separate"/>
      </w:r>
      <w:r>
        <w:t>87</w:t>
      </w:r>
      <w:r>
        <w:fldChar w:fldCharType="end"/>
      </w:r>
      <w:r>
        <w:rPr>
          <w:i w:val="0"/>
          <w:iCs w:val="0"/>
          <w:color w:val="auto"/>
          <w:szCs w:val="21"/>
          <w:highlight w:val="none"/>
        </w:rPr>
        <w:fldChar w:fldCharType="end"/>
      </w:r>
    </w:p>
    <w:p w14:paraId="4152D33F">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_Toc13309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9. </w:t>
      </w:r>
      <w:r>
        <w:rPr>
          <w:rFonts w:hint="eastAsia"/>
          <w:i w:val="0"/>
          <w:iCs w:val="0"/>
          <w:szCs w:val="32"/>
          <w:highlight w:val="none"/>
        </w:rPr>
        <w:t>维修作业管理系统</w:t>
      </w:r>
      <w:r>
        <w:tab/>
      </w:r>
      <w:r>
        <w:fldChar w:fldCharType="begin"/>
      </w:r>
      <w:r>
        <w:instrText xml:space="preserve"> PAGEREF _Toc13309 \h </w:instrText>
      </w:r>
      <w:r>
        <w:fldChar w:fldCharType="separate"/>
      </w:r>
      <w:r>
        <w:t>89</w:t>
      </w:r>
      <w:r>
        <w:fldChar w:fldCharType="end"/>
      </w:r>
      <w:r>
        <w:rPr>
          <w:i w:val="0"/>
          <w:iCs w:val="0"/>
          <w:color w:val="auto"/>
          <w:szCs w:val="21"/>
          <w:highlight w:val="none"/>
        </w:rPr>
        <w:fldChar w:fldCharType="end"/>
      </w:r>
    </w:p>
    <w:p w14:paraId="39C15E62">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_Toc20907 </w:instrText>
      </w:r>
      <w:r>
        <w:rPr>
          <w:i w:val="0"/>
          <w:iCs w:val="0"/>
          <w:szCs w:val="21"/>
          <w:highlight w:val="none"/>
        </w:rPr>
        <w:fldChar w:fldCharType="separate"/>
      </w:r>
      <w:r>
        <w:rPr>
          <w:rFonts w:hint="default" w:ascii="Arial" w:hAnsi="Arial" w:cs="Arial"/>
          <w:i w:val="0"/>
          <w:iCs w:val="0"/>
          <w:szCs w:val="24"/>
        </w:rPr>
        <w:t xml:space="preserve">9.1 </w:t>
      </w:r>
      <w:r>
        <w:rPr>
          <w:rFonts w:hint="eastAsia"/>
          <w:i w:val="0"/>
          <w:iCs w:val="0"/>
          <w:szCs w:val="21"/>
          <w:highlight w:val="none"/>
        </w:rPr>
        <w:t>系统构成</w:t>
      </w:r>
      <w:r>
        <w:tab/>
      </w:r>
      <w:r>
        <w:fldChar w:fldCharType="begin"/>
      </w:r>
      <w:r>
        <w:instrText xml:space="preserve"> PAGEREF _Toc20907 \h </w:instrText>
      </w:r>
      <w:r>
        <w:fldChar w:fldCharType="separate"/>
      </w:r>
      <w:r>
        <w:t>89</w:t>
      </w:r>
      <w:r>
        <w:fldChar w:fldCharType="end"/>
      </w:r>
      <w:r>
        <w:rPr>
          <w:i w:val="0"/>
          <w:iCs w:val="0"/>
          <w:color w:val="auto"/>
          <w:szCs w:val="21"/>
          <w:highlight w:val="none"/>
        </w:rPr>
        <w:fldChar w:fldCharType="end"/>
      </w:r>
    </w:p>
    <w:p w14:paraId="4606E507">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_Toc14099 </w:instrText>
      </w:r>
      <w:r>
        <w:rPr>
          <w:i w:val="0"/>
          <w:iCs w:val="0"/>
          <w:szCs w:val="21"/>
          <w:highlight w:val="none"/>
        </w:rPr>
        <w:fldChar w:fldCharType="separate"/>
      </w:r>
      <w:r>
        <w:rPr>
          <w:rFonts w:hint="default" w:ascii="Arial" w:hAnsi="Arial" w:cs="Arial"/>
          <w:i w:val="0"/>
          <w:iCs w:val="0"/>
          <w:szCs w:val="24"/>
        </w:rPr>
        <w:t xml:space="preserve">9.2 </w:t>
      </w:r>
      <w:r>
        <w:rPr>
          <w:rFonts w:hint="eastAsia"/>
          <w:i w:val="0"/>
          <w:iCs w:val="0"/>
          <w:szCs w:val="21"/>
          <w:highlight w:val="none"/>
        </w:rPr>
        <w:t>系统方案</w:t>
      </w:r>
      <w:r>
        <w:tab/>
      </w:r>
      <w:r>
        <w:fldChar w:fldCharType="begin"/>
      </w:r>
      <w:r>
        <w:instrText xml:space="preserve"> PAGEREF _Toc14099 \h </w:instrText>
      </w:r>
      <w:r>
        <w:fldChar w:fldCharType="separate"/>
      </w:r>
      <w:r>
        <w:t>89</w:t>
      </w:r>
      <w:r>
        <w:fldChar w:fldCharType="end"/>
      </w:r>
      <w:r>
        <w:rPr>
          <w:i w:val="0"/>
          <w:iCs w:val="0"/>
          <w:color w:val="auto"/>
          <w:szCs w:val="21"/>
          <w:highlight w:val="none"/>
        </w:rPr>
        <w:fldChar w:fldCharType="end"/>
      </w:r>
    </w:p>
    <w:p w14:paraId="4A142C8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_Toc7669 </w:instrText>
      </w:r>
      <w:r>
        <w:rPr>
          <w:i w:val="0"/>
          <w:iCs w:val="0"/>
          <w:szCs w:val="21"/>
          <w:highlight w:val="none"/>
        </w:rPr>
        <w:fldChar w:fldCharType="separate"/>
      </w:r>
      <w:r>
        <w:rPr>
          <w:rFonts w:hint="default" w:ascii="Arial" w:hAnsi="Arial" w:cs="Arial"/>
          <w:i w:val="0"/>
          <w:iCs w:val="0"/>
          <w:szCs w:val="22"/>
        </w:rPr>
        <w:t xml:space="preserve">9.2.1 </w:t>
      </w:r>
      <w:r>
        <w:rPr>
          <w:rFonts w:hint="eastAsia"/>
          <w:i w:val="0"/>
          <w:iCs w:val="0"/>
          <w:szCs w:val="22"/>
          <w:highlight w:val="none"/>
        </w:rPr>
        <w:t>设备部署方案</w:t>
      </w:r>
      <w:r>
        <w:tab/>
      </w:r>
      <w:r>
        <w:fldChar w:fldCharType="begin"/>
      </w:r>
      <w:r>
        <w:instrText xml:space="preserve"> PAGEREF _Toc7669 \h </w:instrText>
      </w:r>
      <w:r>
        <w:fldChar w:fldCharType="separate"/>
      </w:r>
      <w:r>
        <w:t>89</w:t>
      </w:r>
      <w:r>
        <w:fldChar w:fldCharType="end"/>
      </w:r>
      <w:r>
        <w:rPr>
          <w:i w:val="0"/>
          <w:iCs w:val="0"/>
          <w:color w:val="auto"/>
          <w:szCs w:val="21"/>
          <w:highlight w:val="none"/>
        </w:rPr>
        <w:fldChar w:fldCharType="end"/>
      </w:r>
    </w:p>
    <w:p w14:paraId="5B6981A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_Toc27825 </w:instrText>
      </w:r>
      <w:r>
        <w:rPr>
          <w:i w:val="0"/>
          <w:iCs w:val="0"/>
          <w:szCs w:val="21"/>
          <w:highlight w:val="none"/>
        </w:rPr>
        <w:fldChar w:fldCharType="separate"/>
      </w:r>
      <w:r>
        <w:rPr>
          <w:rFonts w:hint="default" w:ascii="Arial" w:hAnsi="Arial" w:cs="Arial"/>
          <w:i w:val="0"/>
          <w:iCs w:val="0"/>
          <w:szCs w:val="22"/>
        </w:rPr>
        <w:t xml:space="preserve">9.2.2 </w:t>
      </w:r>
      <w:r>
        <w:rPr>
          <w:rFonts w:hint="eastAsia"/>
          <w:i w:val="0"/>
          <w:iCs w:val="0"/>
          <w:szCs w:val="22"/>
          <w:highlight w:val="none"/>
        </w:rPr>
        <w:t>系统工作流程</w:t>
      </w:r>
      <w:r>
        <w:tab/>
      </w:r>
      <w:r>
        <w:fldChar w:fldCharType="begin"/>
      </w:r>
      <w:r>
        <w:instrText xml:space="preserve"> PAGEREF _Toc27825 \h </w:instrText>
      </w:r>
      <w:r>
        <w:fldChar w:fldCharType="separate"/>
      </w:r>
      <w:r>
        <w:t>90</w:t>
      </w:r>
      <w:r>
        <w:fldChar w:fldCharType="end"/>
      </w:r>
      <w:r>
        <w:rPr>
          <w:i w:val="0"/>
          <w:iCs w:val="0"/>
          <w:color w:val="auto"/>
          <w:szCs w:val="21"/>
          <w:highlight w:val="none"/>
        </w:rPr>
        <w:fldChar w:fldCharType="end"/>
      </w:r>
    </w:p>
    <w:p w14:paraId="4EBD434A">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_Toc23626 </w:instrText>
      </w:r>
      <w:r>
        <w:rPr>
          <w:i w:val="0"/>
          <w:iCs w:val="0"/>
          <w:szCs w:val="21"/>
          <w:highlight w:val="none"/>
        </w:rPr>
        <w:fldChar w:fldCharType="separate"/>
      </w:r>
      <w:r>
        <w:rPr>
          <w:rFonts w:hint="default" w:ascii="Arial" w:hAnsi="Arial" w:cs="Arial"/>
          <w:i w:val="0"/>
          <w:iCs w:val="0"/>
          <w:szCs w:val="24"/>
        </w:rPr>
        <w:t xml:space="preserve">9.3 </w:t>
      </w:r>
      <w:r>
        <w:rPr>
          <w:rFonts w:hint="eastAsia"/>
          <w:i w:val="0"/>
          <w:iCs w:val="0"/>
          <w:szCs w:val="21"/>
          <w:highlight w:val="none"/>
        </w:rPr>
        <w:t>系统功能</w:t>
      </w:r>
      <w:r>
        <w:tab/>
      </w:r>
      <w:r>
        <w:fldChar w:fldCharType="begin"/>
      </w:r>
      <w:r>
        <w:instrText xml:space="preserve"> PAGEREF _Toc23626 \h </w:instrText>
      </w:r>
      <w:r>
        <w:fldChar w:fldCharType="separate"/>
      </w:r>
      <w:r>
        <w:t>90</w:t>
      </w:r>
      <w:r>
        <w:fldChar w:fldCharType="end"/>
      </w:r>
      <w:r>
        <w:rPr>
          <w:i w:val="0"/>
          <w:iCs w:val="0"/>
          <w:color w:val="auto"/>
          <w:szCs w:val="21"/>
          <w:highlight w:val="none"/>
        </w:rPr>
        <w:fldChar w:fldCharType="end"/>
      </w:r>
    </w:p>
    <w:p w14:paraId="16A60EF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_Toc2116 </w:instrText>
      </w:r>
      <w:r>
        <w:rPr>
          <w:i w:val="0"/>
          <w:iCs w:val="0"/>
          <w:szCs w:val="21"/>
          <w:highlight w:val="none"/>
        </w:rPr>
        <w:fldChar w:fldCharType="separate"/>
      </w:r>
      <w:r>
        <w:rPr>
          <w:rFonts w:hint="default" w:ascii="Arial" w:hAnsi="Arial" w:cs="Arial"/>
          <w:i w:val="0"/>
          <w:iCs w:val="0"/>
          <w:szCs w:val="22"/>
        </w:rPr>
        <w:t xml:space="preserve">9.3.1 </w:t>
      </w:r>
      <w:r>
        <w:rPr>
          <w:rFonts w:hint="eastAsia"/>
          <w:i w:val="0"/>
          <w:iCs w:val="0"/>
          <w:szCs w:val="22"/>
          <w:highlight w:val="none"/>
        </w:rPr>
        <w:t>维修人员管理设备管理</w:t>
      </w:r>
      <w:r>
        <w:tab/>
      </w:r>
      <w:r>
        <w:fldChar w:fldCharType="begin"/>
      </w:r>
      <w:r>
        <w:instrText xml:space="preserve"> PAGEREF _Toc2116 \h </w:instrText>
      </w:r>
      <w:r>
        <w:fldChar w:fldCharType="separate"/>
      </w:r>
      <w:r>
        <w:t>90</w:t>
      </w:r>
      <w:r>
        <w:fldChar w:fldCharType="end"/>
      </w:r>
      <w:r>
        <w:rPr>
          <w:i w:val="0"/>
          <w:iCs w:val="0"/>
          <w:color w:val="auto"/>
          <w:szCs w:val="21"/>
          <w:highlight w:val="none"/>
        </w:rPr>
        <w:fldChar w:fldCharType="end"/>
      </w:r>
    </w:p>
    <w:p w14:paraId="4CF83C4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_Toc10610 </w:instrText>
      </w:r>
      <w:r>
        <w:rPr>
          <w:i w:val="0"/>
          <w:iCs w:val="0"/>
          <w:szCs w:val="21"/>
          <w:highlight w:val="none"/>
        </w:rPr>
        <w:fldChar w:fldCharType="separate"/>
      </w:r>
      <w:r>
        <w:rPr>
          <w:rFonts w:hint="default" w:ascii="Arial" w:hAnsi="Arial" w:cs="Arial"/>
          <w:i w:val="0"/>
          <w:iCs w:val="0"/>
          <w:szCs w:val="22"/>
        </w:rPr>
        <w:t xml:space="preserve">9.3.2 </w:t>
      </w:r>
      <w:r>
        <w:rPr>
          <w:rFonts w:hint="eastAsia"/>
          <w:i w:val="0"/>
          <w:iCs w:val="0"/>
          <w:szCs w:val="22"/>
          <w:highlight w:val="none"/>
        </w:rPr>
        <w:t>巡检、检修管理</w:t>
      </w:r>
      <w:r>
        <w:tab/>
      </w:r>
      <w:r>
        <w:fldChar w:fldCharType="begin"/>
      </w:r>
      <w:r>
        <w:instrText xml:space="preserve"> PAGEREF _Toc10610 \h </w:instrText>
      </w:r>
      <w:r>
        <w:fldChar w:fldCharType="separate"/>
      </w:r>
      <w:r>
        <w:t>90</w:t>
      </w:r>
      <w:r>
        <w:fldChar w:fldCharType="end"/>
      </w:r>
      <w:r>
        <w:rPr>
          <w:i w:val="0"/>
          <w:iCs w:val="0"/>
          <w:color w:val="auto"/>
          <w:szCs w:val="21"/>
          <w:highlight w:val="none"/>
        </w:rPr>
        <w:fldChar w:fldCharType="end"/>
      </w:r>
    </w:p>
    <w:p w14:paraId="77A4FBD1">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_Toc22086 </w:instrText>
      </w:r>
      <w:r>
        <w:rPr>
          <w:i w:val="0"/>
          <w:iCs w:val="0"/>
          <w:szCs w:val="21"/>
          <w:highlight w:val="none"/>
        </w:rPr>
        <w:fldChar w:fldCharType="separate"/>
      </w:r>
      <w:r>
        <w:rPr>
          <w:rFonts w:hint="default" w:ascii="Arial" w:hAnsi="Arial" w:cs="Arial"/>
          <w:i w:val="0"/>
          <w:iCs w:val="0"/>
          <w:szCs w:val="22"/>
        </w:rPr>
        <w:t xml:space="preserve">9.3.3 </w:t>
      </w:r>
      <w:r>
        <w:rPr>
          <w:rFonts w:hint="eastAsia"/>
          <w:i w:val="0"/>
          <w:iCs w:val="0"/>
          <w:szCs w:val="22"/>
          <w:highlight w:val="none"/>
        </w:rPr>
        <w:t>工作记录查询</w:t>
      </w:r>
      <w:r>
        <w:tab/>
      </w:r>
      <w:r>
        <w:fldChar w:fldCharType="begin"/>
      </w:r>
      <w:r>
        <w:instrText xml:space="preserve"> PAGEREF _Toc22086 \h </w:instrText>
      </w:r>
      <w:r>
        <w:fldChar w:fldCharType="separate"/>
      </w:r>
      <w:r>
        <w:t>90</w:t>
      </w:r>
      <w:r>
        <w:fldChar w:fldCharType="end"/>
      </w:r>
      <w:r>
        <w:rPr>
          <w:i w:val="0"/>
          <w:iCs w:val="0"/>
          <w:color w:val="auto"/>
          <w:szCs w:val="21"/>
          <w:highlight w:val="none"/>
        </w:rPr>
        <w:fldChar w:fldCharType="end"/>
      </w:r>
    </w:p>
    <w:p w14:paraId="2E779EB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_Toc24486 </w:instrText>
      </w:r>
      <w:r>
        <w:rPr>
          <w:i w:val="0"/>
          <w:iCs w:val="0"/>
          <w:szCs w:val="21"/>
          <w:highlight w:val="none"/>
        </w:rPr>
        <w:fldChar w:fldCharType="separate"/>
      </w:r>
      <w:r>
        <w:rPr>
          <w:rFonts w:hint="default" w:ascii="Arial" w:hAnsi="Arial" w:cs="Arial"/>
          <w:i w:val="0"/>
          <w:iCs w:val="0"/>
          <w:szCs w:val="22"/>
        </w:rPr>
        <w:t xml:space="preserve">9.3.4 </w:t>
      </w:r>
      <w:r>
        <w:rPr>
          <w:rFonts w:hint="eastAsia"/>
          <w:i w:val="0"/>
          <w:iCs w:val="0"/>
          <w:szCs w:val="22"/>
          <w:highlight w:val="none"/>
        </w:rPr>
        <w:t>智能预警</w:t>
      </w:r>
      <w:r>
        <w:tab/>
      </w:r>
      <w:r>
        <w:fldChar w:fldCharType="begin"/>
      </w:r>
      <w:r>
        <w:instrText xml:space="preserve"> PAGEREF _Toc24486 \h </w:instrText>
      </w:r>
      <w:r>
        <w:fldChar w:fldCharType="separate"/>
      </w:r>
      <w:r>
        <w:t>91</w:t>
      </w:r>
      <w:r>
        <w:fldChar w:fldCharType="end"/>
      </w:r>
      <w:r>
        <w:rPr>
          <w:i w:val="0"/>
          <w:iCs w:val="0"/>
          <w:color w:val="auto"/>
          <w:szCs w:val="21"/>
          <w:highlight w:val="none"/>
        </w:rPr>
        <w:fldChar w:fldCharType="end"/>
      </w:r>
    </w:p>
    <w:p w14:paraId="19150B2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_Toc4380 </w:instrText>
      </w:r>
      <w:r>
        <w:rPr>
          <w:i w:val="0"/>
          <w:iCs w:val="0"/>
          <w:szCs w:val="21"/>
          <w:highlight w:val="none"/>
        </w:rPr>
        <w:fldChar w:fldCharType="separate"/>
      </w:r>
      <w:r>
        <w:rPr>
          <w:rFonts w:hint="default" w:ascii="Arial" w:hAnsi="Arial" w:cs="Arial"/>
          <w:i w:val="0"/>
          <w:iCs w:val="0"/>
          <w:szCs w:val="22"/>
        </w:rPr>
        <w:t xml:space="preserve">9.3.5 </w:t>
      </w:r>
      <w:r>
        <w:rPr>
          <w:rFonts w:hint="eastAsia"/>
          <w:i w:val="0"/>
          <w:iCs w:val="0"/>
          <w:szCs w:val="22"/>
          <w:highlight w:val="none"/>
        </w:rPr>
        <w:t>大模型智能运维助手</w:t>
      </w:r>
      <w:r>
        <w:tab/>
      </w:r>
      <w:r>
        <w:fldChar w:fldCharType="begin"/>
      </w:r>
      <w:r>
        <w:instrText xml:space="preserve"> PAGEREF _Toc4380 \h </w:instrText>
      </w:r>
      <w:r>
        <w:fldChar w:fldCharType="separate"/>
      </w:r>
      <w:r>
        <w:t>91</w:t>
      </w:r>
      <w:r>
        <w:fldChar w:fldCharType="end"/>
      </w:r>
      <w:r>
        <w:rPr>
          <w:i w:val="0"/>
          <w:iCs w:val="0"/>
          <w:color w:val="auto"/>
          <w:szCs w:val="21"/>
          <w:highlight w:val="none"/>
        </w:rPr>
        <w:fldChar w:fldCharType="end"/>
      </w:r>
    </w:p>
    <w:p w14:paraId="02E88ED7">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_Toc23652 </w:instrText>
      </w:r>
      <w:r>
        <w:rPr>
          <w:i w:val="0"/>
          <w:iCs w:val="0"/>
          <w:szCs w:val="21"/>
          <w:highlight w:val="none"/>
        </w:rPr>
        <w:fldChar w:fldCharType="separate"/>
      </w:r>
      <w:r>
        <w:rPr>
          <w:rFonts w:hint="default" w:ascii="Arial" w:hAnsi="Arial" w:cs="Arial"/>
          <w:i w:val="0"/>
          <w:iCs w:val="0"/>
          <w:szCs w:val="24"/>
        </w:rPr>
        <w:t xml:space="preserve">9.4 </w:t>
      </w:r>
      <w:r>
        <w:rPr>
          <w:rFonts w:hint="eastAsia"/>
          <w:i w:val="0"/>
          <w:iCs w:val="0"/>
          <w:szCs w:val="21"/>
          <w:highlight w:val="none"/>
        </w:rPr>
        <w:t>与OA系统接口</w:t>
      </w:r>
      <w:r>
        <w:tab/>
      </w:r>
      <w:r>
        <w:fldChar w:fldCharType="begin"/>
      </w:r>
      <w:r>
        <w:instrText xml:space="preserve"> PAGEREF _Toc23652 \h </w:instrText>
      </w:r>
      <w:r>
        <w:fldChar w:fldCharType="separate"/>
      </w:r>
      <w:r>
        <w:t>91</w:t>
      </w:r>
      <w:r>
        <w:fldChar w:fldCharType="end"/>
      </w:r>
      <w:r>
        <w:rPr>
          <w:i w:val="0"/>
          <w:iCs w:val="0"/>
          <w:color w:val="auto"/>
          <w:szCs w:val="21"/>
          <w:highlight w:val="none"/>
        </w:rPr>
        <w:fldChar w:fldCharType="end"/>
      </w:r>
    </w:p>
    <w:p w14:paraId="79C1D5B5">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_Toc16960 </w:instrText>
      </w:r>
      <w:r>
        <w:rPr>
          <w:i w:val="0"/>
          <w:iCs w:val="0"/>
          <w:szCs w:val="21"/>
          <w:highlight w:val="none"/>
        </w:rPr>
        <w:fldChar w:fldCharType="separate"/>
      </w:r>
      <w:r>
        <w:rPr>
          <w:rFonts w:hint="default" w:ascii="Arial" w:hAnsi="Arial" w:cs="Arial"/>
          <w:i w:val="0"/>
          <w:iCs w:val="0"/>
          <w:szCs w:val="24"/>
        </w:rPr>
        <w:t xml:space="preserve">9.5 </w:t>
      </w:r>
      <w:r>
        <w:rPr>
          <w:rFonts w:hint="eastAsia"/>
          <w:i w:val="0"/>
          <w:iCs w:val="0"/>
          <w:szCs w:val="21"/>
          <w:highlight w:val="none"/>
        </w:rPr>
        <w:t>系统电源、接地</w:t>
      </w:r>
      <w:r>
        <w:tab/>
      </w:r>
      <w:r>
        <w:fldChar w:fldCharType="begin"/>
      </w:r>
      <w:r>
        <w:instrText xml:space="preserve"> PAGEREF _Toc16960 \h </w:instrText>
      </w:r>
      <w:r>
        <w:fldChar w:fldCharType="separate"/>
      </w:r>
      <w:r>
        <w:t>92</w:t>
      </w:r>
      <w:r>
        <w:fldChar w:fldCharType="end"/>
      </w:r>
      <w:r>
        <w:rPr>
          <w:i w:val="0"/>
          <w:iCs w:val="0"/>
          <w:color w:val="auto"/>
          <w:szCs w:val="21"/>
          <w:highlight w:val="none"/>
        </w:rPr>
        <w:fldChar w:fldCharType="end"/>
      </w:r>
    </w:p>
    <w:p w14:paraId="5D727362">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_Toc17797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10. </w:t>
      </w:r>
      <w:r>
        <w:rPr>
          <w:rFonts w:hint="eastAsia"/>
          <w:i w:val="0"/>
          <w:iCs w:val="0"/>
          <w:szCs w:val="32"/>
          <w:highlight w:val="none"/>
        </w:rPr>
        <w:t>云平台扩容</w:t>
      </w:r>
      <w:r>
        <w:tab/>
      </w:r>
      <w:r>
        <w:fldChar w:fldCharType="begin"/>
      </w:r>
      <w:r>
        <w:instrText xml:space="preserve"> PAGEREF _Toc17797 \h </w:instrText>
      </w:r>
      <w:r>
        <w:fldChar w:fldCharType="separate"/>
      </w:r>
      <w:r>
        <w:t>93</w:t>
      </w:r>
      <w:r>
        <w:fldChar w:fldCharType="end"/>
      </w:r>
      <w:r>
        <w:rPr>
          <w:i w:val="0"/>
          <w:iCs w:val="0"/>
          <w:color w:val="auto"/>
          <w:szCs w:val="21"/>
          <w:highlight w:val="none"/>
        </w:rPr>
        <w:fldChar w:fldCharType="end"/>
      </w:r>
    </w:p>
    <w:p w14:paraId="00528FDE">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_Toc14681 </w:instrText>
      </w:r>
      <w:r>
        <w:rPr>
          <w:i w:val="0"/>
          <w:iCs w:val="0"/>
          <w:szCs w:val="21"/>
          <w:highlight w:val="none"/>
        </w:rPr>
        <w:fldChar w:fldCharType="separate"/>
      </w:r>
      <w:r>
        <w:rPr>
          <w:rFonts w:hint="default" w:ascii="Arial" w:hAnsi="Arial" w:cs="Arial"/>
          <w:i w:val="0"/>
          <w:iCs w:val="0"/>
          <w:szCs w:val="24"/>
        </w:rPr>
        <w:t xml:space="preserve">10.1 </w:t>
      </w:r>
      <w:r>
        <w:rPr>
          <w:rFonts w:hint="eastAsia"/>
          <w:i w:val="0"/>
          <w:iCs w:val="0"/>
          <w:szCs w:val="21"/>
          <w:highlight w:val="none"/>
        </w:rPr>
        <w:t>生产网云平台扩容方案</w:t>
      </w:r>
      <w:r>
        <w:tab/>
      </w:r>
      <w:r>
        <w:fldChar w:fldCharType="begin"/>
      </w:r>
      <w:r>
        <w:instrText xml:space="preserve"> PAGEREF _Toc14681 \h </w:instrText>
      </w:r>
      <w:r>
        <w:fldChar w:fldCharType="separate"/>
      </w:r>
      <w:r>
        <w:t>93</w:t>
      </w:r>
      <w:r>
        <w:fldChar w:fldCharType="end"/>
      </w:r>
      <w:r>
        <w:rPr>
          <w:i w:val="0"/>
          <w:iCs w:val="0"/>
          <w:color w:val="auto"/>
          <w:szCs w:val="21"/>
          <w:highlight w:val="none"/>
        </w:rPr>
        <w:fldChar w:fldCharType="end"/>
      </w:r>
    </w:p>
    <w:p w14:paraId="5FDF1A61">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_Toc20578 </w:instrText>
      </w:r>
      <w:r>
        <w:rPr>
          <w:i w:val="0"/>
          <w:iCs w:val="0"/>
          <w:szCs w:val="21"/>
          <w:highlight w:val="none"/>
        </w:rPr>
        <w:fldChar w:fldCharType="separate"/>
      </w:r>
      <w:r>
        <w:rPr>
          <w:rFonts w:hint="default" w:ascii="Arial" w:hAnsi="Arial" w:cs="Arial"/>
          <w:i w:val="0"/>
          <w:iCs w:val="0"/>
          <w:szCs w:val="22"/>
        </w:rPr>
        <w:t xml:space="preserve">10.1.1 </w:t>
      </w:r>
      <w:r>
        <w:rPr>
          <w:rFonts w:hint="eastAsia"/>
          <w:i w:val="0"/>
          <w:iCs w:val="0"/>
          <w:szCs w:val="22"/>
          <w:highlight w:val="none"/>
          <w:lang w:val="en-US"/>
        </w:rPr>
        <w:t>扩容需求</w:t>
      </w:r>
      <w:r>
        <w:tab/>
      </w:r>
      <w:r>
        <w:fldChar w:fldCharType="begin"/>
      </w:r>
      <w:r>
        <w:instrText xml:space="preserve"> PAGEREF _Toc20578 \h </w:instrText>
      </w:r>
      <w:r>
        <w:fldChar w:fldCharType="separate"/>
      </w:r>
      <w:r>
        <w:t>93</w:t>
      </w:r>
      <w:r>
        <w:fldChar w:fldCharType="end"/>
      </w:r>
      <w:r>
        <w:rPr>
          <w:i w:val="0"/>
          <w:iCs w:val="0"/>
          <w:color w:val="auto"/>
          <w:szCs w:val="21"/>
          <w:highlight w:val="none"/>
        </w:rPr>
        <w:fldChar w:fldCharType="end"/>
      </w:r>
    </w:p>
    <w:p w14:paraId="0061B29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_Toc12652 </w:instrText>
      </w:r>
      <w:r>
        <w:rPr>
          <w:i w:val="0"/>
          <w:iCs w:val="0"/>
          <w:szCs w:val="21"/>
          <w:highlight w:val="none"/>
        </w:rPr>
        <w:fldChar w:fldCharType="separate"/>
      </w:r>
      <w:r>
        <w:rPr>
          <w:rFonts w:hint="default" w:ascii="Arial" w:hAnsi="Arial" w:cs="Arial"/>
          <w:i w:val="0"/>
          <w:iCs w:val="0"/>
          <w:szCs w:val="22"/>
          <w:lang w:val="en-US"/>
        </w:rPr>
        <w:t xml:space="preserve">10.1.2 </w:t>
      </w:r>
      <w:r>
        <w:rPr>
          <w:rFonts w:hint="eastAsia"/>
          <w:i w:val="0"/>
          <w:iCs w:val="0"/>
          <w:szCs w:val="22"/>
          <w:highlight w:val="none"/>
          <w:lang w:val="en-US"/>
        </w:rPr>
        <w:t>整体部署方案</w:t>
      </w:r>
      <w:r>
        <w:tab/>
      </w:r>
      <w:r>
        <w:fldChar w:fldCharType="begin"/>
      </w:r>
      <w:r>
        <w:instrText xml:space="preserve"> PAGEREF _Toc12652 \h </w:instrText>
      </w:r>
      <w:r>
        <w:fldChar w:fldCharType="separate"/>
      </w:r>
      <w:r>
        <w:t>94</w:t>
      </w:r>
      <w:r>
        <w:fldChar w:fldCharType="end"/>
      </w:r>
      <w:r>
        <w:rPr>
          <w:i w:val="0"/>
          <w:iCs w:val="0"/>
          <w:color w:val="auto"/>
          <w:szCs w:val="21"/>
          <w:highlight w:val="none"/>
        </w:rPr>
        <w:fldChar w:fldCharType="end"/>
      </w:r>
    </w:p>
    <w:p w14:paraId="08E8D71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_Toc25294 </w:instrText>
      </w:r>
      <w:r>
        <w:rPr>
          <w:i w:val="0"/>
          <w:iCs w:val="0"/>
          <w:szCs w:val="21"/>
          <w:highlight w:val="none"/>
        </w:rPr>
        <w:fldChar w:fldCharType="separate"/>
      </w:r>
      <w:r>
        <w:rPr>
          <w:rFonts w:hint="default" w:ascii="Arial" w:hAnsi="Arial" w:cs="Arial"/>
          <w:i w:val="0"/>
          <w:iCs w:val="0"/>
          <w:szCs w:val="22"/>
        </w:rPr>
        <w:t xml:space="preserve">10.1.3 </w:t>
      </w:r>
      <w:r>
        <w:rPr>
          <w:rFonts w:hint="eastAsia"/>
          <w:i w:val="0"/>
          <w:iCs w:val="0"/>
          <w:szCs w:val="22"/>
          <w:highlight w:val="none"/>
        </w:rPr>
        <w:t>计算资源扩容</w:t>
      </w:r>
      <w:r>
        <w:tab/>
      </w:r>
      <w:r>
        <w:fldChar w:fldCharType="begin"/>
      </w:r>
      <w:r>
        <w:instrText xml:space="preserve"> PAGEREF _Toc25294 \h </w:instrText>
      </w:r>
      <w:r>
        <w:fldChar w:fldCharType="separate"/>
      </w:r>
      <w:r>
        <w:t>94</w:t>
      </w:r>
      <w:r>
        <w:fldChar w:fldCharType="end"/>
      </w:r>
      <w:r>
        <w:rPr>
          <w:i w:val="0"/>
          <w:iCs w:val="0"/>
          <w:color w:val="auto"/>
          <w:szCs w:val="21"/>
          <w:highlight w:val="none"/>
        </w:rPr>
        <w:fldChar w:fldCharType="end"/>
      </w:r>
    </w:p>
    <w:p w14:paraId="2E90ECAE">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_Toc15444 </w:instrText>
      </w:r>
      <w:r>
        <w:rPr>
          <w:i w:val="0"/>
          <w:iCs w:val="0"/>
          <w:szCs w:val="21"/>
          <w:highlight w:val="none"/>
        </w:rPr>
        <w:fldChar w:fldCharType="separate"/>
      </w:r>
      <w:r>
        <w:rPr>
          <w:rFonts w:hint="default" w:ascii="Arial" w:hAnsi="Arial" w:cs="Arial"/>
          <w:i w:val="0"/>
          <w:iCs w:val="0"/>
          <w:szCs w:val="22"/>
        </w:rPr>
        <w:t xml:space="preserve">10.1.4 </w:t>
      </w:r>
      <w:r>
        <w:rPr>
          <w:rFonts w:hint="eastAsia"/>
          <w:i w:val="0"/>
          <w:iCs w:val="0"/>
          <w:szCs w:val="22"/>
          <w:highlight w:val="none"/>
        </w:rPr>
        <w:t>存储资源扩容</w:t>
      </w:r>
      <w:r>
        <w:tab/>
      </w:r>
      <w:r>
        <w:fldChar w:fldCharType="begin"/>
      </w:r>
      <w:r>
        <w:instrText xml:space="preserve"> PAGEREF _Toc15444 \h </w:instrText>
      </w:r>
      <w:r>
        <w:fldChar w:fldCharType="separate"/>
      </w:r>
      <w:r>
        <w:t>95</w:t>
      </w:r>
      <w:r>
        <w:fldChar w:fldCharType="end"/>
      </w:r>
      <w:r>
        <w:rPr>
          <w:i w:val="0"/>
          <w:iCs w:val="0"/>
          <w:color w:val="auto"/>
          <w:szCs w:val="21"/>
          <w:highlight w:val="none"/>
        </w:rPr>
        <w:fldChar w:fldCharType="end"/>
      </w:r>
    </w:p>
    <w:p w14:paraId="7E8A542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_Toc25901 </w:instrText>
      </w:r>
      <w:r>
        <w:rPr>
          <w:i w:val="0"/>
          <w:iCs w:val="0"/>
          <w:szCs w:val="21"/>
          <w:highlight w:val="none"/>
        </w:rPr>
        <w:fldChar w:fldCharType="separate"/>
      </w:r>
      <w:r>
        <w:rPr>
          <w:rFonts w:hint="default" w:ascii="Arial" w:hAnsi="Arial" w:cs="Arial"/>
          <w:i w:val="0"/>
          <w:iCs w:val="0"/>
          <w:szCs w:val="22"/>
        </w:rPr>
        <w:t xml:space="preserve">10.1.5 </w:t>
      </w:r>
      <w:r>
        <w:rPr>
          <w:rFonts w:hint="eastAsia"/>
          <w:i w:val="0"/>
          <w:iCs w:val="0"/>
          <w:szCs w:val="22"/>
          <w:highlight w:val="none"/>
        </w:rPr>
        <w:t>网络资源扩容（</w:t>
      </w:r>
      <w:r>
        <w:rPr>
          <w:rFonts w:hint="eastAsia"/>
          <w:i w:val="0"/>
          <w:iCs w:val="0"/>
          <w:szCs w:val="22"/>
          <w:highlight w:val="none"/>
          <w:lang w:val="en-US"/>
        </w:rPr>
        <w:t>衔接方案</w:t>
      </w:r>
      <w:r>
        <w:rPr>
          <w:rFonts w:hint="eastAsia"/>
          <w:i w:val="0"/>
          <w:iCs w:val="0"/>
          <w:szCs w:val="22"/>
          <w:highlight w:val="none"/>
        </w:rPr>
        <w:t>）</w:t>
      </w:r>
      <w:r>
        <w:tab/>
      </w:r>
      <w:r>
        <w:fldChar w:fldCharType="begin"/>
      </w:r>
      <w:r>
        <w:instrText xml:space="preserve"> PAGEREF _Toc25901 \h </w:instrText>
      </w:r>
      <w:r>
        <w:fldChar w:fldCharType="separate"/>
      </w:r>
      <w:r>
        <w:t>97</w:t>
      </w:r>
      <w:r>
        <w:fldChar w:fldCharType="end"/>
      </w:r>
      <w:r>
        <w:rPr>
          <w:i w:val="0"/>
          <w:iCs w:val="0"/>
          <w:color w:val="auto"/>
          <w:szCs w:val="21"/>
          <w:highlight w:val="none"/>
        </w:rPr>
        <w:fldChar w:fldCharType="end"/>
      </w:r>
    </w:p>
    <w:p w14:paraId="79AA18E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_Toc3862 </w:instrText>
      </w:r>
      <w:r>
        <w:rPr>
          <w:i w:val="0"/>
          <w:iCs w:val="0"/>
          <w:szCs w:val="21"/>
          <w:highlight w:val="none"/>
        </w:rPr>
        <w:fldChar w:fldCharType="separate"/>
      </w:r>
      <w:r>
        <w:rPr>
          <w:rFonts w:hint="default" w:ascii="Arial" w:hAnsi="Arial" w:cs="Arial"/>
          <w:i w:val="0"/>
          <w:iCs w:val="0"/>
          <w:szCs w:val="22"/>
        </w:rPr>
        <w:t xml:space="preserve">10.1.6 </w:t>
      </w:r>
      <w:r>
        <w:rPr>
          <w:rFonts w:hint="eastAsia"/>
          <w:i w:val="0"/>
          <w:iCs w:val="0"/>
          <w:szCs w:val="22"/>
          <w:highlight w:val="none"/>
        </w:rPr>
        <w:t>安全资源扩容</w:t>
      </w:r>
      <w:r>
        <w:tab/>
      </w:r>
      <w:r>
        <w:fldChar w:fldCharType="begin"/>
      </w:r>
      <w:r>
        <w:instrText xml:space="preserve"> PAGEREF _Toc3862 \h </w:instrText>
      </w:r>
      <w:r>
        <w:fldChar w:fldCharType="separate"/>
      </w:r>
      <w:r>
        <w:t>101</w:t>
      </w:r>
      <w:r>
        <w:fldChar w:fldCharType="end"/>
      </w:r>
      <w:r>
        <w:rPr>
          <w:i w:val="0"/>
          <w:iCs w:val="0"/>
          <w:color w:val="auto"/>
          <w:szCs w:val="21"/>
          <w:highlight w:val="none"/>
        </w:rPr>
        <w:fldChar w:fldCharType="end"/>
      </w:r>
    </w:p>
    <w:p w14:paraId="729366EA">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_Toc5614 </w:instrText>
      </w:r>
      <w:r>
        <w:rPr>
          <w:i w:val="0"/>
          <w:iCs w:val="0"/>
          <w:szCs w:val="21"/>
          <w:highlight w:val="none"/>
        </w:rPr>
        <w:fldChar w:fldCharType="separate"/>
      </w:r>
      <w:r>
        <w:rPr>
          <w:rFonts w:hint="default" w:ascii="Arial" w:hAnsi="Arial" w:cs="Arial"/>
          <w:i w:val="0"/>
          <w:iCs w:val="0"/>
          <w:szCs w:val="22"/>
          <w:lang w:val="en-US"/>
        </w:rPr>
        <w:t xml:space="preserve">10.1.7 </w:t>
      </w:r>
      <w:r>
        <w:rPr>
          <w:rFonts w:hint="eastAsia"/>
          <w:i w:val="0"/>
          <w:iCs w:val="0"/>
          <w:szCs w:val="22"/>
          <w:highlight w:val="none"/>
          <w:lang w:val="en-US"/>
        </w:rPr>
        <w:t>云管资源</w:t>
      </w:r>
      <w:r>
        <w:tab/>
      </w:r>
      <w:r>
        <w:fldChar w:fldCharType="begin"/>
      </w:r>
      <w:r>
        <w:instrText xml:space="preserve"> PAGEREF _Toc5614 \h </w:instrText>
      </w:r>
      <w:r>
        <w:fldChar w:fldCharType="separate"/>
      </w:r>
      <w:r>
        <w:t>102</w:t>
      </w:r>
      <w:r>
        <w:fldChar w:fldCharType="end"/>
      </w:r>
      <w:r>
        <w:rPr>
          <w:i w:val="0"/>
          <w:iCs w:val="0"/>
          <w:color w:val="auto"/>
          <w:szCs w:val="21"/>
          <w:highlight w:val="none"/>
        </w:rPr>
        <w:fldChar w:fldCharType="end"/>
      </w:r>
    </w:p>
    <w:p w14:paraId="10CF4EEB">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_Toc24024 </w:instrText>
      </w:r>
      <w:r>
        <w:rPr>
          <w:i w:val="0"/>
          <w:iCs w:val="0"/>
          <w:szCs w:val="21"/>
          <w:highlight w:val="none"/>
        </w:rPr>
        <w:fldChar w:fldCharType="separate"/>
      </w:r>
      <w:r>
        <w:rPr>
          <w:rFonts w:hint="default" w:ascii="Arial" w:hAnsi="Arial" w:cs="Arial"/>
          <w:i w:val="0"/>
          <w:iCs w:val="0"/>
          <w:szCs w:val="22"/>
          <w:lang w:val="en-US"/>
        </w:rPr>
        <w:t xml:space="preserve">10.1.8 </w:t>
      </w:r>
      <w:r>
        <w:rPr>
          <w:rFonts w:hint="eastAsia"/>
          <w:i w:val="0"/>
          <w:iCs w:val="0"/>
          <w:szCs w:val="22"/>
          <w:highlight w:val="none"/>
          <w:lang w:val="en-US"/>
        </w:rPr>
        <w:t>供电与接地</w:t>
      </w:r>
      <w:r>
        <w:tab/>
      </w:r>
      <w:r>
        <w:fldChar w:fldCharType="begin"/>
      </w:r>
      <w:r>
        <w:instrText xml:space="preserve"> PAGEREF _Toc24024 \h </w:instrText>
      </w:r>
      <w:r>
        <w:fldChar w:fldCharType="separate"/>
      </w:r>
      <w:r>
        <w:t>102</w:t>
      </w:r>
      <w:r>
        <w:fldChar w:fldCharType="end"/>
      </w:r>
      <w:r>
        <w:rPr>
          <w:i w:val="0"/>
          <w:iCs w:val="0"/>
          <w:color w:val="auto"/>
          <w:szCs w:val="21"/>
          <w:highlight w:val="none"/>
        </w:rPr>
        <w:fldChar w:fldCharType="end"/>
      </w:r>
    </w:p>
    <w:p w14:paraId="1AD71C50">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_Toc29237 </w:instrText>
      </w:r>
      <w:r>
        <w:rPr>
          <w:i w:val="0"/>
          <w:iCs w:val="0"/>
          <w:szCs w:val="21"/>
          <w:highlight w:val="none"/>
        </w:rPr>
        <w:fldChar w:fldCharType="separate"/>
      </w:r>
      <w:r>
        <w:rPr>
          <w:rFonts w:hint="default" w:ascii="Arial" w:hAnsi="Arial" w:cs="Arial"/>
          <w:i w:val="0"/>
          <w:iCs w:val="0"/>
          <w:szCs w:val="24"/>
        </w:rPr>
        <w:t xml:space="preserve">10.2 </w:t>
      </w:r>
      <w:r>
        <w:rPr>
          <w:rFonts w:hint="eastAsia"/>
          <w:i w:val="0"/>
          <w:iCs w:val="0"/>
          <w:szCs w:val="21"/>
          <w:highlight w:val="none"/>
        </w:rPr>
        <w:t>GBIM管理网云内应用迁移方案</w:t>
      </w:r>
      <w:r>
        <w:tab/>
      </w:r>
      <w:r>
        <w:fldChar w:fldCharType="begin"/>
      </w:r>
      <w:r>
        <w:instrText xml:space="preserve"> PAGEREF _Toc29237 \h </w:instrText>
      </w:r>
      <w:r>
        <w:fldChar w:fldCharType="separate"/>
      </w:r>
      <w:r>
        <w:t>102</w:t>
      </w:r>
      <w:r>
        <w:fldChar w:fldCharType="end"/>
      </w:r>
      <w:r>
        <w:rPr>
          <w:i w:val="0"/>
          <w:iCs w:val="0"/>
          <w:color w:val="auto"/>
          <w:szCs w:val="21"/>
          <w:highlight w:val="none"/>
        </w:rPr>
        <w:fldChar w:fldCharType="end"/>
      </w:r>
    </w:p>
    <w:p w14:paraId="057A159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_Toc11389 </w:instrText>
      </w:r>
      <w:r>
        <w:rPr>
          <w:i w:val="0"/>
          <w:iCs w:val="0"/>
          <w:szCs w:val="21"/>
          <w:highlight w:val="none"/>
        </w:rPr>
        <w:fldChar w:fldCharType="separate"/>
      </w:r>
      <w:r>
        <w:rPr>
          <w:rFonts w:hint="default" w:ascii="Arial" w:hAnsi="Arial" w:cs="Arial"/>
          <w:i w:val="0"/>
          <w:iCs w:val="0"/>
          <w:szCs w:val="22"/>
        </w:rPr>
        <w:t xml:space="preserve">10.2.1 </w:t>
      </w:r>
      <w:r>
        <w:rPr>
          <w:rFonts w:hint="eastAsia"/>
          <w:i w:val="0"/>
          <w:iCs w:val="0"/>
          <w:szCs w:val="22"/>
          <w:highlight w:val="none"/>
        </w:rPr>
        <w:t>迁移目标</w:t>
      </w:r>
      <w:r>
        <w:tab/>
      </w:r>
      <w:r>
        <w:fldChar w:fldCharType="begin"/>
      </w:r>
      <w:r>
        <w:instrText xml:space="preserve"> PAGEREF _Toc11389 \h </w:instrText>
      </w:r>
      <w:r>
        <w:fldChar w:fldCharType="separate"/>
      </w:r>
      <w:r>
        <w:t>103</w:t>
      </w:r>
      <w:r>
        <w:fldChar w:fldCharType="end"/>
      </w:r>
      <w:r>
        <w:rPr>
          <w:i w:val="0"/>
          <w:iCs w:val="0"/>
          <w:color w:val="auto"/>
          <w:szCs w:val="21"/>
          <w:highlight w:val="none"/>
        </w:rPr>
        <w:fldChar w:fldCharType="end"/>
      </w:r>
    </w:p>
    <w:p w14:paraId="47948A0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_Toc9338 </w:instrText>
      </w:r>
      <w:r>
        <w:rPr>
          <w:i w:val="0"/>
          <w:iCs w:val="0"/>
          <w:szCs w:val="21"/>
          <w:highlight w:val="none"/>
        </w:rPr>
        <w:fldChar w:fldCharType="separate"/>
      </w:r>
      <w:r>
        <w:rPr>
          <w:rFonts w:hint="default" w:ascii="Arial" w:hAnsi="Arial" w:cs="Arial"/>
          <w:i w:val="0"/>
          <w:iCs w:val="0"/>
          <w:szCs w:val="22"/>
        </w:rPr>
        <w:t xml:space="preserve">10.2.2 </w:t>
      </w:r>
      <w:r>
        <w:rPr>
          <w:rFonts w:hint="eastAsia"/>
          <w:i w:val="0"/>
          <w:iCs w:val="0"/>
          <w:szCs w:val="22"/>
          <w:highlight w:val="none"/>
        </w:rPr>
        <w:t>管理网业务对云平台的资源需求</w:t>
      </w:r>
      <w:r>
        <w:tab/>
      </w:r>
      <w:r>
        <w:fldChar w:fldCharType="begin"/>
      </w:r>
      <w:r>
        <w:instrText xml:space="preserve"> PAGEREF _Toc9338 \h </w:instrText>
      </w:r>
      <w:r>
        <w:fldChar w:fldCharType="separate"/>
      </w:r>
      <w:r>
        <w:t>103</w:t>
      </w:r>
      <w:r>
        <w:fldChar w:fldCharType="end"/>
      </w:r>
      <w:r>
        <w:rPr>
          <w:i w:val="0"/>
          <w:iCs w:val="0"/>
          <w:color w:val="auto"/>
          <w:szCs w:val="21"/>
          <w:highlight w:val="none"/>
        </w:rPr>
        <w:fldChar w:fldCharType="end"/>
      </w:r>
    </w:p>
    <w:p w14:paraId="76EC348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_Toc24884 </w:instrText>
      </w:r>
      <w:r>
        <w:rPr>
          <w:i w:val="0"/>
          <w:iCs w:val="0"/>
          <w:szCs w:val="21"/>
          <w:highlight w:val="none"/>
        </w:rPr>
        <w:fldChar w:fldCharType="separate"/>
      </w:r>
      <w:r>
        <w:rPr>
          <w:rFonts w:hint="default" w:ascii="Arial" w:hAnsi="Arial" w:cs="Arial"/>
          <w:i w:val="0"/>
          <w:iCs w:val="0"/>
          <w:szCs w:val="22"/>
        </w:rPr>
        <w:t xml:space="preserve">10.2.3 </w:t>
      </w:r>
      <w:r>
        <w:rPr>
          <w:rFonts w:hint="eastAsia"/>
          <w:i w:val="0"/>
          <w:iCs w:val="0"/>
          <w:szCs w:val="22"/>
          <w:highlight w:val="none"/>
        </w:rPr>
        <w:t>资源</w:t>
      </w:r>
      <w:r>
        <w:rPr>
          <w:rFonts w:hint="eastAsia"/>
          <w:i w:val="0"/>
          <w:iCs w:val="0"/>
          <w:szCs w:val="22"/>
          <w:highlight w:val="none"/>
          <w:lang w:val="en-US"/>
        </w:rPr>
        <w:t>设计</w:t>
      </w:r>
      <w:r>
        <w:tab/>
      </w:r>
      <w:r>
        <w:fldChar w:fldCharType="begin"/>
      </w:r>
      <w:r>
        <w:instrText xml:space="preserve"> PAGEREF _Toc24884 \h </w:instrText>
      </w:r>
      <w:r>
        <w:fldChar w:fldCharType="separate"/>
      </w:r>
      <w:r>
        <w:t>103</w:t>
      </w:r>
      <w:r>
        <w:fldChar w:fldCharType="end"/>
      </w:r>
      <w:r>
        <w:rPr>
          <w:i w:val="0"/>
          <w:iCs w:val="0"/>
          <w:color w:val="auto"/>
          <w:szCs w:val="21"/>
          <w:highlight w:val="none"/>
        </w:rPr>
        <w:fldChar w:fldCharType="end"/>
      </w:r>
    </w:p>
    <w:p w14:paraId="75CE1BA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_Toc12639 </w:instrText>
      </w:r>
      <w:r>
        <w:rPr>
          <w:i w:val="0"/>
          <w:iCs w:val="0"/>
          <w:szCs w:val="21"/>
          <w:highlight w:val="none"/>
        </w:rPr>
        <w:fldChar w:fldCharType="separate"/>
      </w:r>
      <w:r>
        <w:rPr>
          <w:rFonts w:hint="default" w:ascii="Arial" w:hAnsi="Arial" w:cs="Arial"/>
          <w:i w:val="0"/>
          <w:iCs w:val="0"/>
          <w:szCs w:val="22"/>
        </w:rPr>
        <w:t xml:space="preserve">10.2.4 </w:t>
      </w:r>
      <w:r>
        <w:rPr>
          <w:rFonts w:hint="eastAsia"/>
          <w:i w:val="0"/>
          <w:iCs w:val="0"/>
          <w:szCs w:val="22"/>
          <w:highlight w:val="none"/>
          <w:lang w:val="en-US"/>
        </w:rPr>
        <w:t>管理网</w:t>
      </w:r>
      <w:r>
        <w:rPr>
          <w:rFonts w:hint="eastAsia"/>
          <w:i w:val="0"/>
          <w:iCs w:val="0"/>
          <w:szCs w:val="22"/>
          <w:highlight w:val="none"/>
        </w:rPr>
        <w:t>云平台建设内容</w:t>
      </w:r>
      <w:r>
        <w:tab/>
      </w:r>
      <w:r>
        <w:fldChar w:fldCharType="begin"/>
      </w:r>
      <w:r>
        <w:instrText xml:space="preserve"> PAGEREF _Toc12639 \h </w:instrText>
      </w:r>
      <w:r>
        <w:fldChar w:fldCharType="separate"/>
      </w:r>
      <w:r>
        <w:t>104</w:t>
      </w:r>
      <w:r>
        <w:fldChar w:fldCharType="end"/>
      </w:r>
      <w:r>
        <w:rPr>
          <w:i w:val="0"/>
          <w:iCs w:val="0"/>
          <w:color w:val="auto"/>
          <w:szCs w:val="21"/>
          <w:highlight w:val="none"/>
        </w:rPr>
        <w:fldChar w:fldCharType="end"/>
      </w:r>
    </w:p>
    <w:p w14:paraId="6AAF063E">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_Toc4228 </w:instrText>
      </w:r>
      <w:r>
        <w:rPr>
          <w:i w:val="0"/>
          <w:iCs w:val="0"/>
          <w:szCs w:val="21"/>
          <w:highlight w:val="none"/>
        </w:rPr>
        <w:fldChar w:fldCharType="separate"/>
      </w:r>
      <w:r>
        <w:rPr>
          <w:rFonts w:hint="default" w:ascii="Arial" w:hAnsi="Arial" w:cs="Arial"/>
          <w:i w:val="0"/>
          <w:iCs w:val="0"/>
          <w:szCs w:val="22"/>
          <w:lang w:val="en-US"/>
        </w:rPr>
        <w:t xml:space="preserve">10.2.5 </w:t>
      </w:r>
      <w:r>
        <w:rPr>
          <w:rFonts w:hint="eastAsia"/>
          <w:i w:val="0"/>
          <w:iCs w:val="0"/>
          <w:szCs w:val="22"/>
          <w:highlight w:val="none"/>
          <w:lang w:val="en-US"/>
        </w:rPr>
        <w:t>迁移实施</w:t>
      </w:r>
      <w:r>
        <w:tab/>
      </w:r>
      <w:r>
        <w:fldChar w:fldCharType="begin"/>
      </w:r>
      <w:r>
        <w:instrText xml:space="preserve"> PAGEREF _Toc4228 \h </w:instrText>
      </w:r>
      <w:r>
        <w:fldChar w:fldCharType="separate"/>
      </w:r>
      <w:r>
        <w:t>109</w:t>
      </w:r>
      <w:r>
        <w:fldChar w:fldCharType="end"/>
      </w:r>
      <w:r>
        <w:rPr>
          <w:i w:val="0"/>
          <w:iCs w:val="0"/>
          <w:color w:val="auto"/>
          <w:szCs w:val="21"/>
          <w:highlight w:val="none"/>
        </w:rPr>
        <w:fldChar w:fldCharType="end"/>
      </w:r>
    </w:p>
    <w:p w14:paraId="74912CE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_Toc7190 </w:instrText>
      </w:r>
      <w:r>
        <w:rPr>
          <w:i w:val="0"/>
          <w:iCs w:val="0"/>
          <w:szCs w:val="21"/>
          <w:highlight w:val="none"/>
        </w:rPr>
        <w:fldChar w:fldCharType="separate"/>
      </w:r>
      <w:r>
        <w:rPr>
          <w:rFonts w:hint="default" w:ascii="Arial" w:hAnsi="Arial" w:cs="Arial"/>
          <w:i w:val="0"/>
          <w:iCs w:val="0"/>
          <w:szCs w:val="22"/>
          <w:lang w:val="en-US"/>
        </w:rPr>
        <w:t xml:space="preserve">10.2.6 </w:t>
      </w:r>
      <w:r>
        <w:rPr>
          <w:rFonts w:hint="eastAsia"/>
          <w:i w:val="0"/>
          <w:iCs w:val="0"/>
          <w:szCs w:val="22"/>
          <w:highlight w:val="none"/>
          <w:lang w:val="en-US"/>
        </w:rPr>
        <w:t>供电与接地</w:t>
      </w:r>
      <w:r>
        <w:tab/>
      </w:r>
      <w:r>
        <w:fldChar w:fldCharType="begin"/>
      </w:r>
      <w:r>
        <w:instrText xml:space="preserve"> PAGEREF _Toc7190 \h </w:instrText>
      </w:r>
      <w:r>
        <w:fldChar w:fldCharType="separate"/>
      </w:r>
      <w:r>
        <w:t>111</w:t>
      </w:r>
      <w:r>
        <w:fldChar w:fldCharType="end"/>
      </w:r>
      <w:r>
        <w:rPr>
          <w:i w:val="0"/>
          <w:iCs w:val="0"/>
          <w:color w:val="auto"/>
          <w:szCs w:val="21"/>
          <w:highlight w:val="none"/>
        </w:rPr>
        <w:fldChar w:fldCharType="end"/>
      </w:r>
    </w:p>
    <w:p w14:paraId="4934FE17">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_Toc30351 </w:instrText>
      </w:r>
      <w:r>
        <w:rPr>
          <w:i w:val="0"/>
          <w:iCs w:val="0"/>
          <w:szCs w:val="21"/>
          <w:highlight w:val="none"/>
        </w:rPr>
        <w:fldChar w:fldCharType="separate"/>
      </w:r>
      <w:r>
        <w:rPr>
          <w:rFonts w:hint="default" w:ascii="Arial" w:hAnsi="Arial" w:cs="Arial"/>
          <w:i w:val="0"/>
          <w:iCs w:val="0"/>
          <w:szCs w:val="24"/>
        </w:rPr>
        <w:t xml:space="preserve">10.3 </w:t>
      </w:r>
      <w:r>
        <w:rPr>
          <w:rFonts w:hint="eastAsia"/>
          <w:i w:val="0"/>
          <w:iCs w:val="0"/>
          <w:szCs w:val="21"/>
          <w:highlight w:val="none"/>
        </w:rPr>
        <w:t>电源、接地</w:t>
      </w:r>
      <w:r>
        <w:tab/>
      </w:r>
      <w:r>
        <w:fldChar w:fldCharType="begin"/>
      </w:r>
      <w:r>
        <w:instrText xml:space="preserve"> PAGEREF _Toc30351 \h </w:instrText>
      </w:r>
      <w:r>
        <w:fldChar w:fldCharType="separate"/>
      </w:r>
      <w:r>
        <w:t>111</w:t>
      </w:r>
      <w:r>
        <w:fldChar w:fldCharType="end"/>
      </w:r>
      <w:r>
        <w:rPr>
          <w:i w:val="0"/>
          <w:iCs w:val="0"/>
          <w:color w:val="auto"/>
          <w:szCs w:val="21"/>
          <w:highlight w:val="none"/>
        </w:rPr>
        <w:fldChar w:fldCharType="end"/>
      </w:r>
    </w:p>
    <w:p w14:paraId="60318637">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_Toc18182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11. </w:t>
      </w:r>
      <w:r>
        <w:rPr>
          <w:rFonts w:hint="eastAsia"/>
          <w:i w:val="0"/>
          <w:iCs w:val="0"/>
          <w:szCs w:val="32"/>
          <w:highlight w:val="none"/>
        </w:rPr>
        <w:t>系统硬件配置要求</w:t>
      </w:r>
      <w:r>
        <w:tab/>
      </w:r>
      <w:r>
        <w:fldChar w:fldCharType="begin"/>
      </w:r>
      <w:r>
        <w:instrText xml:space="preserve"> PAGEREF _Toc18182 \h </w:instrText>
      </w:r>
      <w:r>
        <w:fldChar w:fldCharType="separate"/>
      </w:r>
      <w:r>
        <w:t>112</w:t>
      </w:r>
      <w:r>
        <w:fldChar w:fldCharType="end"/>
      </w:r>
      <w:r>
        <w:rPr>
          <w:i w:val="0"/>
          <w:iCs w:val="0"/>
          <w:color w:val="auto"/>
          <w:szCs w:val="21"/>
          <w:highlight w:val="none"/>
        </w:rPr>
        <w:fldChar w:fldCharType="end"/>
      </w:r>
    </w:p>
    <w:p w14:paraId="245125BC">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_Toc28586 </w:instrText>
      </w:r>
      <w:r>
        <w:rPr>
          <w:i w:val="0"/>
          <w:iCs w:val="0"/>
          <w:szCs w:val="21"/>
          <w:highlight w:val="none"/>
        </w:rPr>
        <w:fldChar w:fldCharType="separate"/>
      </w:r>
      <w:r>
        <w:rPr>
          <w:rFonts w:hint="default" w:ascii="Arial" w:hAnsi="Arial" w:cs="Arial"/>
          <w:i w:val="0"/>
          <w:iCs w:val="0"/>
          <w:szCs w:val="24"/>
        </w:rPr>
        <w:t xml:space="preserve">11.1 </w:t>
      </w:r>
      <w:r>
        <w:rPr>
          <w:rFonts w:hint="eastAsia"/>
          <w:i w:val="0"/>
          <w:iCs w:val="0"/>
          <w:szCs w:val="21"/>
          <w:highlight w:val="none"/>
        </w:rPr>
        <w:t>防洪防汛应急处置系统硬件参数要求</w:t>
      </w:r>
      <w:r>
        <w:tab/>
      </w:r>
      <w:r>
        <w:fldChar w:fldCharType="begin"/>
      </w:r>
      <w:r>
        <w:instrText xml:space="preserve"> PAGEREF _Toc28586 \h </w:instrText>
      </w:r>
      <w:r>
        <w:fldChar w:fldCharType="separate"/>
      </w:r>
      <w:r>
        <w:t>112</w:t>
      </w:r>
      <w:r>
        <w:fldChar w:fldCharType="end"/>
      </w:r>
      <w:r>
        <w:rPr>
          <w:i w:val="0"/>
          <w:iCs w:val="0"/>
          <w:color w:val="auto"/>
          <w:szCs w:val="21"/>
          <w:highlight w:val="none"/>
        </w:rPr>
        <w:fldChar w:fldCharType="end"/>
      </w:r>
    </w:p>
    <w:p w14:paraId="4651085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_Toc14997 </w:instrText>
      </w:r>
      <w:r>
        <w:rPr>
          <w:i w:val="0"/>
          <w:iCs w:val="0"/>
          <w:szCs w:val="21"/>
          <w:highlight w:val="none"/>
        </w:rPr>
        <w:fldChar w:fldCharType="separate"/>
      </w:r>
      <w:r>
        <w:rPr>
          <w:rFonts w:hint="default" w:ascii="Arial" w:hAnsi="Arial" w:cs="Arial"/>
          <w:i w:val="0"/>
          <w:iCs w:val="0"/>
          <w:szCs w:val="22"/>
          <w:lang w:val="en-US"/>
        </w:rPr>
        <w:t xml:space="preserve">11.1.1 </w:t>
      </w:r>
      <w:r>
        <w:rPr>
          <w:rFonts w:hint="eastAsia"/>
          <w:i w:val="0"/>
          <w:iCs w:val="0"/>
          <w:szCs w:val="22"/>
          <w:highlight w:val="none"/>
          <w:lang w:val="en-US"/>
        </w:rPr>
        <w:t>电子水尺</w:t>
      </w:r>
      <w:r>
        <w:tab/>
      </w:r>
      <w:r>
        <w:fldChar w:fldCharType="begin"/>
      </w:r>
      <w:r>
        <w:instrText xml:space="preserve"> PAGEREF _Toc14997 \h </w:instrText>
      </w:r>
      <w:r>
        <w:fldChar w:fldCharType="separate"/>
      </w:r>
      <w:r>
        <w:t>112</w:t>
      </w:r>
      <w:r>
        <w:fldChar w:fldCharType="end"/>
      </w:r>
      <w:r>
        <w:rPr>
          <w:i w:val="0"/>
          <w:iCs w:val="0"/>
          <w:color w:val="auto"/>
          <w:szCs w:val="21"/>
          <w:highlight w:val="none"/>
        </w:rPr>
        <w:fldChar w:fldCharType="end"/>
      </w:r>
    </w:p>
    <w:p w14:paraId="6A4AB67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_Toc4732 </w:instrText>
      </w:r>
      <w:r>
        <w:rPr>
          <w:i w:val="0"/>
          <w:iCs w:val="0"/>
          <w:szCs w:val="21"/>
          <w:highlight w:val="none"/>
        </w:rPr>
        <w:fldChar w:fldCharType="separate"/>
      </w:r>
      <w:r>
        <w:rPr>
          <w:rFonts w:hint="default" w:ascii="Arial" w:hAnsi="Arial" w:cs="Arial"/>
          <w:i w:val="0"/>
          <w:iCs w:val="0"/>
          <w:szCs w:val="22"/>
          <w:lang w:val="en-US"/>
        </w:rPr>
        <w:t xml:space="preserve">11.1.2 </w:t>
      </w:r>
      <w:r>
        <w:rPr>
          <w:rFonts w:hint="eastAsia"/>
          <w:i w:val="0"/>
          <w:iCs w:val="0"/>
          <w:szCs w:val="22"/>
          <w:highlight w:val="none"/>
          <w:lang w:val="en-US"/>
        </w:rPr>
        <w:t>AI点位模块</w:t>
      </w:r>
      <w:r>
        <w:tab/>
      </w:r>
      <w:r>
        <w:fldChar w:fldCharType="begin"/>
      </w:r>
      <w:r>
        <w:instrText xml:space="preserve"> PAGEREF _Toc4732 \h </w:instrText>
      </w:r>
      <w:r>
        <w:fldChar w:fldCharType="separate"/>
      </w:r>
      <w:r>
        <w:t>112</w:t>
      </w:r>
      <w:r>
        <w:fldChar w:fldCharType="end"/>
      </w:r>
      <w:r>
        <w:rPr>
          <w:i w:val="0"/>
          <w:iCs w:val="0"/>
          <w:color w:val="auto"/>
          <w:szCs w:val="21"/>
          <w:highlight w:val="none"/>
        </w:rPr>
        <w:fldChar w:fldCharType="end"/>
      </w:r>
    </w:p>
    <w:p w14:paraId="7818C72F">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_Toc2880 </w:instrText>
      </w:r>
      <w:r>
        <w:rPr>
          <w:i w:val="0"/>
          <w:iCs w:val="0"/>
          <w:szCs w:val="21"/>
          <w:highlight w:val="none"/>
        </w:rPr>
        <w:fldChar w:fldCharType="separate"/>
      </w:r>
      <w:r>
        <w:rPr>
          <w:rFonts w:hint="default" w:ascii="Arial" w:hAnsi="Arial" w:cs="Arial"/>
          <w:i w:val="0"/>
          <w:iCs w:val="0"/>
          <w:szCs w:val="24"/>
        </w:rPr>
        <w:t xml:space="preserve">11.2 </w:t>
      </w:r>
      <w:r>
        <w:rPr>
          <w:rFonts w:hint="eastAsia"/>
          <w:i w:val="0"/>
          <w:iCs w:val="0"/>
          <w:szCs w:val="21"/>
          <w:highlight w:val="none"/>
        </w:rPr>
        <w:t>视频分析系统设备配置要求</w:t>
      </w:r>
      <w:r>
        <w:tab/>
      </w:r>
      <w:r>
        <w:fldChar w:fldCharType="begin"/>
      </w:r>
      <w:r>
        <w:instrText xml:space="preserve"> PAGEREF _Toc2880 \h </w:instrText>
      </w:r>
      <w:r>
        <w:fldChar w:fldCharType="separate"/>
      </w:r>
      <w:r>
        <w:t>112</w:t>
      </w:r>
      <w:r>
        <w:fldChar w:fldCharType="end"/>
      </w:r>
      <w:r>
        <w:rPr>
          <w:i w:val="0"/>
          <w:iCs w:val="0"/>
          <w:color w:val="auto"/>
          <w:szCs w:val="21"/>
          <w:highlight w:val="none"/>
        </w:rPr>
        <w:fldChar w:fldCharType="end"/>
      </w:r>
    </w:p>
    <w:p w14:paraId="18F19A6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_Toc24636 </w:instrText>
      </w:r>
      <w:r>
        <w:rPr>
          <w:i w:val="0"/>
          <w:iCs w:val="0"/>
          <w:szCs w:val="21"/>
          <w:highlight w:val="none"/>
        </w:rPr>
        <w:fldChar w:fldCharType="separate"/>
      </w:r>
      <w:r>
        <w:rPr>
          <w:rFonts w:hint="default" w:ascii="Arial" w:hAnsi="Arial" w:cs="Arial"/>
          <w:i w:val="0"/>
          <w:iCs w:val="0"/>
          <w:szCs w:val="22"/>
        </w:rPr>
        <w:t xml:space="preserve">11.2.1 </w:t>
      </w:r>
      <w:r>
        <w:rPr>
          <w:rFonts w:hint="eastAsia"/>
          <w:i w:val="0"/>
          <w:iCs w:val="0"/>
          <w:szCs w:val="22"/>
          <w:highlight w:val="none"/>
        </w:rPr>
        <w:t>视频智能分析设备</w:t>
      </w:r>
      <w:r>
        <w:tab/>
      </w:r>
      <w:r>
        <w:fldChar w:fldCharType="begin"/>
      </w:r>
      <w:r>
        <w:instrText xml:space="preserve"> PAGEREF _Toc24636 \h </w:instrText>
      </w:r>
      <w:r>
        <w:fldChar w:fldCharType="separate"/>
      </w:r>
      <w:r>
        <w:t>112</w:t>
      </w:r>
      <w:r>
        <w:fldChar w:fldCharType="end"/>
      </w:r>
      <w:r>
        <w:rPr>
          <w:i w:val="0"/>
          <w:iCs w:val="0"/>
          <w:color w:val="auto"/>
          <w:szCs w:val="21"/>
          <w:highlight w:val="none"/>
        </w:rPr>
        <w:fldChar w:fldCharType="end"/>
      </w:r>
    </w:p>
    <w:p w14:paraId="1DFE599B">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_Toc8546 </w:instrText>
      </w:r>
      <w:r>
        <w:rPr>
          <w:i w:val="0"/>
          <w:iCs w:val="0"/>
          <w:szCs w:val="21"/>
          <w:highlight w:val="none"/>
        </w:rPr>
        <w:fldChar w:fldCharType="separate"/>
      </w:r>
      <w:r>
        <w:rPr>
          <w:rFonts w:hint="default" w:ascii="Arial" w:hAnsi="Arial" w:cs="Arial"/>
          <w:i w:val="0"/>
          <w:iCs w:val="0"/>
          <w:szCs w:val="22"/>
        </w:rPr>
        <w:t xml:space="preserve">11.2.2 </w:t>
      </w:r>
      <w:r>
        <w:rPr>
          <w:rFonts w:hint="eastAsia"/>
          <w:i w:val="0"/>
          <w:iCs w:val="0"/>
          <w:szCs w:val="22"/>
          <w:highlight w:val="none"/>
        </w:rPr>
        <w:t>警务电脑终端</w:t>
      </w:r>
      <w:r>
        <w:tab/>
      </w:r>
      <w:r>
        <w:fldChar w:fldCharType="begin"/>
      </w:r>
      <w:r>
        <w:instrText xml:space="preserve"> PAGEREF _Toc8546 \h </w:instrText>
      </w:r>
      <w:r>
        <w:fldChar w:fldCharType="separate"/>
      </w:r>
      <w:r>
        <w:t>113</w:t>
      </w:r>
      <w:r>
        <w:fldChar w:fldCharType="end"/>
      </w:r>
      <w:r>
        <w:rPr>
          <w:i w:val="0"/>
          <w:iCs w:val="0"/>
          <w:color w:val="auto"/>
          <w:szCs w:val="21"/>
          <w:highlight w:val="none"/>
        </w:rPr>
        <w:fldChar w:fldCharType="end"/>
      </w:r>
    </w:p>
    <w:p w14:paraId="0B7F58A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_Toc25551 </w:instrText>
      </w:r>
      <w:r>
        <w:rPr>
          <w:i w:val="0"/>
          <w:iCs w:val="0"/>
          <w:szCs w:val="21"/>
          <w:highlight w:val="none"/>
        </w:rPr>
        <w:fldChar w:fldCharType="separate"/>
      </w:r>
      <w:r>
        <w:rPr>
          <w:rFonts w:hint="default" w:ascii="Arial" w:hAnsi="Arial" w:cs="Arial"/>
          <w:i w:val="0"/>
          <w:iCs w:val="0"/>
          <w:szCs w:val="22"/>
        </w:rPr>
        <w:t xml:space="preserve">11.2.3 </w:t>
      </w:r>
      <w:r>
        <w:rPr>
          <w:rFonts w:hint="eastAsia"/>
          <w:i w:val="0"/>
          <w:iCs w:val="0"/>
          <w:szCs w:val="22"/>
          <w:highlight w:val="none"/>
        </w:rPr>
        <w:t>防火墙设备</w:t>
      </w:r>
      <w:r>
        <w:tab/>
      </w:r>
      <w:r>
        <w:fldChar w:fldCharType="begin"/>
      </w:r>
      <w:r>
        <w:instrText xml:space="preserve"> PAGEREF _Toc25551 \h </w:instrText>
      </w:r>
      <w:r>
        <w:fldChar w:fldCharType="separate"/>
      </w:r>
      <w:r>
        <w:t>113</w:t>
      </w:r>
      <w:r>
        <w:fldChar w:fldCharType="end"/>
      </w:r>
      <w:r>
        <w:rPr>
          <w:i w:val="0"/>
          <w:iCs w:val="0"/>
          <w:color w:val="auto"/>
          <w:szCs w:val="21"/>
          <w:highlight w:val="none"/>
        </w:rPr>
        <w:fldChar w:fldCharType="end"/>
      </w:r>
    </w:p>
    <w:p w14:paraId="6AB9DB3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_Toc30818 </w:instrText>
      </w:r>
      <w:r>
        <w:rPr>
          <w:i w:val="0"/>
          <w:iCs w:val="0"/>
          <w:szCs w:val="21"/>
          <w:highlight w:val="none"/>
        </w:rPr>
        <w:fldChar w:fldCharType="separate"/>
      </w:r>
      <w:r>
        <w:rPr>
          <w:rFonts w:hint="default" w:ascii="Arial" w:hAnsi="Arial" w:cs="Arial"/>
          <w:i w:val="0"/>
          <w:iCs w:val="0"/>
          <w:szCs w:val="22"/>
          <w:lang w:val="en-US"/>
        </w:rPr>
        <w:t xml:space="preserve">11.2.4 </w:t>
      </w:r>
      <w:r>
        <w:rPr>
          <w:rFonts w:hint="eastAsia"/>
          <w:i w:val="0"/>
          <w:iCs w:val="0"/>
          <w:szCs w:val="15"/>
          <w:highlight w:val="none"/>
          <w:lang w:val="en-US"/>
        </w:rPr>
        <w:t>PDU</w:t>
      </w:r>
      <w:r>
        <w:tab/>
      </w:r>
      <w:r>
        <w:fldChar w:fldCharType="begin"/>
      </w:r>
      <w:r>
        <w:instrText xml:space="preserve"> PAGEREF _Toc30818 \h </w:instrText>
      </w:r>
      <w:r>
        <w:fldChar w:fldCharType="separate"/>
      </w:r>
      <w:r>
        <w:t>114</w:t>
      </w:r>
      <w:r>
        <w:fldChar w:fldCharType="end"/>
      </w:r>
      <w:r>
        <w:rPr>
          <w:i w:val="0"/>
          <w:iCs w:val="0"/>
          <w:color w:val="auto"/>
          <w:szCs w:val="21"/>
          <w:highlight w:val="none"/>
        </w:rPr>
        <w:fldChar w:fldCharType="end"/>
      </w:r>
    </w:p>
    <w:p w14:paraId="31C56A18">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_Toc7882 </w:instrText>
      </w:r>
      <w:r>
        <w:rPr>
          <w:i w:val="0"/>
          <w:iCs w:val="0"/>
          <w:szCs w:val="21"/>
          <w:highlight w:val="none"/>
        </w:rPr>
        <w:fldChar w:fldCharType="separate"/>
      </w:r>
      <w:r>
        <w:rPr>
          <w:rFonts w:hint="default" w:ascii="Arial" w:hAnsi="Arial" w:cs="Arial"/>
          <w:i w:val="0"/>
          <w:iCs w:val="0"/>
          <w:szCs w:val="24"/>
        </w:rPr>
        <w:t xml:space="preserve">11.3 </w:t>
      </w:r>
      <w:r>
        <w:rPr>
          <w:rFonts w:hint="eastAsia"/>
          <w:i w:val="0"/>
          <w:iCs w:val="0"/>
          <w:szCs w:val="21"/>
          <w:highlight w:val="none"/>
        </w:rPr>
        <w:t>FAS与门禁系统联动硬件设备配置要求</w:t>
      </w:r>
      <w:r>
        <w:tab/>
      </w:r>
      <w:r>
        <w:fldChar w:fldCharType="begin"/>
      </w:r>
      <w:r>
        <w:instrText xml:space="preserve"> PAGEREF _Toc7882 \h </w:instrText>
      </w:r>
      <w:r>
        <w:fldChar w:fldCharType="separate"/>
      </w:r>
      <w:r>
        <w:t>114</w:t>
      </w:r>
      <w:r>
        <w:fldChar w:fldCharType="end"/>
      </w:r>
      <w:r>
        <w:rPr>
          <w:i w:val="0"/>
          <w:iCs w:val="0"/>
          <w:color w:val="auto"/>
          <w:szCs w:val="21"/>
          <w:highlight w:val="none"/>
        </w:rPr>
        <w:fldChar w:fldCharType="end"/>
      </w:r>
    </w:p>
    <w:p w14:paraId="2620E07A">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_Toc22558 </w:instrText>
      </w:r>
      <w:r>
        <w:rPr>
          <w:i w:val="0"/>
          <w:iCs w:val="0"/>
          <w:szCs w:val="21"/>
          <w:highlight w:val="none"/>
        </w:rPr>
        <w:fldChar w:fldCharType="separate"/>
      </w:r>
      <w:r>
        <w:rPr>
          <w:rFonts w:hint="default" w:ascii="Arial" w:hAnsi="Arial" w:cs="Arial"/>
          <w:i w:val="0"/>
          <w:iCs w:val="0"/>
          <w:szCs w:val="24"/>
        </w:rPr>
        <w:t xml:space="preserve">11.4 </w:t>
      </w:r>
      <w:r>
        <w:rPr>
          <w:rFonts w:hint="eastAsia"/>
          <w:i w:val="0"/>
          <w:iCs w:val="0"/>
          <w:szCs w:val="21"/>
          <w:highlight w:val="none"/>
        </w:rPr>
        <w:t>司机行为分析系统硬件配置要求</w:t>
      </w:r>
      <w:r>
        <w:tab/>
      </w:r>
      <w:r>
        <w:fldChar w:fldCharType="begin"/>
      </w:r>
      <w:r>
        <w:instrText xml:space="preserve"> PAGEREF _Toc22558 \h </w:instrText>
      </w:r>
      <w:r>
        <w:fldChar w:fldCharType="separate"/>
      </w:r>
      <w:r>
        <w:t>114</w:t>
      </w:r>
      <w:r>
        <w:fldChar w:fldCharType="end"/>
      </w:r>
      <w:r>
        <w:rPr>
          <w:i w:val="0"/>
          <w:iCs w:val="0"/>
          <w:color w:val="auto"/>
          <w:szCs w:val="21"/>
          <w:highlight w:val="none"/>
        </w:rPr>
        <w:fldChar w:fldCharType="end"/>
      </w:r>
    </w:p>
    <w:p w14:paraId="1832CC7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_Toc23470 </w:instrText>
      </w:r>
      <w:r>
        <w:rPr>
          <w:i w:val="0"/>
          <w:iCs w:val="0"/>
          <w:szCs w:val="21"/>
          <w:highlight w:val="none"/>
        </w:rPr>
        <w:fldChar w:fldCharType="separate"/>
      </w:r>
      <w:r>
        <w:rPr>
          <w:rFonts w:hint="default" w:ascii="Arial" w:hAnsi="Arial" w:cs="Arial"/>
          <w:i w:val="0"/>
          <w:iCs w:val="0"/>
          <w:szCs w:val="22"/>
          <w:lang w:val="en-US"/>
        </w:rPr>
        <w:t xml:space="preserve">11.4.1 </w:t>
      </w:r>
      <w:r>
        <w:rPr>
          <w:rFonts w:hint="eastAsia"/>
          <w:i w:val="0"/>
          <w:iCs w:val="0"/>
          <w:szCs w:val="22"/>
          <w:highlight w:val="none"/>
          <w:lang w:val="en-US"/>
        </w:rPr>
        <w:t>语音告警装置</w:t>
      </w:r>
      <w:r>
        <w:tab/>
      </w:r>
      <w:r>
        <w:fldChar w:fldCharType="begin"/>
      </w:r>
      <w:r>
        <w:instrText xml:space="preserve"> PAGEREF _Toc23470 \h </w:instrText>
      </w:r>
      <w:r>
        <w:fldChar w:fldCharType="separate"/>
      </w:r>
      <w:r>
        <w:t>114</w:t>
      </w:r>
      <w:r>
        <w:fldChar w:fldCharType="end"/>
      </w:r>
      <w:r>
        <w:rPr>
          <w:i w:val="0"/>
          <w:iCs w:val="0"/>
          <w:color w:val="auto"/>
          <w:szCs w:val="21"/>
          <w:highlight w:val="none"/>
        </w:rPr>
        <w:fldChar w:fldCharType="end"/>
      </w:r>
    </w:p>
    <w:p w14:paraId="56F5633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_Toc25286 </w:instrText>
      </w:r>
      <w:r>
        <w:rPr>
          <w:i w:val="0"/>
          <w:iCs w:val="0"/>
          <w:szCs w:val="21"/>
          <w:highlight w:val="none"/>
        </w:rPr>
        <w:fldChar w:fldCharType="separate"/>
      </w:r>
      <w:r>
        <w:rPr>
          <w:rFonts w:hint="default" w:ascii="Arial" w:hAnsi="Arial" w:cs="Arial"/>
          <w:i w:val="0"/>
          <w:iCs w:val="0"/>
          <w:szCs w:val="22"/>
          <w:lang w:val="en-US"/>
        </w:rPr>
        <w:t xml:space="preserve">11.4.2 </w:t>
      </w:r>
      <w:r>
        <w:rPr>
          <w:rFonts w:hint="eastAsia"/>
          <w:i w:val="0"/>
          <w:iCs w:val="0"/>
          <w:szCs w:val="22"/>
          <w:highlight w:val="none"/>
          <w:lang w:val="en-US"/>
        </w:rPr>
        <w:t>交换机</w:t>
      </w:r>
      <w:r>
        <w:tab/>
      </w:r>
      <w:r>
        <w:fldChar w:fldCharType="begin"/>
      </w:r>
      <w:r>
        <w:instrText xml:space="preserve"> PAGEREF _Toc25286 \h </w:instrText>
      </w:r>
      <w:r>
        <w:fldChar w:fldCharType="separate"/>
      </w:r>
      <w:r>
        <w:t>114</w:t>
      </w:r>
      <w:r>
        <w:fldChar w:fldCharType="end"/>
      </w:r>
      <w:r>
        <w:rPr>
          <w:i w:val="0"/>
          <w:iCs w:val="0"/>
          <w:color w:val="auto"/>
          <w:szCs w:val="21"/>
          <w:highlight w:val="none"/>
        </w:rPr>
        <w:fldChar w:fldCharType="end"/>
      </w:r>
    </w:p>
    <w:p w14:paraId="3EEDCB6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_Toc30423 </w:instrText>
      </w:r>
      <w:r>
        <w:rPr>
          <w:i w:val="0"/>
          <w:iCs w:val="0"/>
          <w:szCs w:val="21"/>
          <w:highlight w:val="none"/>
        </w:rPr>
        <w:fldChar w:fldCharType="separate"/>
      </w:r>
      <w:r>
        <w:rPr>
          <w:rFonts w:hint="default" w:ascii="Arial" w:hAnsi="Arial" w:cs="Arial"/>
          <w:i w:val="0"/>
          <w:iCs w:val="0"/>
          <w:szCs w:val="22"/>
          <w:lang w:val="en-US"/>
        </w:rPr>
        <w:t xml:space="preserve">11.4.3 </w:t>
      </w:r>
      <w:r>
        <w:rPr>
          <w:rFonts w:hint="eastAsia"/>
          <w:i w:val="0"/>
          <w:iCs w:val="0"/>
          <w:szCs w:val="15"/>
          <w:highlight w:val="none"/>
          <w:lang w:val="en-US"/>
        </w:rPr>
        <w:t>PDU</w:t>
      </w:r>
      <w:r>
        <w:tab/>
      </w:r>
      <w:r>
        <w:fldChar w:fldCharType="begin"/>
      </w:r>
      <w:r>
        <w:instrText xml:space="preserve"> PAGEREF _Toc30423 \h </w:instrText>
      </w:r>
      <w:r>
        <w:fldChar w:fldCharType="separate"/>
      </w:r>
      <w:r>
        <w:t>114</w:t>
      </w:r>
      <w:r>
        <w:fldChar w:fldCharType="end"/>
      </w:r>
      <w:r>
        <w:rPr>
          <w:i w:val="0"/>
          <w:iCs w:val="0"/>
          <w:color w:val="auto"/>
          <w:szCs w:val="21"/>
          <w:highlight w:val="none"/>
        </w:rPr>
        <w:fldChar w:fldCharType="end"/>
      </w:r>
    </w:p>
    <w:p w14:paraId="5C7B3B73">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_Toc25226 </w:instrText>
      </w:r>
      <w:r>
        <w:rPr>
          <w:i w:val="0"/>
          <w:iCs w:val="0"/>
          <w:szCs w:val="21"/>
          <w:highlight w:val="none"/>
        </w:rPr>
        <w:fldChar w:fldCharType="separate"/>
      </w:r>
      <w:r>
        <w:rPr>
          <w:rFonts w:hint="default" w:ascii="Arial" w:hAnsi="Arial" w:cs="Arial"/>
          <w:i w:val="0"/>
          <w:iCs w:val="0"/>
          <w:szCs w:val="24"/>
        </w:rPr>
        <w:t xml:space="preserve">11.5 </w:t>
      </w:r>
      <w:r>
        <w:rPr>
          <w:rFonts w:hint="eastAsia"/>
          <w:i w:val="0"/>
          <w:iCs w:val="0"/>
          <w:szCs w:val="21"/>
          <w:highlight w:val="none"/>
        </w:rPr>
        <w:t>人脸门禁系统硬件设备性能要求</w:t>
      </w:r>
      <w:r>
        <w:tab/>
      </w:r>
      <w:r>
        <w:fldChar w:fldCharType="begin"/>
      </w:r>
      <w:r>
        <w:instrText xml:space="preserve"> PAGEREF _Toc25226 \h </w:instrText>
      </w:r>
      <w:r>
        <w:fldChar w:fldCharType="separate"/>
      </w:r>
      <w:r>
        <w:t>114</w:t>
      </w:r>
      <w:r>
        <w:fldChar w:fldCharType="end"/>
      </w:r>
      <w:r>
        <w:rPr>
          <w:i w:val="0"/>
          <w:iCs w:val="0"/>
          <w:color w:val="auto"/>
          <w:szCs w:val="21"/>
          <w:highlight w:val="none"/>
        </w:rPr>
        <w:fldChar w:fldCharType="end"/>
      </w:r>
    </w:p>
    <w:p w14:paraId="7DE0C86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_Toc31723 </w:instrText>
      </w:r>
      <w:r>
        <w:rPr>
          <w:i w:val="0"/>
          <w:iCs w:val="0"/>
          <w:szCs w:val="21"/>
          <w:highlight w:val="none"/>
        </w:rPr>
        <w:fldChar w:fldCharType="separate"/>
      </w:r>
      <w:r>
        <w:rPr>
          <w:rFonts w:hint="default" w:ascii="Arial" w:hAnsi="Arial" w:cs="Arial"/>
          <w:i w:val="0"/>
          <w:iCs w:val="0"/>
          <w:szCs w:val="22"/>
        </w:rPr>
        <w:t xml:space="preserve">11.5.1 </w:t>
      </w:r>
      <w:r>
        <w:rPr>
          <w:rFonts w:hint="eastAsia"/>
          <w:i w:val="0"/>
          <w:iCs w:val="0"/>
          <w:szCs w:val="22"/>
          <w:highlight w:val="none"/>
        </w:rPr>
        <w:t>人脸读卡器</w:t>
      </w:r>
      <w:r>
        <w:rPr>
          <w:rFonts w:hint="eastAsia"/>
          <w:i w:val="0"/>
          <w:iCs w:val="0"/>
          <w:szCs w:val="22"/>
          <w:highlight w:val="none"/>
          <w:lang w:val="en-US"/>
        </w:rPr>
        <w:t>性能要求</w:t>
      </w:r>
      <w:r>
        <w:tab/>
      </w:r>
      <w:r>
        <w:fldChar w:fldCharType="begin"/>
      </w:r>
      <w:r>
        <w:instrText xml:space="preserve"> PAGEREF _Toc31723 \h </w:instrText>
      </w:r>
      <w:r>
        <w:fldChar w:fldCharType="separate"/>
      </w:r>
      <w:r>
        <w:t>114</w:t>
      </w:r>
      <w:r>
        <w:fldChar w:fldCharType="end"/>
      </w:r>
      <w:r>
        <w:rPr>
          <w:i w:val="0"/>
          <w:iCs w:val="0"/>
          <w:color w:val="auto"/>
          <w:szCs w:val="21"/>
          <w:highlight w:val="none"/>
        </w:rPr>
        <w:fldChar w:fldCharType="end"/>
      </w:r>
    </w:p>
    <w:p w14:paraId="7C0AF64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_Toc24011 </w:instrText>
      </w:r>
      <w:r>
        <w:rPr>
          <w:i w:val="0"/>
          <w:iCs w:val="0"/>
          <w:szCs w:val="21"/>
          <w:highlight w:val="none"/>
        </w:rPr>
        <w:fldChar w:fldCharType="separate"/>
      </w:r>
      <w:r>
        <w:rPr>
          <w:rFonts w:hint="default" w:ascii="Arial" w:hAnsi="Arial" w:cs="Arial"/>
          <w:i w:val="0"/>
          <w:iCs w:val="0"/>
          <w:szCs w:val="22"/>
        </w:rPr>
        <w:t xml:space="preserve">11.5.2 </w:t>
      </w:r>
      <w:r>
        <w:rPr>
          <w:rFonts w:hint="eastAsia"/>
          <w:i w:val="0"/>
          <w:iCs w:val="0"/>
          <w:szCs w:val="22"/>
          <w:highlight w:val="none"/>
        </w:rPr>
        <w:t>人脸门禁面板接入交换机</w:t>
      </w:r>
      <w:r>
        <w:tab/>
      </w:r>
      <w:r>
        <w:fldChar w:fldCharType="begin"/>
      </w:r>
      <w:r>
        <w:instrText xml:space="preserve"> PAGEREF _Toc24011 \h </w:instrText>
      </w:r>
      <w:r>
        <w:fldChar w:fldCharType="separate"/>
      </w:r>
      <w:r>
        <w:t>115</w:t>
      </w:r>
      <w:r>
        <w:fldChar w:fldCharType="end"/>
      </w:r>
      <w:r>
        <w:rPr>
          <w:i w:val="0"/>
          <w:iCs w:val="0"/>
          <w:color w:val="auto"/>
          <w:szCs w:val="21"/>
          <w:highlight w:val="none"/>
        </w:rPr>
        <w:fldChar w:fldCharType="end"/>
      </w:r>
    </w:p>
    <w:p w14:paraId="24F82C5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_Toc9172 </w:instrText>
      </w:r>
      <w:r>
        <w:rPr>
          <w:i w:val="0"/>
          <w:iCs w:val="0"/>
          <w:szCs w:val="21"/>
          <w:highlight w:val="none"/>
        </w:rPr>
        <w:fldChar w:fldCharType="separate"/>
      </w:r>
      <w:r>
        <w:rPr>
          <w:rFonts w:hint="default" w:ascii="Arial" w:hAnsi="Arial" w:cs="Arial"/>
          <w:i w:val="0"/>
          <w:iCs w:val="0"/>
          <w:szCs w:val="22"/>
        </w:rPr>
        <w:t xml:space="preserve">11.5.3 </w:t>
      </w:r>
      <w:r>
        <w:rPr>
          <w:rFonts w:hint="eastAsia"/>
          <w:i w:val="0"/>
          <w:iCs w:val="0"/>
          <w:szCs w:val="22"/>
          <w:highlight w:val="none"/>
        </w:rPr>
        <w:t>就地控制器</w:t>
      </w:r>
      <w:r>
        <w:tab/>
      </w:r>
      <w:r>
        <w:fldChar w:fldCharType="begin"/>
      </w:r>
      <w:r>
        <w:instrText xml:space="preserve"> PAGEREF _Toc9172 \h </w:instrText>
      </w:r>
      <w:r>
        <w:fldChar w:fldCharType="separate"/>
      </w:r>
      <w:r>
        <w:t>115</w:t>
      </w:r>
      <w:r>
        <w:fldChar w:fldCharType="end"/>
      </w:r>
      <w:r>
        <w:rPr>
          <w:i w:val="0"/>
          <w:iCs w:val="0"/>
          <w:color w:val="auto"/>
          <w:szCs w:val="21"/>
          <w:highlight w:val="none"/>
        </w:rPr>
        <w:fldChar w:fldCharType="end"/>
      </w:r>
    </w:p>
    <w:p w14:paraId="28CCB1A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_Toc28072 </w:instrText>
      </w:r>
      <w:r>
        <w:rPr>
          <w:i w:val="0"/>
          <w:iCs w:val="0"/>
          <w:szCs w:val="21"/>
          <w:highlight w:val="none"/>
        </w:rPr>
        <w:fldChar w:fldCharType="separate"/>
      </w:r>
      <w:r>
        <w:rPr>
          <w:rFonts w:hint="default" w:ascii="Arial" w:hAnsi="Arial" w:cs="Arial"/>
          <w:i w:val="0"/>
          <w:iCs w:val="0"/>
          <w:szCs w:val="22"/>
          <w:lang w:val="en-US"/>
        </w:rPr>
        <w:t xml:space="preserve">11.5.4 </w:t>
      </w:r>
      <w:r>
        <w:rPr>
          <w:rFonts w:hint="eastAsia"/>
          <w:i w:val="0"/>
          <w:iCs w:val="0"/>
          <w:szCs w:val="22"/>
          <w:highlight w:val="none"/>
          <w:lang w:val="en-US"/>
        </w:rPr>
        <w:t>光电转换器</w:t>
      </w:r>
      <w:r>
        <w:tab/>
      </w:r>
      <w:r>
        <w:fldChar w:fldCharType="begin"/>
      </w:r>
      <w:r>
        <w:instrText xml:space="preserve"> PAGEREF _Toc28072 \h </w:instrText>
      </w:r>
      <w:r>
        <w:fldChar w:fldCharType="separate"/>
      </w:r>
      <w:r>
        <w:t>116</w:t>
      </w:r>
      <w:r>
        <w:fldChar w:fldCharType="end"/>
      </w:r>
      <w:r>
        <w:rPr>
          <w:i w:val="0"/>
          <w:iCs w:val="0"/>
          <w:color w:val="auto"/>
          <w:szCs w:val="21"/>
          <w:highlight w:val="none"/>
        </w:rPr>
        <w:fldChar w:fldCharType="end"/>
      </w:r>
    </w:p>
    <w:p w14:paraId="358F4135">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_Toc24465 </w:instrText>
      </w:r>
      <w:r>
        <w:rPr>
          <w:i w:val="0"/>
          <w:iCs w:val="0"/>
          <w:szCs w:val="21"/>
          <w:highlight w:val="none"/>
        </w:rPr>
        <w:fldChar w:fldCharType="separate"/>
      </w:r>
      <w:r>
        <w:rPr>
          <w:rFonts w:hint="default" w:ascii="Arial" w:hAnsi="Arial" w:cs="Arial"/>
          <w:i w:val="0"/>
          <w:iCs w:val="0"/>
          <w:szCs w:val="24"/>
        </w:rPr>
        <w:t xml:space="preserve">11.6 </w:t>
      </w:r>
      <w:r>
        <w:rPr>
          <w:rFonts w:hint="eastAsia"/>
          <w:i w:val="0"/>
          <w:iCs w:val="0"/>
          <w:szCs w:val="21"/>
          <w:highlight w:val="none"/>
        </w:rPr>
        <w:t>智能钥匙柜硬件设备性能要求</w:t>
      </w:r>
      <w:r>
        <w:tab/>
      </w:r>
      <w:r>
        <w:fldChar w:fldCharType="begin"/>
      </w:r>
      <w:r>
        <w:instrText xml:space="preserve"> PAGEREF _Toc24465 \h </w:instrText>
      </w:r>
      <w:r>
        <w:fldChar w:fldCharType="separate"/>
      </w:r>
      <w:r>
        <w:t>116</w:t>
      </w:r>
      <w:r>
        <w:fldChar w:fldCharType="end"/>
      </w:r>
      <w:r>
        <w:rPr>
          <w:i w:val="0"/>
          <w:iCs w:val="0"/>
          <w:color w:val="auto"/>
          <w:szCs w:val="21"/>
          <w:highlight w:val="none"/>
        </w:rPr>
        <w:fldChar w:fldCharType="end"/>
      </w:r>
    </w:p>
    <w:p w14:paraId="541622B5">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_Toc29214 </w:instrText>
      </w:r>
      <w:r>
        <w:rPr>
          <w:i w:val="0"/>
          <w:iCs w:val="0"/>
          <w:szCs w:val="21"/>
          <w:highlight w:val="none"/>
        </w:rPr>
        <w:fldChar w:fldCharType="separate"/>
      </w:r>
      <w:r>
        <w:rPr>
          <w:rFonts w:hint="default" w:ascii="Arial" w:hAnsi="Arial" w:cs="Arial"/>
          <w:i w:val="0"/>
          <w:iCs w:val="0"/>
          <w:szCs w:val="24"/>
        </w:rPr>
        <w:t xml:space="preserve">11.7 </w:t>
      </w:r>
      <w:r>
        <w:rPr>
          <w:rFonts w:hint="eastAsia"/>
          <w:i w:val="0"/>
          <w:iCs w:val="0"/>
          <w:szCs w:val="21"/>
          <w:highlight w:val="none"/>
        </w:rPr>
        <w:t>智能运维主要硬件设备技术要求</w:t>
      </w:r>
      <w:r>
        <w:tab/>
      </w:r>
      <w:r>
        <w:fldChar w:fldCharType="begin"/>
      </w:r>
      <w:r>
        <w:instrText xml:space="preserve"> PAGEREF _Toc29214 \h </w:instrText>
      </w:r>
      <w:r>
        <w:fldChar w:fldCharType="separate"/>
      </w:r>
      <w:r>
        <w:t>117</w:t>
      </w:r>
      <w:r>
        <w:fldChar w:fldCharType="end"/>
      </w:r>
      <w:r>
        <w:rPr>
          <w:i w:val="0"/>
          <w:iCs w:val="0"/>
          <w:color w:val="auto"/>
          <w:szCs w:val="21"/>
          <w:highlight w:val="none"/>
        </w:rPr>
        <w:fldChar w:fldCharType="end"/>
      </w:r>
    </w:p>
    <w:p w14:paraId="0B339CD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_Toc15952 </w:instrText>
      </w:r>
      <w:r>
        <w:rPr>
          <w:i w:val="0"/>
          <w:iCs w:val="0"/>
          <w:szCs w:val="21"/>
          <w:highlight w:val="none"/>
        </w:rPr>
        <w:fldChar w:fldCharType="separate"/>
      </w:r>
      <w:r>
        <w:rPr>
          <w:rFonts w:hint="default" w:ascii="Arial" w:hAnsi="Arial" w:cs="Arial"/>
          <w:i w:val="0"/>
          <w:iCs w:val="0"/>
          <w:szCs w:val="22"/>
        </w:rPr>
        <w:t xml:space="preserve">11.7.1 </w:t>
      </w:r>
      <w:r>
        <w:rPr>
          <w:rFonts w:hint="eastAsia"/>
          <w:i w:val="0"/>
          <w:iCs w:val="0"/>
          <w:szCs w:val="22"/>
          <w:highlight w:val="none"/>
        </w:rPr>
        <w:t>电扶梯智能运维</w:t>
      </w:r>
      <w:r>
        <w:tab/>
      </w:r>
      <w:r>
        <w:fldChar w:fldCharType="begin"/>
      </w:r>
      <w:r>
        <w:instrText xml:space="preserve"> PAGEREF _Toc15952 \h </w:instrText>
      </w:r>
      <w:r>
        <w:fldChar w:fldCharType="separate"/>
      </w:r>
      <w:r>
        <w:t>117</w:t>
      </w:r>
      <w:r>
        <w:fldChar w:fldCharType="end"/>
      </w:r>
      <w:r>
        <w:rPr>
          <w:i w:val="0"/>
          <w:iCs w:val="0"/>
          <w:color w:val="auto"/>
          <w:szCs w:val="21"/>
          <w:highlight w:val="none"/>
        </w:rPr>
        <w:fldChar w:fldCharType="end"/>
      </w:r>
    </w:p>
    <w:p w14:paraId="37F65E0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_Toc22557 </w:instrText>
      </w:r>
      <w:r>
        <w:rPr>
          <w:i w:val="0"/>
          <w:iCs w:val="0"/>
          <w:szCs w:val="21"/>
          <w:highlight w:val="none"/>
        </w:rPr>
        <w:fldChar w:fldCharType="separate"/>
      </w:r>
      <w:r>
        <w:rPr>
          <w:rFonts w:hint="default" w:ascii="Arial" w:hAnsi="Arial" w:cs="Arial"/>
          <w:i w:val="0"/>
          <w:iCs w:val="0"/>
          <w:szCs w:val="22"/>
        </w:rPr>
        <w:t xml:space="preserve">11.7.2 </w:t>
      </w:r>
      <w:r>
        <w:rPr>
          <w:rFonts w:hint="eastAsia"/>
          <w:i w:val="0"/>
          <w:iCs w:val="0"/>
          <w:szCs w:val="22"/>
          <w:highlight w:val="none"/>
        </w:rPr>
        <w:t>供电智能运维</w:t>
      </w:r>
      <w:r>
        <w:tab/>
      </w:r>
      <w:r>
        <w:fldChar w:fldCharType="begin"/>
      </w:r>
      <w:r>
        <w:instrText xml:space="preserve"> PAGEREF _Toc22557 \h </w:instrText>
      </w:r>
      <w:r>
        <w:fldChar w:fldCharType="separate"/>
      </w:r>
      <w:r>
        <w:t>118</w:t>
      </w:r>
      <w:r>
        <w:fldChar w:fldCharType="end"/>
      </w:r>
      <w:r>
        <w:rPr>
          <w:i w:val="0"/>
          <w:iCs w:val="0"/>
          <w:color w:val="auto"/>
          <w:szCs w:val="21"/>
          <w:highlight w:val="none"/>
        </w:rPr>
        <w:fldChar w:fldCharType="end"/>
      </w:r>
    </w:p>
    <w:p w14:paraId="2FB1A73E">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_Toc12732 </w:instrText>
      </w:r>
      <w:r>
        <w:rPr>
          <w:i w:val="0"/>
          <w:iCs w:val="0"/>
          <w:szCs w:val="21"/>
          <w:highlight w:val="none"/>
        </w:rPr>
        <w:fldChar w:fldCharType="separate"/>
      </w:r>
      <w:r>
        <w:rPr>
          <w:rFonts w:hint="default" w:ascii="Arial" w:hAnsi="Arial" w:cs="Arial"/>
          <w:i w:val="0"/>
          <w:iCs w:val="0"/>
          <w:szCs w:val="24"/>
        </w:rPr>
        <w:t xml:space="preserve">11.8 </w:t>
      </w:r>
      <w:r>
        <w:rPr>
          <w:rFonts w:hint="eastAsia"/>
          <w:i w:val="0"/>
          <w:iCs w:val="0"/>
          <w:szCs w:val="21"/>
          <w:highlight w:val="none"/>
        </w:rPr>
        <w:t>智慧公寓管理系统硬件设备技术要求</w:t>
      </w:r>
      <w:r>
        <w:tab/>
      </w:r>
      <w:r>
        <w:fldChar w:fldCharType="begin"/>
      </w:r>
      <w:r>
        <w:instrText xml:space="preserve"> PAGEREF _Toc12732 \h </w:instrText>
      </w:r>
      <w:r>
        <w:fldChar w:fldCharType="separate"/>
      </w:r>
      <w:r>
        <w:t>118</w:t>
      </w:r>
      <w:r>
        <w:fldChar w:fldCharType="end"/>
      </w:r>
      <w:r>
        <w:rPr>
          <w:i w:val="0"/>
          <w:iCs w:val="0"/>
          <w:color w:val="auto"/>
          <w:szCs w:val="21"/>
          <w:highlight w:val="none"/>
        </w:rPr>
        <w:fldChar w:fldCharType="end"/>
      </w:r>
    </w:p>
    <w:p w14:paraId="04939655">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_Toc2360 </w:instrText>
      </w:r>
      <w:r>
        <w:rPr>
          <w:i w:val="0"/>
          <w:iCs w:val="0"/>
          <w:szCs w:val="21"/>
          <w:highlight w:val="none"/>
        </w:rPr>
        <w:fldChar w:fldCharType="separate"/>
      </w:r>
      <w:r>
        <w:rPr>
          <w:rFonts w:hint="default" w:ascii="Arial" w:hAnsi="Arial" w:cs="Arial"/>
          <w:i w:val="0"/>
          <w:iCs w:val="0"/>
          <w:szCs w:val="22"/>
        </w:rPr>
        <w:t xml:space="preserve">11.8.1 </w:t>
      </w:r>
      <w:r>
        <w:rPr>
          <w:rFonts w:hint="eastAsia"/>
          <w:i w:val="0"/>
          <w:iCs w:val="0"/>
          <w:szCs w:val="22"/>
          <w:highlight w:val="none"/>
        </w:rPr>
        <w:t>管理工作站</w:t>
      </w:r>
      <w:r>
        <w:tab/>
      </w:r>
      <w:r>
        <w:fldChar w:fldCharType="begin"/>
      </w:r>
      <w:r>
        <w:instrText xml:space="preserve"> PAGEREF _Toc2360 \h </w:instrText>
      </w:r>
      <w:r>
        <w:fldChar w:fldCharType="separate"/>
      </w:r>
      <w:r>
        <w:t>118</w:t>
      </w:r>
      <w:r>
        <w:fldChar w:fldCharType="end"/>
      </w:r>
      <w:r>
        <w:rPr>
          <w:i w:val="0"/>
          <w:iCs w:val="0"/>
          <w:color w:val="auto"/>
          <w:szCs w:val="21"/>
          <w:highlight w:val="none"/>
        </w:rPr>
        <w:fldChar w:fldCharType="end"/>
      </w:r>
    </w:p>
    <w:p w14:paraId="56FCEFB9">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_Toc2409 </w:instrText>
      </w:r>
      <w:r>
        <w:rPr>
          <w:i w:val="0"/>
          <w:iCs w:val="0"/>
          <w:szCs w:val="21"/>
          <w:highlight w:val="none"/>
        </w:rPr>
        <w:fldChar w:fldCharType="separate"/>
      </w:r>
      <w:r>
        <w:rPr>
          <w:rFonts w:hint="default" w:ascii="Arial" w:hAnsi="Arial" w:cs="Arial"/>
          <w:i w:val="0"/>
          <w:iCs w:val="0"/>
          <w:szCs w:val="22"/>
        </w:rPr>
        <w:t xml:space="preserve">11.8.2 </w:t>
      </w:r>
      <w:r>
        <w:rPr>
          <w:rFonts w:hint="eastAsia"/>
          <w:i w:val="0"/>
          <w:iCs w:val="0"/>
          <w:szCs w:val="22"/>
          <w:highlight w:val="none"/>
        </w:rPr>
        <w:t>公寓管理显示大屏</w:t>
      </w:r>
      <w:r>
        <w:tab/>
      </w:r>
      <w:r>
        <w:fldChar w:fldCharType="begin"/>
      </w:r>
      <w:r>
        <w:instrText xml:space="preserve"> PAGEREF _Toc2409 \h </w:instrText>
      </w:r>
      <w:r>
        <w:fldChar w:fldCharType="separate"/>
      </w:r>
      <w:r>
        <w:t>118</w:t>
      </w:r>
      <w:r>
        <w:fldChar w:fldCharType="end"/>
      </w:r>
      <w:r>
        <w:rPr>
          <w:i w:val="0"/>
          <w:iCs w:val="0"/>
          <w:color w:val="auto"/>
          <w:szCs w:val="21"/>
          <w:highlight w:val="none"/>
        </w:rPr>
        <w:fldChar w:fldCharType="end"/>
      </w:r>
    </w:p>
    <w:p w14:paraId="5E09E96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_Toc6618 </w:instrText>
      </w:r>
      <w:r>
        <w:rPr>
          <w:i w:val="0"/>
          <w:iCs w:val="0"/>
          <w:szCs w:val="21"/>
          <w:highlight w:val="none"/>
        </w:rPr>
        <w:fldChar w:fldCharType="separate"/>
      </w:r>
      <w:r>
        <w:rPr>
          <w:rFonts w:hint="default" w:ascii="Arial" w:hAnsi="Arial" w:cs="Arial"/>
          <w:i w:val="0"/>
          <w:iCs w:val="0"/>
          <w:szCs w:val="22"/>
        </w:rPr>
        <w:t xml:space="preserve">11.8.3 </w:t>
      </w:r>
      <w:r>
        <w:rPr>
          <w:rFonts w:hint="eastAsia"/>
          <w:i w:val="0"/>
          <w:iCs w:val="0"/>
          <w:szCs w:val="22"/>
          <w:highlight w:val="none"/>
        </w:rPr>
        <w:t>智能开关控制器</w:t>
      </w:r>
      <w:r>
        <w:tab/>
      </w:r>
      <w:r>
        <w:fldChar w:fldCharType="begin"/>
      </w:r>
      <w:r>
        <w:instrText xml:space="preserve"> PAGEREF _Toc6618 \h </w:instrText>
      </w:r>
      <w:r>
        <w:fldChar w:fldCharType="separate"/>
      </w:r>
      <w:r>
        <w:t>119</w:t>
      </w:r>
      <w:r>
        <w:fldChar w:fldCharType="end"/>
      </w:r>
      <w:r>
        <w:rPr>
          <w:i w:val="0"/>
          <w:iCs w:val="0"/>
          <w:color w:val="auto"/>
          <w:szCs w:val="21"/>
          <w:highlight w:val="none"/>
        </w:rPr>
        <w:fldChar w:fldCharType="end"/>
      </w:r>
    </w:p>
    <w:p w14:paraId="6EF9A9B5">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_Toc1710 </w:instrText>
      </w:r>
      <w:r>
        <w:rPr>
          <w:i w:val="0"/>
          <w:iCs w:val="0"/>
          <w:szCs w:val="21"/>
          <w:highlight w:val="none"/>
        </w:rPr>
        <w:fldChar w:fldCharType="separate"/>
      </w:r>
      <w:r>
        <w:rPr>
          <w:rFonts w:hint="default" w:ascii="Arial" w:hAnsi="Arial" w:cs="Arial"/>
          <w:i w:val="0"/>
          <w:iCs w:val="0"/>
          <w:szCs w:val="22"/>
        </w:rPr>
        <w:t xml:space="preserve">11.8.4 </w:t>
      </w:r>
      <w:r>
        <w:rPr>
          <w:rFonts w:hint="eastAsia"/>
          <w:i w:val="0"/>
          <w:iCs w:val="0"/>
          <w:szCs w:val="22"/>
          <w:highlight w:val="none"/>
        </w:rPr>
        <w:t>智能电子门锁</w:t>
      </w:r>
      <w:r>
        <w:tab/>
      </w:r>
      <w:r>
        <w:fldChar w:fldCharType="begin"/>
      </w:r>
      <w:r>
        <w:instrText xml:space="preserve"> PAGEREF _Toc1710 \h </w:instrText>
      </w:r>
      <w:r>
        <w:fldChar w:fldCharType="separate"/>
      </w:r>
      <w:r>
        <w:t>119</w:t>
      </w:r>
      <w:r>
        <w:fldChar w:fldCharType="end"/>
      </w:r>
      <w:r>
        <w:rPr>
          <w:i w:val="0"/>
          <w:iCs w:val="0"/>
          <w:color w:val="auto"/>
          <w:szCs w:val="21"/>
          <w:highlight w:val="none"/>
        </w:rPr>
        <w:fldChar w:fldCharType="end"/>
      </w:r>
    </w:p>
    <w:p w14:paraId="2DFA8F3B">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_Toc12840 </w:instrText>
      </w:r>
      <w:r>
        <w:rPr>
          <w:i w:val="0"/>
          <w:iCs w:val="0"/>
          <w:szCs w:val="21"/>
          <w:highlight w:val="none"/>
        </w:rPr>
        <w:fldChar w:fldCharType="separate"/>
      </w:r>
      <w:r>
        <w:rPr>
          <w:rFonts w:hint="default" w:ascii="Arial" w:hAnsi="Arial" w:cs="Arial"/>
          <w:i w:val="0"/>
          <w:iCs w:val="0"/>
          <w:szCs w:val="22"/>
        </w:rPr>
        <w:t xml:space="preserve">11.8.5 </w:t>
      </w:r>
      <w:r>
        <w:rPr>
          <w:rFonts w:hint="eastAsia"/>
          <w:i w:val="0"/>
          <w:iCs w:val="0"/>
          <w:szCs w:val="22"/>
          <w:highlight w:val="none"/>
        </w:rPr>
        <w:t>WiFi路由器</w:t>
      </w:r>
      <w:r>
        <w:tab/>
      </w:r>
      <w:r>
        <w:fldChar w:fldCharType="begin"/>
      </w:r>
      <w:r>
        <w:instrText xml:space="preserve"> PAGEREF _Toc12840 \h </w:instrText>
      </w:r>
      <w:r>
        <w:fldChar w:fldCharType="separate"/>
      </w:r>
      <w:r>
        <w:t>119</w:t>
      </w:r>
      <w:r>
        <w:fldChar w:fldCharType="end"/>
      </w:r>
      <w:r>
        <w:rPr>
          <w:i w:val="0"/>
          <w:iCs w:val="0"/>
          <w:color w:val="auto"/>
          <w:szCs w:val="21"/>
          <w:highlight w:val="none"/>
        </w:rPr>
        <w:fldChar w:fldCharType="end"/>
      </w:r>
    </w:p>
    <w:p w14:paraId="0CEB718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_Toc13446 </w:instrText>
      </w:r>
      <w:r>
        <w:rPr>
          <w:i w:val="0"/>
          <w:iCs w:val="0"/>
          <w:szCs w:val="21"/>
          <w:highlight w:val="none"/>
        </w:rPr>
        <w:fldChar w:fldCharType="separate"/>
      </w:r>
      <w:r>
        <w:rPr>
          <w:rFonts w:hint="default" w:ascii="Arial" w:hAnsi="Arial" w:cs="Arial"/>
          <w:i w:val="0"/>
          <w:iCs w:val="0"/>
          <w:szCs w:val="22"/>
        </w:rPr>
        <w:t xml:space="preserve">11.8.6 </w:t>
      </w:r>
      <w:r>
        <w:rPr>
          <w:rFonts w:hint="eastAsia"/>
          <w:i w:val="0"/>
          <w:iCs w:val="0"/>
          <w:szCs w:val="22"/>
          <w:highlight w:val="none"/>
        </w:rPr>
        <w:t>WiFi中继器</w:t>
      </w:r>
      <w:r>
        <w:tab/>
      </w:r>
      <w:r>
        <w:fldChar w:fldCharType="begin"/>
      </w:r>
      <w:r>
        <w:instrText xml:space="preserve"> PAGEREF _Toc13446 \h </w:instrText>
      </w:r>
      <w:r>
        <w:fldChar w:fldCharType="separate"/>
      </w:r>
      <w:r>
        <w:t>119</w:t>
      </w:r>
      <w:r>
        <w:fldChar w:fldCharType="end"/>
      </w:r>
      <w:r>
        <w:rPr>
          <w:i w:val="0"/>
          <w:iCs w:val="0"/>
          <w:color w:val="auto"/>
          <w:szCs w:val="21"/>
          <w:highlight w:val="none"/>
        </w:rPr>
        <w:fldChar w:fldCharType="end"/>
      </w:r>
    </w:p>
    <w:p w14:paraId="2D0466E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_Toc20219 </w:instrText>
      </w:r>
      <w:r>
        <w:rPr>
          <w:i w:val="0"/>
          <w:iCs w:val="0"/>
          <w:szCs w:val="21"/>
          <w:highlight w:val="none"/>
        </w:rPr>
        <w:fldChar w:fldCharType="separate"/>
      </w:r>
      <w:r>
        <w:rPr>
          <w:rFonts w:hint="default" w:ascii="Arial" w:hAnsi="Arial" w:cs="Arial"/>
          <w:i w:val="0"/>
          <w:iCs w:val="0"/>
          <w:szCs w:val="22"/>
        </w:rPr>
        <w:t xml:space="preserve">11.8.7 </w:t>
      </w:r>
      <w:r>
        <w:rPr>
          <w:rFonts w:hint="eastAsia"/>
          <w:i w:val="0"/>
          <w:iCs w:val="0"/>
          <w:szCs w:val="22"/>
          <w:highlight w:val="none"/>
        </w:rPr>
        <w:t>WiFi读卡器</w:t>
      </w:r>
      <w:r>
        <w:tab/>
      </w:r>
      <w:r>
        <w:fldChar w:fldCharType="begin"/>
      </w:r>
      <w:r>
        <w:instrText xml:space="preserve"> PAGEREF _Toc20219 \h </w:instrText>
      </w:r>
      <w:r>
        <w:fldChar w:fldCharType="separate"/>
      </w:r>
      <w:r>
        <w:t>119</w:t>
      </w:r>
      <w:r>
        <w:fldChar w:fldCharType="end"/>
      </w:r>
      <w:r>
        <w:rPr>
          <w:i w:val="0"/>
          <w:iCs w:val="0"/>
          <w:color w:val="auto"/>
          <w:szCs w:val="21"/>
          <w:highlight w:val="none"/>
        </w:rPr>
        <w:fldChar w:fldCharType="end"/>
      </w:r>
    </w:p>
    <w:p w14:paraId="6D300DE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_Toc19232 </w:instrText>
      </w:r>
      <w:r>
        <w:rPr>
          <w:i w:val="0"/>
          <w:iCs w:val="0"/>
          <w:szCs w:val="21"/>
          <w:highlight w:val="none"/>
        </w:rPr>
        <w:fldChar w:fldCharType="separate"/>
      </w:r>
      <w:r>
        <w:rPr>
          <w:rFonts w:hint="default" w:ascii="Arial" w:hAnsi="Arial" w:cs="Arial"/>
          <w:i w:val="0"/>
          <w:iCs w:val="0"/>
          <w:szCs w:val="22"/>
        </w:rPr>
        <w:t xml:space="preserve">11.8.8 </w:t>
      </w:r>
      <w:r>
        <w:rPr>
          <w:rFonts w:hint="eastAsia"/>
          <w:i w:val="0"/>
          <w:iCs w:val="0"/>
          <w:szCs w:val="22"/>
          <w:highlight w:val="none"/>
        </w:rPr>
        <w:t>KVM视频发射器/接收器</w:t>
      </w:r>
      <w:r>
        <w:tab/>
      </w:r>
      <w:r>
        <w:fldChar w:fldCharType="begin"/>
      </w:r>
      <w:r>
        <w:instrText xml:space="preserve"> PAGEREF _Toc19232 \h </w:instrText>
      </w:r>
      <w:r>
        <w:fldChar w:fldCharType="separate"/>
      </w:r>
      <w:r>
        <w:t>119</w:t>
      </w:r>
      <w:r>
        <w:fldChar w:fldCharType="end"/>
      </w:r>
      <w:r>
        <w:rPr>
          <w:i w:val="0"/>
          <w:iCs w:val="0"/>
          <w:color w:val="auto"/>
          <w:szCs w:val="21"/>
          <w:highlight w:val="none"/>
        </w:rPr>
        <w:fldChar w:fldCharType="end"/>
      </w:r>
    </w:p>
    <w:p w14:paraId="26E9506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_Toc9107 </w:instrText>
      </w:r>
      <w:r>
        <w:rPr>
          <w:i w:val="0"/>
          <w:iCs w:val="0"/>
          <w:szCs w:val="21"/>
          <w:highlight w:val="none"/>
        </w:rPr>
        <w:fldChar w:fldCharType="separate"/>
      </w:r>
      <w:r>
        <w:rPr>
          <w:rFonts w:hint="default" w:ascii="Arial" w:hAnsi="Arial" w:cs="Arial"/>
          <w:i w:val="0"/>
          <w:iCs w:val="0"/>
          <w:szCs w:val="22"/>
        </w:rPr>
        <w:t xml:space="preserve">11.8.9 </w:t>
      </w:r>
      <w:r>
        <w:rPr>
          <w:rFonts w:hint="eastAsia"/>
          <w:i w:val="0"/>
          <w:iCs w:val="0"/>
          <w:szCs w:val="22"/>
          <w:highlight w:val="none"/>
        </w:rPr>
        <w:t>梯控装置</w:t>
      </w:r>
      <w:r>
        <w:tab/>
      </w:r>
      <w:r>
        <w:fldChar w:fldCharType="begin"/>
      </w:r>
      <w:r>
        <w:instrText xml:space="preserve"> PAGEREF _Toc9107 \h </w:instrText>
      </w:r>
      <w:r>
        <w:fldChar w:fldCharType="separate"/>
      </w:r>
      <w:r>
        <w:t>120</w:t>
      </w:r>
      <w:r>
        <w:fldChar w:fldCharType="end"/>
      </w:r>
      <w:r>
        <w:rPr>
          <w:i w:val="0"/>
          <w:iCs w:val="0"/>
          <w:color w:val="auto"/>
          <w:szCs w:val="21"/>
          <w:highlight w:val="none"/>
        </w:rPr>
        <w:fldChar w:fldCharType="end"/>
      </w:r>
    </w:p>
    <w:p w14:paraId="5DA6ACFE">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_Toc25928 </w:instrText>
      </w:r>
      <w:r>
        <w:rPr>
          <w:i w:val="0"/>
          <w:iCs w:val="0"/>
          <w:szCs w:val="21"/>
          <w:highlight w:val="none"/>
        </w:rPr>
        <w:fldChar w:fldCharType="separate"/>
      </w:r>
      <w:r>
        <w:rPr>
          <w:rFonts w:hint="default" w:ascii="Arial" w:hAnsi="Arial" w:cs="Arial"/>
          <w:i w:val="0"/>
          <w:iCs w:val="0"/>
          <w:szCs w:val="22"/>
        </w:rPr>
        <w:t xml:space="preserve">11.8.10 </w:t>
      </w:r>
      <w:r>
        <w:rPr>
          <w:rFonts w:hint="eastAsia"/>
          <w:i w:val="0"/>
          <w:iCs w:val="0"/>
          <w:szCs w:val="22"/>
          <w:highlight w:val="none"/>
        </w:rPr>
        <w:t>核心交换机</w:t>
      </w:r>
      <w:r>
        <w:tab/>
      </w:r>
      <w:r>
        <w:fldChar w:fldCharType="begin"/>
      </w:r>
      <w:r>
        <w:instrText xml:space="preserve"> PAGEREF _Toc25928 \h </w:instrText>
      </w:r>
      <w:r>
        <w:fldChar w:fldCharType="separate"/>
      </w:r>
      <w:r>
        <w:t>120</w:t>
      </w:r>
      <w:r>
        <w:fldChar w:fldCharType="end"/>
      </w:r>
      <w:r>
        <w:rPr>
          <w:i w:val="0"/>
          <w:iCs w:val="0"/>
          <w:color w:val="auto"/>
          <w:szCs w:val="21"/>
          <w:highlight w:val="none"/>
        </w:rPr>
        <w:fldChar w:fldCharType="end"/>
      </w:r>
    </w:p>
    <w:p w14:paraId="1B2E732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_Toc27119 </w:instrText>
      </w:r>
      <w:r>
        <w:rPr>
          <w:i w:val="0"/>
          <w:iCs w:val="0"/>
          <w:szCs w:val="21"/>
          <w:highlight w:val="none"/>
        </w:rPr>
        <w:fldChar w:fldCharType="separate"/>
      </w:r>
      <w:r>
        <w:rPr>
          <w:rFonts w:hint="default" w:ascii="Arial" w:hAnsi="Arial" w:cs="Arial"/>
          <w:i w:val="0"/>
          <w:iCs w:val="0"/>
          <w:szCs w:val="22"/>
        </w:rPr>
        <w:t xml:space="preserve">11.8.11 </w:t>
      </w:r>
      <w:r>
        <w:rPr>
          <w:rFonts w:hint="eastAsia"/>
          <w:i w:val="0"/>
          <w:iCs w:val="0"/>
          <w:szCs w:val="22"/>
          <w:highlight w:val="none"/>
        </w:rPr>
        <w:t>汇聚交换机</w:t>
      </w:r>
      <w:r>
        <w:tab/>
      </w:r>
      <w:r>
        <w:fldChar w:fldCharType="begin"/>
      </w:r>
      <w:r>
        <w:instrText xml:space="preserve"> PAGEREF _Toc27119 \h </w:instrText>
      </w:r>
      <w:r>
        <w:fldChar w:fldCharType="separate"/>
      </w:r>
      <w:r>
        <w:t>120</w:t>
      </w:r>
      <w:r>
        <w:fldChar w:fldCharType="end"/>
      </w:r>
      <w:r>
        <w:rPr>
          <w:i w:val="0"/>
          <w:iCs w:val="0"/>
          <w:color w:val="auto"/>
          <w:szCs w:val="21"/>
          <w:highlight w:val="none"/>
        </w:rPr>
        <w:fldChar w:fldCharType="end"/>
      </w:r>
    </w:p>
    <w:p w14:paraId="735154E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_Toc15830 </w:instrText>
      </w:r>
      <w:r>
        <w:rPr>
          <w:i w:val="0"/>
          <w:iCs w:val="0"/>
          <w:szCs w:val="21"/>
          <w:highlight w:val="none"/>
        </w:rPr>
        <w:fldChar w:fldCharType="separate"/>
      </w:r>
      <w:r>
        <w:rPr>
          <w:rFonts w:hint="default" w:ascii="Arial" w:hAnsi="Arial" w:cs="Arial"/>
          <w:i w:val="0"/>
          <w:iCs w:val="0"/>
          <w:szCs w:val="22"/>
        </w:rPr>
        <w:t xml:space="preserve">11.8.12 </w:t>
      </w:r>
      <w:r>
        <w:rPr>
          <w:rFonts w:hint="eastAsia"/>
          <w:i w:val="0"/>
          <w:iCs w:val="0"/>
          <w:szCs w:val="22"/>
          <w:highlight w:val="none"/>
        </w:rPr>
        <w:t>PDU</w:t>
      </w:r>
      <w:r>
        <w:tab/>
      </w:r>
      <w:r>
        <w:fldChar w:fldCharType="begin"/>
      </w:r>
      <w:r>
        <w:instrText xml:space="preserve"> PAGEREF _Toc15830 \h </w:instrText>
      </w:r>
      <w:r>
        <w:fldChar w:fldCharType="separate"/>
      </w:r>
      <w:r>
        <w:t>120</w:t>
      </w:r>
      <w:r>
        <w:fldChar w:fldCharType="end"/>
      </w:r>
      <w:r>
        <w:rPr>
          <w:i w:val="0"/>
          <w:iCs w:val="0"/>
          <w:color w:val="auto"/>
          <w:szCs w:val="21"/>
          <w:highlight w:val="none"/>
        </w:rPr>
        <w:fldChar w:fldCharType="end"/>
      </w:r>
    </w:p>
    <w:p w14:paraId="7B20105E">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_Toc7929 </w:instrText>
      </w:r>
      <w:r>
        <w:rPr>
          <w:i w:val="0"/>
          <w:iCs w:val="0"/>
          <w:szCs w:val="21"/>
          <w:highlight w:val="none"/>
        </w:rPr>
        <w:fldChar w:fldCharType="separate"/>
      </w:r>
      <w:r>
        <w:rPr>
          <w:rFonts w:hint="default" w:ascii="Arial" w:hAnsi="Arial" w:cs="Arial"/>
          <w:i w:val="0"/>
          <w:iCs w:val="0"/>
          <w:szCs w:val="24"/>
        </w:rPr>
        <w:t xml:space="preserve">11.9 </w:t>
      </w:r>
      <w:r>
        <w:rPr>
          <w:rFonts w:hint="eastAsia"/>
          <w:i w:val="0"/>
          <w:iCs w:val="0"/>
          <w:szCs w:val="21"/>
          <w:highlight w:val="none"/>
        </w:rPr>
        <w:t>维修作业管理系统设备技术要求</w:t>
      </w:r>
      <w:r>
        <w:tab/>
      </w:r>
      <w:r>
        <w:fldChar w:fldCharType="begin"/>
      </w:r>
      <w:r>
        <w:instrText xml:space="preserve"> PAGEREF _Toc7929 \h </w:instrText>
      </w:r>
      <w:r>
        <w:fldChar w:fldCharType="separate"/>
      </w:r>
      <w:r>
        <w:t>120</w:t>
      </w:r>
      <w:r>
        <w:fldChar w:fldCharType="end"/>
      </w:r>
      <w:r>
        <w:rPr>
          <w:i w:val="0"/>
          <w:iCs w:val="0"/>
          <w:color w:val="auto"/>
          <w:szCs w:val="21"/>
          <w:highlight w:val="none"/>
        </w:rPr>
        <w:fldChar w:fldCharType="end"/>
      </w:r>
    </w:p>
    <w:p w14:paraId="70FF1B9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_Toc7613 </w:instrText>
      </w:r>
      <w:r>
        <w:rPr>
          <w:i w:val="0"/>
          <w:iCs w:val="0"/>
          <w:szCs w:val="21"/>
          <w:highlight w:val="none"/>
        </w:rPr>
        <w:fldChar w:fldCharType="separate"/>
      </w:r>
      <w:r>
        <w:rPr>
          <w:rFonts w:hint="default" w:ascii="Arial" w:hAnsi="Arial" w:cs="Arial"/>
          <w:i w:val="0"/>
          <w:iCs w:val="0"/>
          <w:szCs w:val="22"/>
        </w:rPr>
        <w:t xml:space="preserve">11.9.1 </w:t>
      </w:r>
      <w:r>
        <w:rPr>
          <w:rFonts w:hint="eastAsia"/>
          <w:i w:val="0"/>
          <w:iCs w:val="0"/>
          <w:szCs w:val="22"/>
          <w:highlight w:val="none"/>
        </w:rPr>
        <w:t>蓝牙信标</w:t>
      </w:r>
      <w:r>
        <w:tab/>
      </w:r>
      <w:r>
        <w:fldChar w:fldCharType="begin"/>
      </w:r>
      <w:r>
        <w:instrText xml:space="preserve"> PAGEREF _Toc7613 \h </w:instrText>
      </w:r>
      <w:r>
        <w:fldChar w:fldCharType="separate"/>
      </w:r>
      <w:r>
        <w:t>120</w:t>
      </w:r>
      <w:r>
        <w:fldChar w:fldCharType="end"/>
      </w:r>
      <w:r>
        <w:rPr>
          <w:i w:val="0"/>
          <w:iCs w:val="0"/>
          <w:color w:val="auto"/>
          <w:szCs w:val="21"/>
          <w:highlight w:val="none"/>
        </w:rPr>
        <w:fldChar w:fldCharType="end"/>
      </w:r>
    </w:p>
    <w:p w14:paraId="2E2CE6A5">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_Toc20698 </w:instrText>
      </w:r>
      <w:r>
        <w:rPr>
          <w:i w:val="0"/>
          <w:iCs w:val="0"/>
          <w:szCs w:val="21"/>
          <w:highlight w:val="none"/>
        </w:rPr>
        <w:fldChar w:fldCharType="separate"/>
      </w:r>
      <w:r>
        <w:rPr>
          <w:rFonts w:hint="default" w:ascii="Arial" w:hAnsi="Arial" w:cs="Arial"/>
          <w:i w:val="0"/>
          <w:iCs w:val="0"/>
          <w:szCs w:val="22"/>
        </w:rPr>
        <w:t xml:space="preserve">11.9.2 </w:t>
      </w:r>
      <w:r>
        <w:rPr>
          <w:rFonts w:hint="eastAsia"/>
          <w:i w:val="0"/>
          <w:iCs w:val="0"/>
          <w:szCs w:val="22"/>
          <w:highlight w:val="none"/>
        </w:rPr>
        <w:t>蓝牙工牌</w:t>
      </w:r>
      <w:r>
        <w:tab/>
      </w:r>
      <w:r>
        <w:fldChar w:fldCharType="begin"/>
      </w:r>
      <w:r>
        <w:instrText xml:space="preserve"> PAGEREF _Toc20698 \h </w:instrText>
      </w:r>
      <w:r>
        <w:fldChar w:fldCharType="separate"/>
      </w:r>
      <w:r>
        <w:t>121</w:t>
      </w:r>
      <w:r>
        <w:fldChar w:fldCharType="end"/>
      </w:r>
      <w:r>
        <w:rPr>
          <w:i w:val="0"/>
          <w:iCs w:val="0"/>
          <w:color w:val="auto"/>
          <w:szCs w:val="21"/>
          <w:highlight w:val="none"/>
        </w:rPr>
        <w:fldChar w:fldCharType="end"/>
      </w:r>
    </w:p>
    <w:p w14:paraId="717D746B">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_Toc10102 </w:instrText>
      </w:r>
      <w:r>
        <w:rPr>
          <w:i w:val="0"/>
          <w:iCs w:val="0"/>
          <w:szCs w:val="21"/>
          <w:highlight w:val="none"/>
        </w:rPr>
        <w:fldChar w:fldCharType="separate"/>
      </w:r>
      <w:r>
        <w:rPr>
          <w:rFonts w:hint="default" w:ascii="Arial" w:hAnsi="Arial" w:cs="Arial"/>
          <w:i w:val="0"/>
          <w:iCs w:val="0"/>
          <w:szCs w:val="22"/>
        </w:rPr>
        <w:t xml:space="preserve">11.9.3 </w:t>
      </w:r>
      <w:r>
        <w:rPr>
          <w:rFonts w:hint="eastAsia"/>
          <w:i w:val="0"/>
          <w:iCs w:val="0"/>
          <w:szCs w:val="22"/>
          <w:highlight w:val="none"/>
        </w:rPr>
        <w:t>基站</w:t>
      </w:r>
      <w:r>
        <w:tab/>
      </w:r>
      <w:r>
        <w:fldChar w:fldCharType="begin"/>
      </w:r>
      <w:r>
        <w:instrText xml:space="preserve"> PAGEREF _Toc10102 \h </w:instrText>
      </w:r>
      <w:r>
        <w:fldChar w:fldCharType="separate"/>
      </w:r>
      <w:r>
        <w:t>121</w:t>
      </w:r>
      <w:r>
        <w:fldChar w:fldCharType="end"/>
      </w:r>
      <w:r>
        <w:rPr>
          <w:i w:val="0"/>
          <w:iCs w:val="0"/>
          <w:color w:val="auto"/>
          <w:szCs w:val="21"/>
          <w:highlight w:val="none"/>
        </w:rPr>
        <w:fldChar w:fldCharType="end"/>
      </w:r>
    </w:p>
    <w:p w14:paraId="1BB4189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_Toc6457 </w:instrText>
      </w:r>
      <w:r>
        <w:rPr>
          <w:i w:val="0"/>
          <w:iCs w:val="0"/>
          <w:szCs w:val="21"/>
          <w:highlight w:val="none"/>
        </w:rPr>
        <w:fldChar w:fldCharType="separate"/>
      </w:r>
      <w:r>
        <w:rPr>
          <w:rFonts w:hint="default" w:ascii="Arial" w:hAnsi="Arial" w:cs="Arial"/>
          <w:i w:val="0"/>
          <w:iCs w:val="0"/>
          <w:szCs w:val="22"/>
        </w:rPr>
        <w:t xml:space="preserve">11.9.4 </w:t>
      </w:r>
      <w:r>
        <w:rPr>
          <w:rFonts w:hint="eastAsia"/>
          <w:i w:val="0"/>
          <w:iCs w:val="0"/>
          <w:szCs w:val="22"/>
          <w:highlight w:val="none"/>
        </w:rPr>
        <w:t>交换机</w:t>
      </w:r>
      <w:r>
        <w:tab/>
      </w:r>
      <w:r>
        <w:fldChar w:fldCharType="begin"/>
      </w:r>
      <w:r>
        <w:instrText xml:space="preserve"> PAGEREF _Toc6457 \h </w:instrText>
      </w:r>
      <w:r>
        <w:fldChar w:fldCharType="separate"/>
      </w:r>
      <w:r>
        <w:t>121</w:t>
      </w:r>
      <w:r>
        <w:fldChar w:fldCharType="end"/>
      </w:r>
      <w:r>
        <w:rPr>
          <w:i w:val="0"/>
          <w:iCs w:val="0"/>
          <w:color w:val="auto"/>
          <w:szCs w:val="21"/>
          <w:highlight w:val="none"/>
        </w:rPr>
        <w:fldChar w:fldCharType="end"/>
      </w:r>
    </w:p>
    <w:p w14:paraId="713D6576">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_Toc21207 </w:instrText>
      </w:r>
      <w:r>
        <w:rPr>
          <w:i w:val="0"/>
          <w:iCs w:val="0"/>
          <w:szCs w:val="21"/>
          <w:highlight w:val="none"/>
        </w:rPr>
        <w:fldChar w:fldCharType="separate"/>
      </w:r>
      <w:r>
        <w:rPr>
          <w:rFonts w:hint="default" w:ascii="Arial" w:hAnsi="Arial" w:cs="Arial"/>
          <w:i w:val="0"/>
          <w:iCs w:val="0"/>
          <w:szCs w:val="24"/>
        </w:rPr>
        <w:t xml:space="preserve">11.10 </w:t>
      </w:r>
      <w:r>
        <w:rPr>
          <w:rFonts w:hint="eastAsia"/>
          <w:i w:val="0"/>
          <w:iCs w:val="0"/>
          <w:szCs w:val="21"/>
          <w:highlight w:val="none"/>
        </w:rPr>
        <w:t>云平台主要设备性能要求</w:t>
      </w:r>
      <w:r>
        <w:tab/>
      </w:r>
      <w:r>
        <w:fldChar w:fldCharType="begin"/>
      </w:r>
      <w:r>
        <w:instrText xml:space="preserve"> PAGEREF _Toc21207 \h </w:instrText>
      </w:r>
      <w:r>
        <w:fldChar w:fldCharType="separate"/>
      </w:r>
      <w:r>
        <w:t>121</w:t>
      </w:r>
      <w:r>
        <w:fldChar w:fldCharType="end"/>
      </w:r>
      <w:r>
        <w:rPr>
          <w:i w:val="0"/>
          <w:iCs w:val="0"/>
          <w:color w:val="auto"/>
          <w:szCs w:val="21"/>
          <w:highlight w:val="none"/>
        </w:rPr>
        <w:fldChar w:fldCharType="end"/>
      </w:r>
    </w:p>
    <w:p w14:paraId="080A8A5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_Toc27191 </w:instrText>
      </w:r>
      <w:r>
        <w:rPr>
          <w:i w:val="0"/>
          <w:iCs w:val="0"/>
          <w:szCs w:val="21"/>
          <w:highlight w:val="none"/>
        </w:rPr>
        <w:fldChar w:fldCharType="separate"/>
      </w:r>
      <w:r>
        <w:rPr>
          <w:rFonts w:hint="default" w:ascii="Arial" w:hAnsi="Arial" w:cs="Arial"/>
          <w:i w:val="0"/>
          <w:iCs w:val="0"/>
          <w:szCs w:val="22"/>
          <w:lang w:val="en-US"/>
        </w:rPr>
        <w:t xml:space="preserve">11.10.1 </w:t>
      </w:r>
      <w:r>
        <w:rPr>
          <w:rFonts w:hint="eastAsia"/>
          <w:i w:val="0"/>
          <w:iCs w:val="0"/>
          <w:szCs w:val="22"/>
          <w:highlight w:val="none"/>
          <w:lang w:val="en-US"/>
        </w:rPr>
        <w:t>核心交换机</w:t>
      </w:r>
      <w:r>
        <w:tab/>
      </w:r>
      <w:r>
        <w:fldChar w:fldCharType="begin"/>
      </w:r>
      <w:r>
        <w:instrText xml:space="preserve"> PAGEREF _Toc27191 \h </w:instrText>
      </w:r>
      <w:r>
        <w:fldChar w:fldCharType="separate"/>
      </w:r>
      <w:r>
        <w:t>122</w:t>
      </w:r>
      <w:r>
        <w:fldChar w:fldCharType="end"/>
      </w:r>
      <w:r>
        <w:rPr>
          <w:i w:val="0"/>
          <w:iCs w:val="0"/>
          <w:color w:val="auto"/>
          <w:szCs w:val="21"/>
          <w:highlight w:val="none"/>
        </w:rPr>
        <w:fldChar w:fldCharType="end"/>
      </w:r>
    </w:p>
    <w:p w14:paraId="332D423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_Toc19544 </w:instrText>
      </w:r>
      <w:r>
        <w:rPr>
          <w:i w:val="0"/>
          <w:iCs w:val="0"/>
          <w:szCs w:val="21"/>
          <w:highlight w:val="none"/>
        </w:rPr>
        <w:fldChar w:fldCharType="separate"/>
      </w:r>
      <w:r>
        <w:rPr>
          <w:rFonts w:hint="default" w:ascii="Arial" w:hAnsi="Arial" w:cs="Arial"/>
          <w:i w:val="0"/>
          <w:iCs w:val="0"/>
          <w:szCs w:val="22"/>
          <w:lang w:val="en-US"/>
        </w:rPr>
        <w:t xml:space="preserve">11.10.2 </w:t>
      </w:r>
      <w:r>
        <w:rPr>
          <w:rFonts w:hint="eastAsia"/>
          <w:i w:val="0"/>
          <w:iCs w:val="0"/>
          <w:szCs w:val="22"/>
          <w:highlight w:val="none"/>
          <w:lang w:val="en-US"/>
        </w:rPr>
        <w:t>业务交换机</w:t>
      </w:r>
      <w:r>
        <w:tab/>
      </w:r>
      <w:r>
        <w:fldChar w:fldCharType="begin"/>
      </w:r>
      <w:r>
        <w:instrText xml:space="preserve"> PAGEREF _Toc19544 \h </w:instrText>
      </w:r>
      <w:r>
        <w:fldChar w:fldCharType="separate"/>
      </w:r>
      <w:r>
        <w:t>122</w:t>
      </w:r>
      <w:r>
        <w:fldChar w:fldCharType="end"/>
      </w:r>
      <w:r>
        <w:rPr>
          <w:i w:val="0"/>
          <w:iCs w:val="0"/>
          <w:color w:val="auto"/>
          <w:szCs w:val="21"/>
          <w:highlight w:val="none"/>
        </w:rPr>
        <w:fldChar w:fldCharType="end"/>
      </w:r>
    </w:p>
    <w:p w14:paraId="6EA4F47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_Toc18205 </w:instrText>
      </w:r>
      <w:r>
        <w:rPr>
          <w:i w:val="0"/>
          <w:iCs w:val="0"/>
          <w:szCs w:val="21"/>
          <w:highlight w:val="none"/>
        </w:rPr>
        <w:fldChar w:fldCharType="separate"/>
      </w:r>
      <w:r>
        <w:rPr>
          <w:rFonts w:hint="default" w:ascii="Arial" w:hAnsi="Arial" w:cs="Arial"/>
          <w:i w:val="0"/>
          <w:iCs w:val="0"/>
          <w:szCs w:val="22"/>
          <w:lang w:val="en-US"/>
        </w:rPr>
        <w:t xml:space="preserve">11.10.3 </w:t>
      </w:r>
      <w:r>
        <w:rPr>
          <w:rFonts w:hint="eastAsia"/>
          <w:i w:val="0"/>
          <w:iCs w:val="0"/>
          <w:szCs w:val="22"/>
          <w:highlight w:val="none"/>
          <w:lang w:val="en-US"/>
        </w:rPr>
        <w:t>云业务服务器</w:t>
      </w:r>
      <w:r>
        <w:tab/>
      </w:r>
      <w:r>
        <w:fldChar w:fldCharType="begin"/>
      </w:r>
      <w:r>
        <w:instrText xml:space="preserve"> PAGEREF _Toc18205 \h </w:instrText>
      </w:r>
      <w:r>
        <w:fldChar w:fldCharType="separate"/>
      </w:r>
      <w:r>
        <w:t>122</w:t>
      </w:r>
      <w:r>
        <w:fldChar w:fldCharType="end"/>
      </w:r>
      <w:r>
        <w:rPr>
          <w:i w:val="0"/>
          <w:iCs w:val="0"/>
          <w:color w:val="auto"/>
          <w:szCs w:val="21"/>
          <w:highlight w:val="none"/>
        </w:rPr>
        <w:fldChar w:fldCharType="end"/>
      </w:r>
    </w:p>
    <w:p w14:paraId="0AB800C6">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_Toc23746 </w:instrText>
      </w:r>
      <w:r>
        <w:rPr>
          <w:i w:val="0"/>
          <w:iCs w:val="0"/>
          <w:szCs w:val="21"/>
          <w:highlight w:val="none"/>
        </w:rPr>
        <w:fldChar w:fldCharType="separate"/>
      </w:r>
      <w:r>
        <w:rPr>
          <w:rFonts w:hint="default" w:ascii="Arial" w:hAnsi="Arial" w:cs="Arial"/>
          <w:i w:val="0"/>
          <w:iCs w:val="0"/>
          <w:szCs w:val="22"/>
          <w:lang w:val="en-US"/>
        </w:rPr>
        <w:t xml:space="preserve">11.10.4 </w:t>
      </w:r>
      <w:r>
        <w:rPr>
          <w:rFonts w:hint="eastAsia"/>
          <w:i w:val="0"/>
          <w:iCs w:val="0"/>
          <w:szCs w:val="22"/>
          <w:highlight w:val="none"/>
          <w:lang w:val="en-US"/>
        </w:rPr>
        <w:t>GPU服务器</w:t>
      </w:r>
      <w:r>
        <w:tab/>
      </w:r>
      <w:r>
        <w:fldChar w:fldCharType="begin"/>
      </w:r>
      <w:r>
        <w:instrText xml:space="preserve"> PAGEREF _Toc23746 \h </w:instrText>
      </w:r>
      <w:r>
        <w:fldChar w:fldCharType="separate"/>
      </w:r>
      <w:r>
        <w:t>123</w:t>
      </w:r>
      <w:r>
        <w:fldChar w:fldCharType="end"/>
      </w:r>
      <w:r>
        <w:rPr>
          <w:i w:val="0"/>
          <w:iCs w:val="0"/>
          <w:color w:val="auto"/>
          <w:szCs w:val="21"/>
          <w:highlight w:val="none"/>
        </w:rPr>
        <w:fldChar w:fldCharType="end"/>
      </w:r>
    </w:p>
    <w:p w14:paraId="3990A43C">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_Toc5668 </w:instrText>
      </w:r>
      <w:r>
        <w:rPr>
          <w:i w:val="0"/>
          <w:iCs w:val="0"/>
          <w:szCs w:val="21"/>
          <w:highlight w:val="none"/>
        </w:rPr>
        <w:fldChar w:fldCharType="separate"/>
      </w:r>
      <w:r>
        <w:rPr>
          <w:rFonts w:hint="default" w:ascii="Arial" w:hAnsi="Arial" w:cs="Arial"/>
          <w:i w:val="0"/>
          <w:iCs w:val="0"/>
          <w:szCs w:val="22"/>
          <w:lang w:val="en-US"/>
        </w:rPr>
        <w:t xml:space="preserve">11.10.5 </w:t>
      </w:r>
      <w:r>
        <w:rPr>
          <w:rFonts w:hint="eastAsia"/>
          <w:i w:val="0"/>
          <w:iCs w:val="0"/>
          <w:szCs w:val="22"/>
          <w:highlight w:val="none"/>
          <w:lang w:val="en-US"/>
        </w:rPr>
        <w:t>光纤存储交换机</w:t>
      </w:r>
      <w:r>
        <w:tab/>
      </w:r>
      <w:r>
        <w:fldChar w:fldCharType="begin"/>
      </w:r>
      <w:r>
        <w:instrText xml:space="preserve"> PAGEREF _Toc5668 \h </w:instrText>
      </w:r>
      <w:r>
        <w:fldChar w:fldCharType="separate"/>
      </w:r>
      <w:r>
        <w:t>124</w:t>
      </w:r>
      <w:r>
        <w:fldChar w:fldCharType="end"/>
      </w:r>
      <w:r>
        <w:rPr>
          <w:i w:val="0"/>
          <w:iCs w:val="0"/>
          <w:color w:val="auto"/>
          <w:szCs w:val="21"/>
          <w:highlight w:val="none"/>
        </w:rPr>
        <w:fldChar w:fldCharType="end"/>
      </w:r>
    </w:p>
    <w:p w14:paraId="48A6A77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_Toc5758 </w:instrText>
      </w:r>
      <w:r>
        <w:rPr>
          <w:i w:val="0"/>
          <w:iCs w:val="0"/>
          <w:szCs w:val="21"/>
          <w:highlight w:val="none"/>
        </w:rPr>
        <w:fldChar w:fldCharType="separate"/>
      </w:r>
      <w:r>
        <w:rPr>
          <w:rFonts w:hint="default" w:ascii="Arial" w:hAnsi="Arial" w:cs="Arial"/>
          <w:i w:val="0"/>
          <w:iCs w:val="0"/>
          <w:szCs w:val="22"/>
          <w:lang w:val="en-US"/>
        </w:rPr>
        <w:t xml:space="preserve">11.10.6 </w:t>
      </w:r>
      <w:r>
        <w:rPr>
          <w:rFonts w:hint="eastAsia"/>
          <w:i w:val="0"/>
          <w:iCs w:val="0"/>
          <w:szCs w:val="22"/>
          <w:highlight w:val="none"/>
          <w:lang w:val="en-US"/>
        </w:rPr>
        <w:t>光纤接入交换机</w:t>
      </w:r>
      <w:r>
        <w:tab/>
      </w:r>
      <w:r>
        <w:fldChar w:fldCharType="begin"/>
      </w:r>
      <w:r>
        <w:instrText xml:space="preserve"> PAGEREF _Toc5758 \h </w:instrText>
      </w:r>
      <w:r>
        <w:fldChar w:fldCharType="separate"/>
      </w:r>
      <w:r>
        <w:t>124</w:t>
      </w:r>
      <w:r>
        <w:fldChar w:fldCharType="end"/>
      </w:r>
      <w:r>
        <w:rPr>
          <w:i w:val="0"/>
          <w:iCs w:val="0"/>
          <w:color w:val="auto"/>
          <w:szCs w:val="21"/>
          <w:highlight w:val="none"/>
        </w:rPr>
        <w:fldChar w:fldCharType="end"/>
      </w:r>
    </w:p>
    <w:p w14:paraId="6CFC2259">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_Toc32161 </w:instrText>
      </w:r>
      <w:r>
        <w:rPr>
          <w:i w:val="0"/>
          <w:iCs w:val="0"/>
          <w:szCs w:val="21"/>
          <w:highlight w:val="none"/>
        </w:rPr>
        <w:fldChar w:fldCharType="separate"/>
      </w:r>
      <w:r>
        <w:rPr>
          <w:rFonts w:hint="default" w:ascii="Arial" w:hAnsi="Arial" w:cs="Arial"/>
          <w:i w:val="0"/>
          <w:iCs w:val="0"/>
          <w:szCs w:val="22"/>
          <w:lang w:val="en-US"/>
        </w:rPr>
        <w:t xml:space="preserve">11.10.7 </w:t>
      </w:r>
      <w:r>
        <w:rPr>
          <w:rFonts w:hint="eastAsia"/>
          <w:i w:val="0"/>
          <w:iCs w:val="0"/>
          <w:szCs w:val="15"/>
          <w:highlight w:val="none"/>
          <w:lang w:val="en-US"/>
        </w:rPr>
        <w:t>云管服务器</w:t>
      </w:r>
      <w:r>
        <w:tab/>
      </w:r>
      <w:r>
        <w:fldChar w:fldCharType="begin"/>
      </w:r>
      <w:r>
        <w:instrText xml:space="preserve"> PAGEREF _Toc32161 \h </w:instrText>
      </w:r>
      <w:r>
        <w:fldChar w:fldCharType="separate"/>
      </w:r>
      <w:r>
        <w:t>124</w:t>
      </w:r>
      <w:r>
        <w:fldChar w:fldCharType="end"/>
      </w:r>
      <w:r>
        <w:rPr>
          <w:i w:val="0"/>
          <w:iCs w:val="0"/>
          <w:color w:val="auto"/>
          <w:szCs w:val="21"/>
          <w:highlight w:val="none"/>
        </w:rPr>
        <w:fldChar w:fldCharType="end"/>
      </w:r>
    </w:p>
    <w:p w14:paraId="6395495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_Toc1685 </w:instrText>
      </w:r>
      <w:r>
        <w:rPr>
          <w:i w:val="0"/>
          <w:iCs w:val="0"/>
          <w:szCs w:val="21"/>
          <w:highlight w:val="none"/>
        </w:rPr>
        <w:fldChar w:fldCharType="separate"/>
      </w:r>
      <w:r>
        <w:rPr>
          <w:rFonts w:hint="default" w:ascii="Arial" w:hAnsi="Arial" w:cs="Arial"/>
          <w:i w:val="0"/>
          <w:iCs w:val="0"/>
          <w:szCs w:val="22"/>
          <w:lang w:val="en-US"/>
        </w:rPr>
        <w:t xml:space="preserve">11.10.8 </w:t>
      </w:r>
      <w:r>
        <w:rPr>
          <w:rFonts w:hint="eastAsia"/>
          <w:i w:val="0"/>
          <w:iCs w:val="0"/>
          <w:szCs w:val="22"/>
          <w:highlight w:val="none"/>
          <w:lang w:val="en-US"/>
        </w:rPr>
        <w:t>云管理交换机</w:t>
      </w:r>
      <w:r>
        <w:tab/>
      </w:r>
      <w:r>
        <w:fldChar w:fldCharType="begin"/>
      </w:r>
      <w:r>
        <w:instrText xml:space="preserve"> PAGEREF _Toc1685 \h </w:instrText>
      </w:r>
      <w:r>
        <w:fldChar w:fldCharType="separate"/>
      </w:r>
      <w:r>
        <w:t>125</w:t>
      </w:r>
      <w:r>
        <w:fldChar w:fldCharType="end"/>
      </w:r>
      <w:r>
        <w:rPr>
          <w:i w:val="0"/>
          <w:iCs w:val="0"/>
          <w:color w:val="auto"/>
          <w:szCs w:val="21"/>
          <w:highlight w:val="none"/>
        </w:rPr>
        <w:fldChar w:fldCharType="end"/>
      </w:r>
    </w:p>
    <w:p w14:paraId="4DB87B71">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_Toc3026 </w:instrText>
      </w:r>
      <w:r>
        <w:rPr>
          <w:i w:val="0"/>
          <w:iCs w:val="0"/>
          <w:szCs w:val="21"/>
          <w:highlight w:val="none"/>
        </w:rPr>
        <w:fldChar w:fldCharType="separate"/>
      </w:r>
      <w:r>
        <w:rPr>
          <w:rFonts w:hint="default" w:ascii="Arial" w:hAnsi="Arial" w:cs="Arial"/>
          <w:i w:val="0"/>
          <w:iCs w:val="0"/>
          <w:szCs w:val="22"/>
          <w:lang w:val="en-US"/>
        </w:rPr>
        <w:t xml:space="preserve">11.10.9 </w:t>
      </w:r>
      <w:r>
        <w:rPr>
          <w:rFonts w:hint="eastAsia"/>
          <w:i w:val="0"/>
          <w:iCs w:val="0"/>
          <w:szCs w:val="22"/>
          <w:highlight w:val="none"/>
          <w:lang w:val="en-US"/>
        </w:rPr>
        <w:t>集中存储</w:t>
      </w:r>
      <w:r>
        <w:tab/>
      </w:r>
      <w:r>
        <w:fldChar w:fldCharType="begin"/>
      </w:r>
      <w:r>
        <w:instrText xml:space="preserve"> PAGEREF _Toc3026 \h </w:instrText>
      </w:r>
      <w:r>
        <w:fldChar w:fldCharType="separate"/>
      </w:r>
      <w:r>
        <w:t>125</w:t>
      </w:r>
      <w:r>
        <w:fldChar w:fldCharType="end"/>
      </w:r>
      <w:r>
        <w:rPr>
          <w:i w:val="0"/>
          <w:iCs w:val="0"/>
          <w:color w:val="auto"/>
          <w:szCs w:val="21"/>
          <w:highlight w:val="none"/>
        </w:rPr>
        <w:fldChar w:fldCharType="end"/>
      </w:r>
    </w:p>
    <w:p w14:paraId="68DAB5AA">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_Toc19009 </w:instrText>
      </w:r>
      <w:r>
        <w:rPr>
          <w:i w:val="0"/>
          <w:iCs w:val="0"/>
          <w:szCs w:val="21"/>
          <w:highlight w:val="none"/>
        </w:rPr>
        <w:fldChar w:fldCharType="separate"/>
      </w:r>
      <w:r>
        <w:rPr>
          <w:rFonts w:hint="default" w:ascii="Arial" w:hAnsi="Arial" w:cs="Arial"/>
          <w:i w:val="0"/>
          <w:iCs w:val="0"/>
          <w:szCs w:val="22"/>
          <w:lang w:val="en-US"/>
        </w:rPr>
        <w:t xml:space="preserve">11.10.10 </w:t>
      </w:r>
      <w:r>
        <w:rPr>
          <w:rFonts w:hint="eastAsia"/>
          <w:i w:val="0"/>
          <w:iCs w:val="0"/>
          <w:szCs w:val="15"/>
          <w:highlight w:val="none"/>
          <w:lang w:val="en-US"/>
        </w:rPr>
        <w:t>备份一体机</w:t>
      </w:r>
      <w:r>
        <w:tab/>
      </w:r>
      <w:r>
        <w:fldChar w:fldCharType="begin"/>
      </w:r>
      <w:r>
        <w:instrText xml:space="preserve"> PAGEREF _Toc19009 \h </w:instrText>
      </w:r>
      <w:r>
        <w:fldChar w:fldCharType="separate"/>
      </w:r>
      <w:r>
        <w:t>126</w:t>
      </w:r>
      <w:r>
        <w:fldChar w:fldCharType="end"/>
      </w:r>
      <w:r>
        <w:rPr>
          <w:i w:val="0"/>
          <w:iCs w:val="0"/>
          <w:color w:val="auto"/>
          <w:szCs w:val="21"/>
          <w:highlight w:val="none"/>
        </w:rPr>
        <w:fldChar w:fldCharType="end"/>
      </w:r>
    </w:p>
    <w:p w14:paraId="2C7F4659">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_Toc22834 </w:instrText>
      </w:r>
      <w:r>
        <w:rPr>
          <w:i w:val="0"/>
          <w:iCs w:val="0"/>
          <w:szCs w:val="21"/>
          <w:highlight w:val="none"/>
        </w:rPr>
        <w:fldChar w:fldCharType="separate"/>
      </w:r>
      <w:r>
        <w:rPr>
          <w:rFonts w:hint="default" w:ascii="Arial" w:hAnsi="Arial" w:cs="Arial"/>
          <w:i w:val="0"/>
          <w:iCs w:val="0"/>
          <w:szCs w:val="22"/>
          <w:lang w:val="en-US"/>
        </w:rPr>
        <w:t xml:space="preserve">11.10.11 </w:t>
      </w:r>
      <w:r>
        <w:rPr>
          <w:rFonts w:hint="eastAsia"/>
          <w:i w:val="0"/>
          <w:iCs w:val="0"/>
          <w:szCs w:val="15"/>
          <w:highlight w:val="none"/>
          <w:lang w:val="en-US"/>
        </w:rPr>
        <w:t>UPS蓄电池</w:t>
      </w:r>
      <w:r>
        <w:tab/>
      </w:r>
      <w:r>
        <w:fldChar w:fldCharType="begin"/>
      </w:r>
      <w:r>
        <w:instrText xml:space="preserve"> PAGEREF _Toc22834 \h </w:instrText>
      </w:r>
      <w:r>
        <w:fldChar w:fldCharType="separate"/>
      </w:r>
      <w:r>
        <w:t>127</w:t>
      </w:r>
      <w:r>
        <w:fldChar w:fldCharType="end"/>
      </w:r>
      <w:r>
        <w:rPr>
          <w:i w:val="0"/>
          <w:iCs w:val="0"/>
          <w:color w:val="auto"/>
          <w:szCs w:val="21"/>
          <w:highlight w:val="none"/>
        </w:rPr>
        <w:fldChar w:fldCharType="end"/>
      </w:r>
    </w:p>
    <w:p w14:paraId="47A52F91">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_Toc28561 </w:instrText>
      </w:r>
      <w:r>
        <w:rPr>
          <w:i w:val="0"/>
          <w:iCs w:val="0"/>
          <w:szCs w:val="21"/>
          <w:highlight w:val="none"/>
        </w:rPr>
        <w:fldChar w:fldCharType="separate"/>
      </w:r>
      <w:r>
        <w:rPr>
          <w:rFonts w:hint="default" w:ascii="Arial" w:hAnsi="Arial" w:cs="Arial"/>
          <w:i w:val="0"/>
          <w:iCs w:val="0"/>
          <w:szCs w:val="22"/>
          <w:lang w:val="en-US"/>
        </w:rPr>
        <w:t xml:space="preserve">11.10.12 </w:t>
      </w:r>
      <w:r>
        <w:rPr>
          <w:rFonts w:hint="eastAsia"/>
          <w:i w:val="0"/>
          <w:iCs w:val="0"/>
          <w:szCs w:val="15"/>
          <w:highlight w:val="none"/>
          <w:lang w:val="en-US"/>
        </w:rPr>
        <w:t>信息安全设备技术要求</w:t>
      </w:r>
      <w:r>
        <w:tab/>
      </w:r>
      <w:r>
        <w:fldChar w:fldCharType="begin"/>
      </w:r>
      <w:r>
        <w:instrText xml:space="preserve"> PAGEREF _Toc28561 \h </w:instrText>
      </w:r>
      <w:r>
        <w:fldChar w:fldCharType="separate"/>
      </w:r>
      <w:r>
        <w:t>128</w:t>
      </w:r>
      <w:r>
        <w:fldChar w:fldCharType="end"/>
      </w:r>
      <w:r>
        <w:rPr>
          <w:i w:val="0"/>
          <w:iCs w:val="0"/>
          <w:color w:val="auto"/>
          <w:szCs w:val="21"/>
          <w:highlight w:val="none"/>
        </w:rPr>
        <w:fldChar w:fldCharType="end"/>
      </w:r>
    </w:p>
    <w:p w14:paraId="4BA6B1A1">
      <w:pPr>
        <w:pStyle w:val="59"/>
        <w:tabs>
          <w:tab w:val="right" w:leader="dot" w:pos="8743"/>
          <w:tab w:val="clear" w:pos="560"/>
          <w:tab w:val="clear" w:pos="8733"/>
        </w:tabs>
      </w:pPr>
      <w:r>
        <w:rPr>
          <w:i w:val="0"/>
          <w:iCs w:val="0"/>
          <w:color w:val="auto"/>
          <w:szCs w:val="21"/>
          <w:highlight w:val="none"/>
        </w:rPr>
        <w:fldChar w:fldCharType="begin"/>
      </w:r>
      <w:r>
        <w:rPr>
          <w:i w:val="0"/>
          <w:iCs w:val="0"/>
          <w:szCs w:val="21"/>
          <w:highlight w:val="none"/>
        </w:rPr>
        <w:instrText xml:space="preserve"> HYPERLINK \l _Toc15634 </w:instrText>
      </w:r>
      <w:r>
        <w:rPr>
          <w:i w:val="0"/>
          <w:iCs w:val="0"/>
          <w:szCs w:val="21"/>
          <w:highlight w:val="none"/>
        </w:rPr>
        <w:fldChar w:fldCharType="separate"/>
      </w:r>
      <w:r>
        <w:rPr>
          <w:rFonts w:hint="default" w:ascii="Arial" w:hAnsi="Arial" w:cs="Arial"/>
          <w:bCs w:val="0"/>
          <w:i w:val="0"/>
          <w:iCs w:val="0"/>
          <w:caps w:val="0"/>
          <w:smallCaps w:val="0"/>
          <w:strike w:val="0"/>
          <w:dstrike w:val="0"/>
          <w:vanish w:val="0"/>
          <w:spacing w:val="0"/>
          <w:position w:val="0"/>
          <w:szCs w:val="22"/>
          <w:vertAlign w:val="baseline"/>
          <w14:shadow w14:blurRad="0" w14:dist="0" w14:dir="0" w14:sx="0" w14:sy="0" w14:kx="0" w14:ky="0" w14:algn="none">
            <w14:srgbClr w14:val="000000"/>
          </w14:shadow>
        </w:rPr>
        <w:t xml:space="preserve">12. </w:t>
      </w:r>
      <w:r>
        <w:rPr>
          <w:rFonts w:hint="eastAsia"/>
          <w:i w:val="0"/>
          <w:iCs w:val="0"/>
          <w:szCs w:val="32"/>
          <w:highlight w:val="none"/>
        </w:rPr>
        <w:t>主要设备、材料清单</w:t>
      </w:r>
      <w:r>
        <w:tab/>
      </w:r>
      <w:r>
        <w:fldChar w:fldCharType="begin"/>
      </w:r>
      <w:r>
        <w:instrText xml:space="preserve"> PAGEREF _Toc15634 \h </w:instrText>
      </w:r>
      <w:r>
        <w:fldChar w:fldCharType="separate"/>
      </w:r>
      <w:r>
        <w:t>134</w:t>
      </w:r>
      <w:r>
        <w:fldChar w:fldCharType="end"/>
      </w:r>
      <w:r>
        <w:rPr>
          <w:i w:val="0"/>
          <w:iCs w:val="0"/>
          <w:color w:val="auto"/>
          <w:szCs w:val="21"/>
          <w:highlight w:val="none"/>
        </w:rPr>
        <w:fldChar w:fldCharType="end"/>
      </w:r>
    </w:p>
    <w:p w14:paraId="7F4D4E25">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_Toc21542 </w:instrText>
      </w:r>
      <w:r>
        <w:rPr>
          <w:i w:val="0"/>
          <w:iCs w:val="0"/>
          <w:szCs w:val="21"/>
          <w:highlight w:val="none"/>
        </w:rPr>
        <w:fldChar w:fldCharType="separate"/>
      </w:r>
      <w:r>
        <w:rPr>
          <w:rFonts w:hint="default" w:ascii="Arial" w:hAnsi="Arial" w:cs="Arial"/>
          <w:i w:val="0"/>
          <w:iCs w:val="0"/>
          <w:szCs w:val="24"/>
        </w:rPr>
        <w:t xml:space="preserve">12.1 </w:t>
      </w:r>
      <w:r>
        <w:rPr>
          <w:rFonts w:hint="eastAsia"/>
          <w:i w:val="0"/>
          <w:iCs w:val="0"/>
          <w:szCs w:val="21"/>
          <w:highlight w:val="none"/>
        </w:rPr>
        <w:t>防洪防汛系统主要设备材料清单</w:t>
      </w:r>
      <w:r>
        <w:tab/>
      </w:r>
      <w:r>
        <w:fldChar w:fldCharType="begin"/>
      </w:r>
      <w:r>
        <w:instrText xml:space="preserve"> PAGEREF _Toc21542 \h </w:instrText>
      </w:r>
      <w:r>
        <w:fldChar w:fldCharType="separate"/>
      </w:r>
      <w:r>
        <w:t>134</w:t>
      </w:r>
      <w:r>
        <w:fldChar w:fldCharType="end"/>
      </w:r>
      <w:r>
        <w:rPr>
          <w:i w:val="0"/>
          <w:iCs w:val="0"/>
          <w:color w:val="auto"/>
          <w:szCs w:val="21"/>
          <w:highlight w:val="none"/>
        </w:rPr>
        <w:fldChar w:fldCharType="end"/>
      </w:r>
    </w:p>
    <w:p w14:paraId="50F731D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_Toc15314 </w:instrText>
      </w:r>
      <w:r>
        <w:rPr>
          <w:i w:val="0"/>
          <w:iCs w:val="0"/>
          <w:szCs w:val="21"/>
          <w:highlight w:val="none"/>
        </w:rPr>
        <w:fldChar w:fldCharType="separate"/>
      </w:r>
      <w:r>
        <w:rPr>
          <w:rFonts w:hint="default" w:ascii="Arial" w:hAnsi="Arial" w:cs="Arial"/>
          <w:i w:val="0"/>
          <w:iCs w:val="0"/>
          <w:szCs w:val="22"/>
        </w:rPr>
        <w:t xml:space="preserve">12.1.1 </w:t>
      </w:r>
      <w:r>
        <w:rPr>
          <w:rFonts w:hint="eastAsia"/>
          <w:i w:val="0"/>
          <w:iCs w:val="0"/>
          <w:szCs w:val="22"/>
          <w:highlight w:val="none"/>
          <w:lang w:val="en-US"/>
        </w:rPr>
        <w:t>主要设备表</w:t>
      </w:r>
      <w:r>
        <w:tab/>
      </w:r>
      <w:r>
        <w:fldChar w:fldCharType="begin"/>
      </w:r>
      <w:r>
        <w:instrText xml:space="preserve"> PAGEREF _Toc15314 \h </w:instrText>
      </w:r>
      <w:r>
        <w:fldChar w:fldCharType="separate"/>
      </w:r>
      <w:r>
        <w:t>134</w:t>
      </w:r>
      <w:r>
        <w:fldChar w:fldCharType="end"/>
      </w:r>
      <w:r>
        <w:rPr>
          <w:i w:val="0"/>
          <w:iCs w:val="0"/>
          <w:color w:val="auto"/>
          <w:szCs w:val="21"/>
          <w:highlight w:val="none"/>
        </w:rPr>
        <w:fldChar w:fldCharType="end"/>
      </w:r>
    </w:p>
    <w:p w14:paraId="0778CDF9">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_Toc15103 </w:instrText>
      </w:r>
      <w:r>
        <w:rPr>
          <w:i w:val="0"/>
          <w:iCs w:val="0"/>
          <w:szCs w:val="21"/>
          <w:highlight w:val="none"/>
        </w:rPr>
        <w:fldChar w:fldCharType="separate"/>
      </w:r>
      <w:r>
        <w:rPr>
          <w:rFonts w:hint="default" w:ascii="Arial" w:hAnsi="Arial" w:cs="Arial"/>
          <w:i w:val="0"/>
          <w:iCs w:val="0"/>
          <w:szCs w:val="22"/>
        </w:rPr>
        <w:t xml:space="preserve">12.1.2 </w:t>
      </w:r>
      <w:r>
        <w:rPr>
          <w:rFonts w:hint="eastAsia"/>
          <w:i w:val="0"/>
          <w:iCs w:val="0"/>
          <w:szCs w:val="22"/>
          <w:highlight w:val="none"/>
          <w:lang w:val="en-US"/>
        </w:rPr>
        <w:t>主要材料表</w:t>
      </w:r>
      <w:r>
        <w:tab/>
      </w:r>
      <w:r>
        <w:fldChar w:fldCharType="begin"/>
      </w:r>
      <w:r>
        <w:instrText xml:space="preserve"> PAGEREF _Toc15103 \h </w:instrText>
      </w:r>
      <w:r>
        <w:fldChar w:fldCharType="separate"/>
      </w:r>
      <w:r>
        <w:t>135</w:t>
      </w:r>
      <w:r>
        <w:fldChar w:fldCharType="end"/>
      </w:r>
      <w:r>
        <w:rPr>
          <w:i w:val="0"/>
          <w:iCs w:val="0"/>
          <w:color w:val="auto"/>
          <w:szCs w:val="21"/>
          <w:highlight w:val="none"/>
        </w:rPr>
        <w:fldChar w:fldCharType="end"/>
      </w:r>
    </w:p>
    <w:p w14:paraId="66AF9EF0">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_Toc9239 </w:instrText>
      </w:r>
      <w:r>
        <w:rPr>
          <w:i w:val="0"/>
          <w:iCs w:val="0"/>
          <w:szCs w:val="21"/>
          <w:highlight w:val="none"/>
        </w:rPr>
        <w:fldChar w:fldCharType="separate"/>
      </w:r>
      <w:r>
        <w:rPr>
          <w:rFonts w:hint="default" w:ascii="Arial" w:hAnsi="Arial" w:cs="Arial"/>
          <w:i w:val="0"/>
          <w:iCs w:val="0"/>
          <w:szCs w:val="24"/>
        </w:rPr>
        <w:t xml:space="preserve">12.2 </w:t>
      </w:r>
      <w:r>
        <w:rPr>
          <w:rFonts w:hint="eastAsia"/>
          <w:i w:val="0"/>
          <w:iCs w:val="0"/>
          <w:szCs w:val="21"/>
          <w:highlight w:val="none"/>
        </w:rPr>
        <w:t>视频分析系统主要设备材料表</w:t>
      </w:r>
      <w:r>
        <w:tab/>
      </w:r>
      <w:r>
        <w:fldChar w:fldCharType="begin"/>
      </w:r>
      <w:r>
        <w:instrText xml:space="preserve"> PAGEREF _Toc9239 \h </w:instrText>
      </w:r>
      <w:r>
        <w:fldChar w:fldCharType="separate"/>
      </w:r>
      <w:r>
        <w:t>135</w:t>
      </w:r>
      <w:r>
        <w:fldChar w:fldCharType="end"/>
      </w:r>
      <w:r>
        <w:rPr>
          <w:i w:val="0"/>
          <w:iCs w:val="0"/>
          <w:color w:val="auto"/>
          <w:szCs w:val="21"/>
          <w:highlight w:val="none"/>
        </w:rPr>
        <w:fldChar w:fldCharType="end"/>
      </w:r>
    </w:p>
    <w:p w14:paraId="73896B2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_Toc22885 </w:instrText>
      </w:r>
      <w:r>
        <w:rPr>
          <w:i w:val="0"/>
          <w:iCs w:val="0"/>
          <w:szCs w:val="21"/>
          <w:highlight w:val="none"/>
        </w:rPr>
        <w:fldChar w:fldCharType="separate"/>
      </w:r>
      <w:r>
        <w:rPr>
          <w:rFonts w:hint="default" w:ascii="Arial" w:hAnsi="Arial" w:cs="Arial"/>
          <w:i w:val="0"/>
          <w:iCs w:val="0"/>
          <w:szCs w:val="22"/>
          <w:lang w:val="en-US"/>
        </w:rPr>
        <w:t xml:space="preserve">12.2.1 </w:t>
      </w:r>
      <w:r>
        <w:rPr>
          <w:rFonts w:hint="eastAsia"/>
          <w:i w:val="0"/>
          <w:iCs w:val="0"/>
          <w:szCs w:val="22"/>
          <w:highlight w:val="none"/>
          <w:lang w:val="en-US"/>
        </w:rPr>
        <w:t>主要设备表</w:t>
      </w:r>
      <w:r>
        <w:tab/>
      </w:r>
      <w:r>
        <w:fldChar w:fldCharType="begin"/>
      </w:r>
      <w:r>
        <w:instrText xml:space="preserve"> PAGEREF _Toc22885 \h </w:instrText>
      </w:r>
      <w:r>
        <w:fldChar w:fldCharType="separate"/>
      </w:r>
      <w:r>
        <w:t>135</w:t>
      </w:r>
      <w:r>
        <w:fldChar w:fldCharType="end"/>
      </w:r>
      <w:r>
        <w:rPr>
          <w:i w:val="0"/>
          <w:iCs w:val="0"/>
          <w:color w:val="auto"/>
          <w:szCs w:val="21"/>
          <w:highlight w:val="none"/>
        </w:rPr>
        <w:fldChar w:fldCharType="end"/>
      </w:r>
    </w:p>
    <w:p w14:paraId="07F4612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_Toc14955 </w:instrText>
      </w:r>
      <w:r>
        <w:rPr>
          <w:i w:val="0"/>
          <w:iCs w:val="0"/>
          <w:szCs w:val="21"/>
          <w:highlight w:val="none"/>
        </w:rPr>
        <w:fldChar w:fldCharType="separate"/>
      </w:r>
      <w:r>
        <w:rPr>
          <w:rFonts w:hint="default" w:ascii="Arial" w:hAnsi="Arial" w:cs="Arial"/>
          <w:i w:val="0"/>
          <w:iCs w:val="0"/>
          <w:szCs w:val="22"/>
          <w:lang w:val="en-US"/>
        </w:rPr>
        <w:t xml:space="preserve">12.2.2 </w:t>
      </w:r>
      <w:r>
        <w:rPr>
          <w:rFonts w:hint="eastAsia"/>
          <w:i w:val="0"/>
          <w:iCs w:val="0"/>
          <w:szCs w:val="22"/>
          <w:highlight w:val="none"/>
          <w:lang w:val="en-US"/>
        </w:rPr>
        <w:t>主要材料表</w:t>
      </w:r>
      <w:r>
        <w:tab/>
      </w:r>
      <w:r>
        <w:fldChar w:fldCharType="begin"/>
      </w:r>
      <w:r>
        <w:instrText xml:space="preserve"> PAGEREF _Toc14955 \h </w:instrText>
      </w:r>
      <w:r>
        <w:fldChar w:fldCharType="separate"/>
      </w:r>
      <w:r>
        <w:t>135</w:t>
      </w:r>
      <w:r>
        <w:fldChar w:fldCharType="end"/>
      </w:r>
      <w:r>
        <w:rPr>
          <w:i w:val="0"/>
          <w:iCs w:val="0"/>
          <w:color w:val="auto"/>
          <w:szCs w:val="21"/>
          <w:highlight w:val="none"/>
        </w:rPr>
        <w:fldChar w:fldCharType="end"/>
      </w:r>
    </w:p>
    <w:p w14:paraId="4466D846">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_Toc23671 </w:instrText>
      </w:r>
      <w:r>
        <w:rPr>
          <w:i w:val="0"/>
          <w:iCs w:val="0"/>
          <w:szCs w:val="21"/>
          <w:highlight w:val="none"/>
        </w:rPr>
        <w:fldChar w:fldCharType="separate"/>
      </w:r>
      <w:r>
        <w:rPr>
          <w:rFonts w:hint="default" w:ascii="Arial" w:hAnsi="Arial" w:cs="Arial"/>
          <w:i w:val="0"/>
          <w:iCs w:val="0"/>
          <w:szCs w:val="24"/>
        </w:rPr>
        <w:t xml:space="preserve">12.3 </w:t>
      </w:r>
      <w:r>
        <w:rPr>
          <w:rFonts w:hint="eastAsia"/>
          <w:i w:val="0"/>
          <w:iCs w:val="0"/>
          <w:szCs w:val="21"/>
          <w:highlight w:val="none"/>
        </w:rPr>
        <w:t>FAS与ACS系统联动主要设备材料表</w:t>
      </w:r>
      <w:r>
        <w:tab/>
      </w:r>
      <w:r>
        <w:fldChar w:fldCharType="begin"/>
      </w:r>
      <w:r>
        <w:instrText xml:space="preserve"> PAGEREF _Toc23671 \h </w:instrText>
      </w:r>
      <w:r>
        <w:fldChar w:fldCharType="separate"/>
      </w:r>
      <w:r>
        <w:t>136</w:t>
      </w:r>
      <w:r>
        <w:fldChar w:fldCharType="end"/>
      </w:r>
      <w:r>
        <w:rPr>
          <w:i w:val="0"/>
          <w:iCs w:val="0"/>
          <w:color w:val="auto"/>
          <w:szCs w:val="21"/>
          <w:highlight w:val="none"/>
        </w:rPr>
        <w:fldChar w:fldCharType="end"/>
      </w:r>
    </w:p>
    <w:p w14:paraId="171456A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_Toc3884 </w:instrText>
      </w:r>
      <w:r>
        <w:rPr>
          <w:i w:val="0"/>
          <w:iCs w:val="0"/>
          <w:szCs w:val="21"/>
          <w:highlight w:val="none"/>
        </w:rPr>
        <w:fldChar w:fldCharType="separate"/>
      </w:r>
      <w:r>
        <w:rPr>
          <w:rFonts w:hint="default" w:ascii="Arial" w:hAnsi="Arial" w:cs="Arial"/>
          <w:i w:val="0"/>
          <w:iCs w:val="0"/>
          <w:szCs w:val="22"/>
          <w:lang w:val="en-US"/>
        </w:rPr>
        <w:t xml:space="preserve">12.3.1 </w:t>
      </w:r>
      <w:r>
        <w:rPr>
          <w:rFonts w:hint="eastAsia"/>
          <w:i w:val="0"/>
          <w:iCs w:val="0"/>
          <w:szCs w:val="22"/>
          <w:highlight w:val="none"/>
          <w:lang w:val="en-US"/>
        </w:rPr>
        <w:t>主要设备表</w:t>
      </w:r>
      <w:r>
        <w:tab/>
      </w:r>
      <w:r>
        <w:fldChar w:fldCharType="begin"/>
      </w:r>
      <w:r>
        <w:instrText xml:space="preserve"> PAGEREF _Toc3884 \h </w:instrText>
      </w:r>
      <w:r>
        <w:fldChar w:fldCharType="separate"/>
      </w:r>
      <w:r>
        <w:t>136</w:t>
      </w:r>
      <w:r>
        <w:fldChar w:fldCharType="end"/>
      </w:r>
      <w:r>
        <w:rPr>
          <w:i w:val="0"/>
          <w:iCs w:val="0"/>
          <w:color w:val="auto"/>
          <w:szCs w:val="21"/>
          <w:highlight w:val="none"/>
        </w:rPr>
        <w:fldChar w:fldCharType="end"/>
      </w:r>
    </w:p>
    <w:p w14:paraId="313B85B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_Toc13293 </w:instrText>
      </w:r>
      <w:r>
        <w:rPr>
          <w:i w:val="0"/>
          <w:iCs w:val="0"/>
          <w:szCs w:val="21"/>
          <w:highlight w:val="none"/>
        </w:rPr>
        <w:fldChar w:fldCharType="separate"/>
      </w:r>
      <w:r>
        <w:rPr>
          <w:rFonts w:hint="default" w:ascii="Arial" w:hAnsi="Arial" w:cs="Arial"/>
          <w:i w:val="0"/>
          <w:iCs w:val="0"/>
          <w:szCs w:val="22"/>
          <w:lang w:val="en-US"/>
        </w:rPr>
        <w:t xml:space="preserve">12.3.2 </w:t>
      </w:r>
      <w:r>
        <w:rPr>
          <w:rFonts w:hint="eastAsia"/>
          <w:i w:val="0"/>
          <w:iCs w:val="0"/>
          <w:szCs w:val="22"/>
          <w:highlight w:val="none"/>
          <w:lang w:val="en-US"/>
        </w:rPr>
        <w:t>主要材料</w:t>
      </w:r>
      <w:r>
        <w:tab/>
      </w:r>
      <w:r>
        <w:fldChar w:fldCharType="begin"/>
      </w:r>
      <w:r>
        <w:instrText xml:space="preserve"> PAGEREF _Toc13293 \h </w:instrText>
      </w:r>
      <w:r>
        <w:fldChar w:fldCharType="separate"/>
      </w:r>
      <w:r>
        <w:t>136</w:t>
      </w:r>
      <w:r>
        <w:fldChar w:fldCharType="end"/>
      </w:r>
      <w:r>
        <w:rPr>
          <w:i w:val="0"/>
          <w:iCs w:val="0"/>
          <w:color w:val="auto"/>
          <w:szCs w:val="21"/>
          <w:highlight w:val="none"/>
        </w:rPr>
        <w:fldChar w:fldCharType="end"/>
      </w:r>
    </w:p>
    <w:p w14:paraId="704F3A7C">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_Toc14525 </w:instrText>
      </w:r>
      <w:r>
        <w:rPr>
          <w:i w:val="0"/>
          <w:iCs w:val="0"/>
          <w:szCs w:val="21"/>
          <w:highlight w:val="none"/>
        </w:rPr>
        <w:fldChar w:fldCharType="separate"/>
      </w:r>
      <w:r>
        <w:rPr>
          <w:rFonts w:hint="default" w:ascii="Arial" w:hAnsi="Arial" w:cs="Arial"/>
          <w:i w:val="0"/>
          <w:iCs w:val="0"/>
          <w:szCs w:val="24"/>
        </w:rPr>
        <w:t xml:space="preserve">12.4 </w:t>
      </w:r>
      <w:r>
        <w:rPr>
          <w:rFonts w:hint="eastAsia"/>
          <w:i w:val="0"/>
          <w:iCs w:val="0"/>
          <w:szCs w:val="21"/>
          <w:highlight w:val="none"/>
        </w:rPr>
        <w:t>列车司机行为分析系统主要设备材料表</w:t>
      </w:r>
      <w:r>
        <w:tab/>
      </w:r>
      <w:r>
        <w:fldChar w:fldCharType="begin"/>
      </w:r>
      <w:r>
        <w:instrText xml:space="preserve"> PAGEREF _Toc14525 \h </w:instrText>
      </w:r>
      <w:r>
        <w:fldChar w:fldCharType="separate"/>
      </w:r>
      <w:r>
        <w:t>136</w:t>
      </w:r>
      <w:r>
        <w:fldChar w:fldCharType="end"/>
      </w:r>
      <w:r>
        <w:rPr>
          <w:i w:val="0"/>
          <w:iCs w:val="0"/>
          <w:color w:val="auto"/>
          <w:szCs w:val="21"/>
          <w:highlight w:val="none"/>
        </w:rPr>
        <w:fldChar w:fldCharType="end"/>
      </w:r>
    </w:p>
    <w:p w14:paraId="05830B3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_Toc5121 </w:instrText>
      </w:r>
      <w:r>
        <w:rPr>
          <w:i w:val="0"/>
          <w:iCs w:val="0"/>
          <w:szCs w:val="21"/>
          <w:highlight w:val="none"/>
        </w:rPr>
        <w:fldChar w:fldCharType="separate"/>
      </w:r>
      <w:r>
        <w:rPr>
          <w:rFonts w:hint="default" w:ascii="Arial" w:hAnsi="Arial" w:cs="Arial"/>
          <w:i w:val="0"/>
          <w:iCs w:val="0"/>
          <w:szCs w:val="22"/>
        </w:rPr>
        <w:t xml:space="preserve">12.4.1 </w:t>
      </w:r>
      <w:r>
        <w:rPr>
          <w:rFonts w:hint="eastAsia"/>
          <w:i w:val="0"/>
          <w:iCs w:val="0"/>
          <w:szCs w:val="22"/>
          <w:highlight w:val="none"/>
          <w:lang w:val="en-US"/>
        </w:rPr>
        <w:t>主要设备表</w:t>
      </w:r>
      <w:r>
        <w:tab/>
      </w:r>
      <w:r>
        <w:fldChar w:fldCharType="begin"/>
      </w:r>
      <w:r>
        <w:instrText xml:space="preserve"> PAGEREF _Toc5121 \h </w:instrText>
      </w:r>
      <w:r>
        <w:fldChar w:fldCharType="separate"/>
      </w:r>
      <w:r>
        <w:t>136</w:t>
      </w:r>
      <w:r>
        <w:fldChar w:fldCharType="end"/>
      </w:r>
      <w:r>
        <w:rPr>
          <w:i w:val="0"/>
          <w:iCs w:val="0"/>
          <w:color w:val="auto"/>
          <w:szCs w:val="21"/>
          <w:highlight w:val="none"/>
        </w:rPr>
        <w:fldChar w:fldCharType="end"/>
      </w:r>
    </w:p>
    <w:p w14:paraId="21DDB1C7">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_Toc15432 </w:instrText>
      </w:r>
      <w:r>
        <w:rPr>
          <w:i w:val="0"/>
          <w:iCs w:val="0"/>
          <w:szCs w:val="21"/>
          <w:highlight w:val="none"/>
        </w:rPr>
        <w:fldChar w:fldCharType="separate"/>
      </w:r>
      <w:r>
        <w:rPr>
          <w:rFonts w:hint="default" w:ascii="Arial" w:hAnsi="Arial" w:cs="Arial"/>
          <w:i w:val="0"/>
          <w:iCs w:val="0"/>
          <w:szCs w:val="22"/>
        </w:rPr>
        <w:t xml:space="preserve">12.4.2 </w:t>
      </w:r>
      <w:r>
        <w:rPr>
          <w:rFonts w:hint="eastAsia"/>
          <w:i w:val="0"/>
          <w:iCs w:val="0"/>
          <w:szCs w:val="22"/>
          <w:highlight w:val="none"/>
          <w:lang w:val="en-US"/>
        </w:rPr>
        <w:t>主要材料表</w:t>
      </w:r>
      <w:r>
        <w:tab/>
      </w:r>
      <w:r>
        <w:fldChar w:fldCharType="begin"/>
      </w:r>
      <w:r>
        <w:instrText xml:space="preserve"> PAGEREF _Toc15432 \h </w:instrText>
      </w:r>
      <w:r>
        <w:fldChar w:fldCharType="separate"/>
      </w:r>
      <w:r>
        <w:t>136</w:t>
      </w:r>
      <w:r>
        <w:fldChar w:fldCharType="end"/>
      </w:r>
      <w:r>
        <w:rPr>
          <w:i w:val="0"/>
          <w:iCs w:val="0"/>
          <w:color w:val="auto"/>
          <w:szCs w:val="21"/>
          <w:highlight w:val="none"/>
        </w:rPr>
        <w:fldChar w:fldCharType="end"/>
      </w:r>
    </w:p>
    <w:p w14:paraId="317172FE">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_Toc28584 </w:instrText>
      </w:r>
      <w:r>
        <w:rPr>
          <w:i w:val="0"/>
          <w:iCs w:val="0"/>
          <w:szCs w:val="21"/>
          <w:highlight w:val="none"/>
        </w:rPr>
        <w:fldChar w:fldCharType="separate"/>
      </w:r>
      <w:r>
        <w:rPr>
          <w:rFonts w:hint="default" w:ascii="Arial" w:hAnsi="Arial" w:cs="Arial"/>
          <w:i w:val="0"/>
          <w:iCs w:val="0"/>
          <w:szCs w:val="24"/>
        </w:rPr>
        <w:t xml:space="preserve">12.5 </w:t>
      </w:r>
      <w:r>
        <w:rPr>
          <w:rFonts w:hint="eastAsia"/>
          <w:i w:val="0"/>
          <w:iCs w:val="0"/>
          <w:szCs w:val="21"/>
          <w:highlight w:val="none"/>
        </w:rPr>
        <w:t>人脸门禁系统设备清单</w:t>
      </w:r>
      <w:r>
        <w:tab/>
      </w:r>
      <w:r>
        <w:fldChar w:fldCharType="begin"/>
      </w:r>
      <w:r>
        <w:instrText xml:space="preserve"> PAGEREF _Toc28584 \h </w:instrText>
      </w:r>
      <w:r>
        <w:fldChar w:fldCharType="separate"/>
      </w:r>
      <w:r>
        <w:t>136</w:t>
      </w:r>
      <w:r>
        <w:fldChar w:fldCharType="end"/>
      </w:r>
      <w:r>
        <w:rPr>
          <w:i w:val="0"/>
          <w:iCs w:val="0"/>
          <w:color w:val="auto"/>
          <w:szCs w:val="21"/>
          <w:highlight w:val="none"/>
        </w:rPr>
        <w:fldChar w:fldCharType="end"/>
      </w:r>
    </w:p>
    <w:p w14:paraId="20BBCA81">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_Toc411 </w:instrText>
      </w:r>
      <w:r>
        <w:rPr>
          <w:i w:val="0"/>
          <w:iCs w:val="0"/>
          <w:szCs w:val="21"/>
          <w:highlight w:val="none"/>
        </w:rPr>
        <w:fldChar w:fldCharType="separate"/>
      </w:r>
      <w:r>
        <w:rPr>
          <w:rFonts w:hint="default" w:ascii="Arial" w:hAnsi="Arial" w:cs="Arial"/>
          <w:i w:val="0"/>
          <w:iCs w:val="0"/>
          <w:szCs w:val="22"/>
        </w:rPr>
        <w:t xml:space="preserve">12.5.1 </w:t>
      </w:r>
      <w:r>
        <w:rPr>
          <w:rFonts w:hint="eastAsia"/>
          <w:i w:val="0"/>
          <w:iCs w:val="0"/>
          <w:szCs w:val="22"/>
          <w:highlight w:val="none"/>
          <w:lang w:val="en-US"/>
        </w:rPr>
        <w:t>主要设备清单</w:t>
      </w:r>
      <w:r>
        <w:tab/>
      </w:r>
      <w:r>
        <w:fldChar w:fldCharType="begin"/>
      </w:r>
      <w:r>
        <w:instrText xml:space="preserve"> PAGEREF _Toc411 \h </w:instrText>
      </w:r>
      <w:r>
        <w:fldChar w:fldCharType="separate"/>
      </w:r>
      <w:r>
        <w:t>136</w:t>
      </w:r>
      <w:r>
        <w:fldChar w:fldCharType="end"/>
      </w:r>
      <w:r>
        <w:rPr>
          <w:i w:val="0"/>
          <w:iCs w:val="0"/>
          <w:color w:val="auto"/>
          <w:szCs w:val="21"/>
          <w:highlight w:val="none"/>
        </w:rPr>
        <w:fldChar w:fldCharType="end"/>
      </w:r>
    </w:p>
    <w:p w14:paraId="0A452AC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_Toc30075 </w:instrText>
      </w:r>
      <w:r>
        <w:rPr>
          <w:i w:val="0"/>
          <w:iCs w:val="0"/>
          <w:szCs w:val="21"/>
          <w:highlight w:val="none"/>
        </w:rPr>
        <w:fldChar w:fldCharType="separate"/>
      </w:r>
      <w:r>
        <w:rPr>
          <w:rFonts w:hint="default" w:ascii="Arial" w:hAnsi="Arial" w:cs="Arial"/>
          <w:i w:val="0"/>
          <w:iCs w:val="0"/>
          <w:szCs w:val="22"/>
        </w:rPr>
        <w:t xml:space="preserve">12.5.2 </w:t>
      </w:r>
      <w:r>
        <w:rPr>
          <w:rFonts w:hint="eastAsia"/>
          <w:i w:val="0"/>
          <w:iCs w:val="0"/>
          <w:szCs w:val="22"/>
          <w:highlight w:val="none"/>
          <w:lang w:val="en-US"/>
        </w:rPr>
        <w:t>主要材料清单</w:t>
      </w:r>
      <w:r>
        <w:tab/>
      </w:r>
      <w:r>
        <w:fldChar w:fldCharType="begin"/>
      </w:r>
      <w:r>
        <w:instrText xml:space="preserve"> PAGEREF _Toc30075 \h </w:instrText>
      </w:r>
      <w:r>
        <w:fldChar w:fldCharType="separate"/>
      </w:r>
      <w:r>
        <w:t>137</w:t>
      </w:r>
      <w:r>
        <w:fldChar w:fldCharType="end"/>
      </w:r>
      <w:r>
        <w:rPr>
          <w:i w:val="0"/>
          <w:iCs w:val="0"/>
          <w:color w:val="auto"/>
          <w:szCs w:val="21"/>
          <w:highlight w:val="none"/>
        </w:rPr>
        <w:fldChar w:fldCharType="end"/>
      </w:r>
    </w:p>
    <w:p w14:paraId="7852309A">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_Toc21219 </w:instrText>
      </w:r>
      <w:r>
        <w:rPr>
          <w:i w:val="0"/>
          <w:iCs w:val="0"/>
          <w:szCs w:val="21"/>
          <w:highlight w:val="none"/>
        </w:rPr>
        <w:fldChar w:fldCharType="separate"/>
      </w:r>
      <w:r>
        <w:rPr>
          <w:rFonts w:hint="default" w:ascii="Arial" w:hAnsi="Arial" w:cs="Arial"/>
          <w:i w:val="0"/>
          <w:iCs w:val="0"/>
          <w:szCs w:val="24"/>
        </w:rPr>
        <w:t xml:space="preserve">12.6 </w:t>
      </w:r>
      <w:r>
        <w:rPr>
          <w:rFonts w:hint="eastAsia"/>
          <w:i w:val="0"/>
          <w:iCs w:val="0"/>
          <w:szCs w:val="21"/>
          <w:highlight w:val="none"/>
        </w:rPr>
        <w:t>智能钥匙柜主要设备材料清单</w:t>
      </w:r>
      <w:r>
        <w:tab/>
      </w:r>
      <w:r>
        <w:fldChar w:fldCharType="begin"/>
      </w:r>
      <w:r>
        <w:instrText xml:space="preserve"> PAGEREF _Toc21219 \h </w:instrText>
      </w:r>
      <w:r>
        <w:fldChar w:fldCharType="separate"/>
      </w:r>
      <w:r>
        <w:t>137</w:t>
      </w:r>
      <w:r>
        <w:fldChar w:fldCharType="end"/>
      </w:r>
      <w:r>
        <w:rPr>
          <w:i w:val="0"/>
          <w:iCs w:val="0"/>
          <w:color w:val="auto"/>
          <w:szCs w:val="21"/>
          <w:highlight w:val="none"/>
        </w:rPr>
        <w:fldChar w:fldCharType="end"/>
      </w:r>
    </w:p>
    <w:p w14:paraId="1F45BABD">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_Toc11520 </w:instrText>
      </w:r>
      <w:r>
        <w:rPr>
          <w:i w:val="0"/>
          <w:iCs w:val="0"/>
          <w:szCs w:val="21"/>
          <w:highlight w:val="none"/>
        </w:rPr>
        <w:fldChar w:fldCharType="separate"/>
      </w:r>
      <w:r>
        <w:rPr>
          <w:rFonts w:hint="default" w:ascii="Arial" w:hAnsi="Arial" w:cs="Arial"/>
          <w:i w:val="0"/>
          <w:iCs w:val="0"/>
          <w:szCs w:val="22"/>
        </w:rPr>
        <w:t xml:space="preserve">12.6.1 </w:t>
      </w:r>
      <w:r>
        <w:rPr>
          <w:rFonts w:hint="eastAsia"/>
          <w:i w:val="0"/>
          <w:iCs w:val="0"/>
          <w:szCs w:val="22"/>
          <w:highlight w:val="none"/>
          <w:lang w:val="en-US"/>
        </w:rPr>
        <w:t>主要设备表</w:t>
      </w:r>
      <w:r>
        <w:tab/>
      </w:r>
      <w:r>
        <w:fldChar w:fldCharType="begin"/>
      </w:r>
      <w:r>
        <w:instrText xml:space="preserve"> PAGEREF _Toc11520 \h </w:instrText>
      </w:r>
      <w:r>
        <w:fldChar w:fldCharType="separate"/>
      </w:r>
      <w:r>
        <w:t>137</w:t>
      </w:r>
      <w:r>
        <w:fldChar w:fldCharType="end"/>
      </w:r>
      <w:r>
        <w:rPr>
          <w:i w:val="0"/>
          <w:iCs w:val="0"/>
          <w:color w:val="auto"/>
          <w:szCs w:val="21"/>
          <w:highlight w:val="none"/>
        </w:rPr>
        <w:fldChar w:fldCharType="end"/>
      </w:r>
    </w:p>
    <w:p w14:paraId="4D87D50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_Toc12119 </w:instrText>
      </w:r>
      <w:r>
        <w:rPr>
          <w:i w:val="0"/>
          <w:iCs w:val="0"/>
          <w:szCs w:val="21"/>
          <w:highlight w:val="none"/>
        </w:rPr>
        <w:fldChar w:fldCharType="separate"/>
      </w:r>
      <w:r>
        <w:rPr>
          <w:rFonts w:hint="default" w:ascii="Arial" w:hAnsi="Arial" w:cs="Arial"/>
          <w:i w:val="0"/>
          <w:iCs w:val="0"/>
          <w:szCs w:val="22"/>
        </w:rPr>
        <w:t xml:space="preserve">12.6.2 </w:t>
      </w:r>
      <w:r>
        <w:rPr>
          <w:rFonts w:hint="eastAsia"/>
          <w:i w:val="0"/>
          <w:iCs w:val="0"/>
          <w:szCs w:val="22"/>
          <w:highlight w:val="none"/>
          <w:lang w:val="en-US"/>
        </w:rPr>
        <w:t>主要材料表</w:t>
      </w:r>
      <w:r>
        <w:tab/>
      </w:r>
      <w:r>
        <w:fldChar w:fldCharType="begin"/>
      </w:r>
      <w:r>
        <w:instrText xml:space="preserve"> PAGEREF _Toc12119 \h </w:instrText>
      </w:r>
      <w:r>
        <w:fldChar w:fldCharType="separate"/>
      </w:r>
      <w:r>
        <w:t>138</w:t>
      </w:r>
      <w:r>
        <w:fldChar w:fldCharType="end"/>
      </w:r>
      <w:r>
        <w:rPr>
          <w:i w:val="0"/>
          <w:iCs w:val="0"/>
          <w:color w:val="auto"/>
          <w:szCs w:val="21"/>
          <w:highlight w:val="none"/>
        </w:rPr>
        <w:fldChar w:fldCharType="end"/>
      </w:r>
    </w:p>
    <w:p w14:paraId="341568A3">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_Toc32571 </w:instrText>
      </w:r>
      <w:r>
        <w:rPr>
          <w:i w:val="0"/>
          <w:iCs w:val="0"/>
          <w:szCs w:val="21"/>
          <w:highlight w:val="none"/>
        </w:rPr>
        <w:fldChar w:fldCharType="separate"/>
      </w:r>
      <w:r>
        <w:rPr>
          <w:rFonts w:hint="default" w:ascii="Arial" w:hAnsi="Arial" w:cs="Arial"/>
          <w:i w:val="0"/>
          <w:iCs w:val="0"/>
          <w:szCs w:val="24"/>
        </w:rPr>
        <w:t xml:space="preserve">12.7 </w:t>
      </w:r>
      <w:r>
        <w:rPr>
          <w:rFonts w:hint="eastAsia"/>
          <w:i w:val="0"/>
          <w:iCs w:val="0"/>
          <w:szCs w:val="21"/>
          <w:highlight w:val="none"/>
        </w:rPr>
        <w:t>智慧公寓管理系统主要设备材料清表</w:t>
      </w:r>
      <w:r>
        <w:tab/>
      </w:r>
      <w:r>
        <w:fldChar w:fldCharType="begin"/>
      </w:r>
      <w:r>
        <w:instrText xml:space="preserve"> PAGEREF _Toc32571 \h </w:instrText>
      </w:r>
      <w:r>
        <w:fldChar w:fldCharType="separate"/>
      </w:r>
      <w:r>
        <w:t>138</w:t>
      </w:r>
      <w:r>
        <w:fldChar w:fldCharType="end"/>
      </w:r>
      <w:r>
        <w:rPr>
          <w:i w:val="0"/>
          <w:iCs w:val="0"/>
          <w:color w:val="auto"/>
          <w:szCs w:val="21"/>
          <w:highlight w:val="none"/>
        </w:rPr>
        <w:fldChar w:fldCharType="end"/>
      </w:r>
    </w:p>
    <w:p w14:paraId="5F636E12">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_Toc12297 </w:instrText>
      </w:r>
      <w:r>
        <w:rPr>
          <w:i w:val="0"/>
          <w:iCs w:val="0"/>
          <w:szCs w:val="21"/>
          <w:highlight w:val="none"/>
        </w:rPr>
        <w:fldChar w:fldCharType="separate"/>
      </w:r>
      <w:r>
        <w:rPr>
          <w:rFonts w:hint="default" w:ascii="Arial" w:hAnsi="Arial" w:cs="Arial"/>
          <w:i w:val="0"/>
          <w:iCs w:val="0"/>
          <w:szCs w:val="22"/>
        </w:rPr>
        <w:t xml:space="preserve">12.7.1 </w:t>
      </w:r>
      <w:r>
        <w:rPr>
          <w:rFonts w:hint="eastAsia"/>
          <w:i w:val="0"/>
          <w:iCs w:val="0"/>
          <w:szCs w:val="22"/>
          <w:highlight w:val="none"/>
          <w:lang w:val="en-US"/>
        </w:rPr>
        <w:t>主要设备表</w:t>
      </w:r>
      <w:r>
        <w:tab/>
      </w:r>
      <w:r>
        <w:fldChar w:fldCharType="begin"/>
      </w:r>
      <w:r>
        <w:instrText xml:space="preserve"> PAGEREF _Toc12297 \h </w:instrText>
      </w:r>
      <w:r>
        <w:fldChar w:fldCharType="separate"/>
      </w:r>
      <w:r>
        <w:t>138</w:t>
      </w:r>
      <w:r>
        <w:fldChar w:fldCharType="end"/>
      </w:r>
      <w:r>
        <w:rPr>
          <w:i w:val="0"/>
          <w:iCs w:val="0"/>
          <w:color w:val="auto"/>
          <w:szCs w:val="21"/>
          <w:highlight w:val="none"/>
        </w:rPr>
        <w:fldChar w:fldCharType="end"/>
      </w:r>
    </w:p>
    <w:p w14:paraId="19E6675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_Toc3234 </w:instrText>
      </w:r>
      <w:r>
        <w:rPr>
          <w:i w:val="0"/>
          <w:iCs w:val="0"/>
          <w:szCs w:val="21"/>
          <w:highlight w:val="none"/>
        </w:rPr>
        <w:fldChar w:fldCharType="separate"/>
      </w:r>
      <w:r>
        <w:rPr>
          <w:rFonts w:hint="default" w:ascii="Arial" w:hAnsi="Arial" w:cs="Arial"/>
          <w:i w:val="0"/>
          <w:iCs w:val="0"/>
          <w:szCs w:val="22"/>
        </w:rPr>
        <w:t xml:space="preserve">12.7.2 </w:t>
      </w:r>
      <w:r>
        <w:rPr>
          <w:rFonts w:hint="eastAsia"/>
          <w:i w:val="0"/>
          <w:iCs w:val="0"/>
          <w:szCs w:val="22"/>
          <w:highlight w:val="none"/>
          <w:lang w:val="en-US"/>
        </w:rPr>
        <w:t>主要材料表</w:t>
      </w:r>
      <w:r>
        <w:tab/>
      </w:r>
      <w:r>
        <w:fldChar w:fldCharType="begin"/>
      </w:r>
      <w:r>
        <w:instrText xml:space="preserve"> PAGEREF _Toc3234 \h </w:instrText>
      </w:r>
      <w:r>
        <w:fldChar w:fldCharType="separate"/>
      </w:r>
      <w:r>
        <w:t>138</w:t>
      </w:r>
      <w:r>
        <w:fldChar w:fldCharType="end"/>
      </w:r>
      <w:r>
        <w:rPr>
          <w:i w:val="0"/>
          <w:iCs w:val="0"/>
          <w:color w:val="auto"/>
          <w:szCs w:val="21"/>
          <w:highlight w:val="none"/>
        </w:rPr>
        <w:fldChar w:fldCharType="end"/>
      </w:r>
    </w:p>
    <w:p w14:paraId="19B7FFA6">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_Toc30843 </w:instrText>
      </w:r>
      <w:r>
        <w:rPr>
          <w:i w:val="0"/>
          <w:iCs w:val="0"/>
          <w:szCs w:val="21"/>
          <w:highlight w:val="none"/>
        </w:rPr>
        <w:fldChar w:fldCharType="separate"/>
      </w:r>
      <w:r>
        <w:rPr>
          <w:rFonts w:hint="default" w:ascii="Arial" w:hAnsi="Arial" w:cs="Arial"/>
          <w:i w:val="0"/>
          <w:iCs w:val="0"/>
          <w:szCs w:val="24"/>
        </w:rPr>
        <w:t xml:space="preserve">12.8 </w:t>
      </w:r>
      <w:r>
        <w:rPr>
          <w:rFonts w:hint="eastAsia"/>
          <w:i w:val="0"/>
          <w:iCs w:val="0"/>
          <w:szCs w:val="21"/>
          <w:highlight w:val="none"/>
        </w:rPr>
        <w:t>智能运维主要设备材料表</w:t>
      </w:r>
      <w:r>
        <w:tab/>
      </w:r>
      <w:r>
        <w:fldChar w:fldCharType="begin"/>
      </w:r>
      <w:r>
        <w:instrText xml:space="preserve"> PAGEREF _Toc30843 \h </w:instrText>
      </w:r>
      <w:r>
        <w:fldChar w:fldCharType="separate"/>
      </w:r>
      <w:r>
        <w:t>139</w:t>
      </w:r>
      <w:r>
        <w:fldChar w:fldCharType="end"/>
      </w:r>
      <w:r>
        <w:rPr>
          <w:i w:val="0"/>
          <w:iCs w:val="0"/>
          <w:color w:val="auto"/>
          <w:szCs w:val="21"/>
          <w:highlight w:val="none"/>
        </w:rPr>
        <w:fldChar w:fldCharType="end"/>
      </w:r>
    </w:p>
    <w:p w14:paraId="00438024">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_Toc1013 </w:instrText>
      </w:r>
      <w:r>
        <w:rPr>
          <w:i w:val="0"/>
          <w:iCs w:val="0"/>
          <w:szCs w:val="21"/>
          <w:highlight w:val="none"/>
        </w:rPr>
        <w:fldChar w:fldCharType="separate"/>
      </w:r>
      <w:r>
        <w:rPr>
          <w:rFonts w:hint="default" w:ascii="Arial" w:hAnsi="Arial" w:cs="Arial"/>
          <w:i w:val="0"/>
          <w:iCs w:val="0"/>
          <w:szCs w:val="22"/>
        </w:rPr>
        <w:t xml:space="preserve">12.8.1 </w:t>
      </w:r>
      <w:r>
        <w:rPr>
          <w:rFonts w:hint="eastAsia"/>
          <w:i w:val="0"/>
          <w:iCs w:val="0"/>
          <w:szCs w:val="22"/>
          <w:highlight w:val="none"/>
        </w:rPr>
        <w:t>智能运维平台供货清单</w:t>
      </w:r>
      <w:r>
        <w:tab/>
      </w:r>
      <w:r>
        <w:fldChar w:fldCharType="begin"/>
      </w:r>
      <w:r>
        <w:instrText xml:space="preserve"> PAGEREF _Toc1013 \h </w:instrText>
      </w:r>
      <w:r>
        <w:fldChar w:fldCharType="separate"/>
      </w:r>
      <w:r>
        <w:t>139</w:t>
      </w:r>
      <w:r>
        <w:fldChar w:fldCharType="end"/>
      </w:r>
      <w:r>
        <w:rPr>
          <w:i w:val="0"/>
          <w:iCs w:val="0"/>
          <w:color w:val="auto"/>
          <w:szCs w:val="21"/>
          <w:highlight w:val="none"/>
        </w:rPr>
        <w:fldChar w:fldCharType="end"/>
      </w:r>
    </w:p>
    <w:p w14:paraId="33F1192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_Toc14509 </w:instrText>
      </w:r>
      <w:r>
        <w:rPr>
          <w:i w:val="0"/>
          <w:iCs w:val="0"/>
          <w:szCs w:val="21"/>
          <w:highlight w:val="none"/>
        </w:rPr>
        <w:fldChar w:fldCharType="separate"/>
      </w:r>
      <w:r>
        <w:rPr>
          <w:rFonts w:hint="default" w:ascii="Arial" w:hAnsi="Arial" w:cs="Arial"/>
          <w:i w:val="0"/>
          <w:iCs w:val="0"/>
          <w:szCs w:val="22"/>
        </w:rPr>
        <w:t xml:space="preserve">12.8.2 </w:t>
      </w:r>
      <w:r>
        <w:rPr>
          <w:rFonts w:hint="eastAsia"/>
          <w:i w:val="0"/>
          <w:iCs w:val="0"/>
          <w:szCs w:val="22"/>
          <w:highlight w:val="none"/>
          <w:lang w:val="en-US"/>
        </w:rPr>
        <w:t>通信智能运维主要设备清单</w:t>
      </w:r>
      <w:r>
        <w:tab/>
      </w:r>
      <w:r>
        <w:fldChar w:fldCharType="begin"/>
      </w:r>
      <w:r>
        <w:instrText xml:space="preserve"> PAGEREF _Toc14509 \h </w:instrText>
      </w:r>
      <w:r>
        <w:fldChar w:fldCharType="separate"/>
      </w:r>
      <w:r>
        <w:t>139</w:t>
      </w:r>
      <w:r>
        <w:fldChar w:fldCharType="end"/>
      </w:r>
      <w:r>
        <w:rPr>
          <w:i w:val="0"/>
          <w:iCs w:val="0"/>
          <w:color w:val="auto"/>
          <w:szCs w:val="21"/>
          <w:highlight w:val="none"/>
        </w:rPr>
        <w:fldChar w:fldCharType="end"/>
      </w:r>
    </w:p>
    <w:p w14:paraId="093D24BF">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_Toc2178 </w:instrText>
      </w:r>
      <w:r>
        <w:rPr>
          <w:i w:val="0"/>
          <w:iCs w:val="0"/>
          <w:szCs w:val="21"/>
          <w:highlight w:val="none"/>
        </w:rPr>
        <w:fldChar w:fldCharType="separate"/>
      </w:r>
      <w:r>
        <w:rPr>
          <w:rFonts w:hint="default" w:ascii="Arial" w:hAnsi="Arial" w:cs="Arial"/>
          <w:i w:val="0"/>
          <w:iCs w:val="0"/>
          <w:szCs w:val="22"/>
        </w:rPr>
        <w:t xml:space="preserve">12.8.3 </w:t>
      </w:r>
      <w:r>
        <w:rPr>
          <w:rFonts w:hint="eastAsia"/>
          <w:i w:val="0"/>
          <w:iCs w:val="0"/>
          <w:szCs w:val="22"/>
          <w:highlight w:val="none"/>
          <w:lang w:val="en-US"/>
        </w:rPr>
        <w:t>自动售检票智能运维主要设备表</w:t>
      </w:r>
      <w:r>
        <w:tab/>
      </w:r>
      <w:r>
        <w:fldChar w:fldCharType="begin"/>
      </w:r>
      <w:r>
        <w:instrText xml:space="preserve"> PAGEREF _Toc2178 \h </w:instrText>
      </w:r>
      <w:r>
        <w:fldChar w:fldCharType="separate"/>
      </w:r>
      <w:r>
        <w:t>140</w:t>
      </w:r>
      <w:r>
        <w:fldChar w:fldCharType="end"/>
      </w:r>
      <w:r>
        <w:rPr>
          <w:i w:val="0"/>
          <w:iCs w:val="0"/>
          <w:color w:val="auto"/>
          <w:szCs w:val="21"/>
          <w:highlight w:val="none"/>
        </w:rPr>
        <w:fldChar w:fldCharType="end"/>
      </w:r>
    </w:p>
    <w:p w14:paraId="09982A28">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_Toc13497 </w:instrText>
      </w:r>
      <w:r>
        <w:rPr>
          <w:i w:val="0"/>
          <w:iCs w:val="0"/>
          <w:szCs w:val="21"/>
          <w:highlight w:val="none"/>
        </w:rPr>
        <w:fldChar w:fldCharType="separate"/>
      </w:r>
      <w:r>
        <w:rPr>
          <w:rFonts w:hint="default" w:ascii="Arial" w:hAnsi="Arial" w:cs="Arial"/>
          <w:i w:val="0"/>
          <w:iCs w:val="0"/>
          <w:szCs w:val="22"/>
        </w:rPr>
        <w:t xml:space="preserve">12.8.4 </w:t>
      </w:r>
      <w:r>
        <w:rPr>
          <w:rFonts w:hint="eastAsia"/>
          <w:i w:val="0"/>
          <w:iCs w:val="0"/>
          <w:szCs w:val="22"/>
          <w:highlight w:val="none"/>
          <w:lang w:val="en-US"/>
        </w:rPr>
        <w:t>电扶梯智能运维主要设备材料表</w:t>
      </w:r>
      <w:r>
        <w:tab/>
      </w:r>
      <w:r>
        <w:fldChar w:fldCharType="begin"/>
      </w:r>
      <w:r>
        <w:instrText xml:space="preserve"> PAGEREF _Toc13497 \h </w:instrText>
      </w:r>
      <w:r>
        <w:fldChar w:fldCharType="separate"/>
      </w:r>
      <w:r>
        <w:t>140</w:t>
      </w:r>
      <w:r>
        <w:fldChar w:fldCharType="end"/>
      </w:r>
      <w:r>
        <w:rPr>
          <w:i w:val="0"/>
          <w:iCs w:val="0"/>
          <w:color w:val="auto"/>
          <w:szCs w:val="21"/>
          <w:highlight w:val="none"/>
        </w:rPr>
        <w:fldChar w:fldCharType="end"/>
      </w:r>
    </w:p>
    <w:p w14:paraId="40E5BAE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_Toc27614 </w:instrText>
      </w:r>
      <w:r>
        <w:rPr>
          <w:i w:val="0"/>
          <w:iCs w:val="0"/>
          <w:szCs w:val="21"/>
          <w:highlight w:val="none"/>
        </w:rPr>
        <w:fldChar w:fldCharType="separate"/>
      </w:r>
      <w:r>
        <w:rPr>
          <w:rFonts w:hint="default" w:ascii="Arial" w:hAnsi="Arial" w:cs="Arial"/>
          <w:i w:val="0"/>
          <w:iCs w:val="0"/>
          <w:szCs w:val="22"/>
        </w:rPr>
        <w:t xml:space="preserve">12.8.5 </w:t>
      </w:r>
      <w:r>
        <w:rPr>
          <w:rFonts w:hint="eastAsia"/>
          <w:i w:val="0"/>
          <w:iCs w:val="0"/>
          <w:szCs w:val="22"/>
          <w:highlight w:val="none"/>
          <w:lang w:val="en-US"/>
        </w:rPr>
        <w:t>站台门</w:t>
      </w:r>
      <w:r>
        <w:rPr>
          <w:rFonts w:hint="eastAsia"/>
          <w:i w:val="0"/>
          <w:iCs w:val="0"/>
          <w:szCs w:val="22"/>
          <w:highlight w:val="none"/>
        </w:rPr>
        <w:t>智能运维</w:t>
      </w:r>
      <w:r>
        <w:rPr>
          <w:rFonts w:hint="eastAsia"/>
          <w:i w:val="0"/>
          <w:iCs w:val="0"/>
          <w:szCs w:val="22"/>
          <w:highlight w:val="none"/>
          <w:lang w:val="en-US"/>
        </w:rPr>
        <w:t>主要设备表</w:t>
      </w:r>
      <w:r>
        <w:tab/>
      </w:r>
      <w:r>
        <w:fldChar w:fldCharType="begin"/>
      </w:r>
      <w:r>
        <w:instrText xml:space="preserve"> PAGEREF _Toc27614 \h </w:instrText>
      </w:r>
      <w:r>
        <w:fldChar w:fldCharType="separate"/>
      </w:r>
      <w:r>
        <w:t>140</w:t>
      </w:r>
      <w:r>
        <w:fldChar w:fldCharType="end"/>
      </w:r>
      <w:r>
        <w:rPr>
          <w:i w:val="0"/>
          <w:iCs w:val="0"/>
          <w:color w:val="auto"/>
          <w:szCs w:val="21"/>
          <w:highlight w:val="none"/>
        </w:rPr>
        <w:fldChar w:fldCharType="end"/>
      </w:r>
    </w:p>
    <w:p w14:paraId="37CBAA3C">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_Toc9791 </w:instrText>
      </w:r>
      <w:r>
        <w:rPr>
          <w:i w:val="0"/>
          <w:iCs w:val="0"/>
          <w:szCs w:val="21"/>
          <w:highlight w:val="none"/>
        </w:rPr>
        <w:fldChar w:fldCharType="separate"/>
      </w:r>
      <w:r>
        <w:rPr>
          <w:rFonts w:hint="default" w:ascii="Arial" w:hAnsi="Arial" w:cs="Arial"/>
          <w:i w:val="0"/>
          <w:iCs w:val="0"/>
          <w:szCs w:val="22"/>
        </w:rPr>
        <w:t xml:space="preserve">12.8.6 </w:t>
      </w:r>
      <w:r>
        <w:rPr>
          <w:rFonts w:hint="eastAsia"/>
          <w:i w:val="0"/>
          <w:iCs w:val="0"/>
          <w:szCs w:val="22"/>
          <w:highlight w:val="none"/>
          <w:lang w:val="en-US"/>
        </w:rPr>
        <w:t>供电智能运维主要设备材料表</w:t>
      </w:r>
      <w:r>
        <w:tab/>
      </w:r>
      <w:r>
        <w:fldChar w:fldCharType="begin"/>
      </w:r>
      <w:r>
        <w:instrText xml:space="preserve"> PAGEREF _Toc9791 \h </w:instrText>
      </w:r>
      <w:r>
        <w:fldChar w:fldCharType="separate"/>
      </w:r>
      <w:r>
        <w:t>141</w:t>
      </w:r>
      <w:r>
        <w:fldChar w:fldCharType="end"/>
      </w:r>
      <w:r>
        <w:rPr>
          <w:i w:val="0"/>
          <w:iCs w:val="0"/>
          <w:color w:val="auto"/>
          <w:szCs w:val="21"/>
          <w:highlight w:val="none"/>
        </w:rPr>
        <w:fldChar w:fldCharType="end"/>
      </w:r>
    </w:p>
    <w:p w14:paraId="537AE84A">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_Toc24095 </w:instrText>
      </w:r>
      <w:r>
        <w:rPr>
          <w:i w:val="0"/>
          <w:iCs w:val="0"/>
          <w:szCs w:val="21"/>
          <w:highlight w:val="none"/>
        </w:rPr>
        <w:fldChar w:fldCharType="separate"/>
      </w:r>
      <w:r>
        <w:rPr>
          <w:rFonts w:hint="default" w:ascii="Arial" w:hAnsi="Arial" w:cs="Arial"/>
          <w:i w:val="0"/>
          <w:iCs w:val="0"/>
          <w:szCs w:val="24"/>
        </w:rPr>
        <w:t xml:space="preserve">12.9 </w:t>
      </w:r>
      <w:r>
        <w:rPr>
          <w:rFonts w:hint="eastAsia"/>
          <w:i w:val="0"/>
          <w:iCs w:val="0"/>
          <w:szCs w:val="21"/>
          <w:highlight w:val="none"/>
        </w:rPr>
        <w:t>维修作业管理系统主要设备材料表</w:t>
      </w:r>
      <w:r>
        <w:tab/>
      </w:r>
      <w:r>
        <w:fldChar w:fldCharType="begin"/>
      </w:r>
      <w:r>
        <w:instrText xml:space="preserve"> PAGEREF _Toc24095 \h </w:instrText>
      </w:r>
      <w:r>
        <w:fldChar w:fldCharType="separate"/>
      </w:r>
      <w:r>
        <w:t>141</w:t>
      </w:r>
      <w:r>
        <w:fldChar w:fldCharType="end"/>
      </w:r>
      <w:r>
        <w:rPr>
          <w:i w:val="0"/>
          <w:iCs w:val="0"/>
          <w:color w:val="auto"/>
          <w:szCs w:val="21"/>
          <w:highlight w:val="none"/>
        </w:rPr>
        <w:fldChar w:fldCharType="end"/>
      </w:r>
    </w:p>
    <w:p w14:paraId="696D5E03">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_Toc11813 </w:instrText>
      </w:r>
      <w:r>
        <w:rPr>
          <w:i w:val="0"/>
          <w:iCs w:val="0"/>
          <w:szCs w:val="21"/>
          <w:highlight w:val="none"/>
        </w:rPr>
        <w:fldChar w:fldCharType="separate"/>
      </w:r>
      <w:r>
        <w:rPr>
          <w:rFonts w:hint="default" w:ascii="Arial" w:hAnsi="Arial" w:cs="Arial"/>
          <w:i w:val="0"/>
          <w:iCs w:val="0"/>
          <w:szCs w:val="22"/>
        </w:rPr>
        <w:t xml:space="preserve">12.9.1 </w:t>
      </w:r>
      <w:r>
        <w:rPr>
          <w:rFonts w:hint="eastAsia"/>
          <w:i w:val="0"/>
          <w:iCs w:val="0"/>
          <w:szCs w:val="22"/>
          <w:highlight w:val="none"/>
          <w:lang w:val="en-US"/>
        </w:rPr>
        <w:t>主要设备表</w:t>
      </w:r>
      <w:r>
        <w:tab/>
      </w:r>
      <w:r>
        <w:fldChar w:fldCharType="begin"/>
      </w:r>
      <w:r>
        <w:instrText xml:space="preserve"> PAGEREF _Toc11813 \h </w:instrText>
      </w:r>
      <w:r>
        <w:fldChar w:fldCharType="separate"/>
      </w:r>
      <w:r>
        <w:t>141</w:t>
      </w:r>
      <w:r>
        <w:fldChar w:fldCharType="end"/>
      </w:r>
      <w:r>
        <w:rPr>
          <w:i w:val="0"/>
          <w:iCs w:val="0"/>
          <w:color w:val="auto"/>
          <w:szCs w:val="21"/>
          <w:highlight w:val="none"/>
        </w:rPr>
        <w:fldChar w:fldCharType="end"/>
      </w:r>
    </w:p>
    <w:p w14:paraId="1E55666B">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_Toc4369 </w:instrText>
      </w:r>
      <w:r>
        <w:rPr>
          <w:i w:val="0"/>
          <w:iCs w:val="0"/>
          <w:szCs w:val="21"/>
          <w:highlight w:val="none"/>
        </w:rPr>
        <w:fldChar w:fldCharType="separate"/>
      </w:r>
      <w:r>
        <w:rPr>
          <w:rFonts w:hint="default" w:ascii="Arial" w:hAnsi="Arial" w:cs="Arial"/>
          <w:i w:val="0"/>
          <w:iCs w:val="0"/>
          <w:szCs w:val="22"/>
          <w:lang w:val="en-US"/>
        </w:rPr>
        <w:t xml:space="preserve">12.9.2 </w:t>
      </w:r>
      <w:r>
        <w:rPr>
          <w:rFonts w:hint="eastAsia"/>
          <w:i w:val="0"/>
          <w:iCs w:val="0"/>
          <w:szCs w:val="22"/>
          <w:highlight w:val="none"/>
          <w:lang w:val="en-US"/>
        </w:rPr>
        <w:t>主要材料表</w:t>
      </w:r>
      <w:r>
        <w:tab/>
      </w:r>
      <w:r>
        <w:fldChar w:fldCharType="begin"/>
      </w:r>
      <w:r>
        <w:instrText xml:space="preserve"> PAGEREF _Toc4369 \h </w:instrText>
      </w:r>
      <w:r>
        <w:fldChar w:fldCharType="separate"/>
      </w:r>
      <w:r>
        <w:t>141</w:t>
      </w:r>
      <w:r>
        <w:fldChar w:fldCharType="end"/>
      </w:r>
      <w:r>
        <w:rPr>
          <w:i w:val="0"/>
          <w:iCs w:val="0"/>
          <w:color w:val="auto"/>
          <w:szCs w:val="21"/>
          <w:highlight w:val="none"/>
        </w:rPr>
        <w:fldChar w:fldCharType="end"/>
      </w:r>
    </w:p>
    <w:p w14:paraId="5711B49D">
      <w:pPr>
        <w:pStyle w:val="74"/>
        <w:tabs>
          <w:tab w:val="right" w:leader="dot" w:pos="8743"/>
        </w:tabs>
      </w:pPr>
      <w:r>
        <w:rPr>
          <w:i w:val="0"/>
          <w:iCs w:val="0"/>
          <w:color w:val="auto"/>
          <w:szCs w:val="21"/>
          <w:highlight w:val="none"/>
        </w:rPr>
        <w:fldChar w:fldCharType="begin"/>
      </w:r>
      <w:r>
        <w:rPr>
          <w:i w:val="0"/>
          <w:iCs w:val="0"/>
          <w:szCs w:val="21"/>
          <w:highlight w:val="none"/>
        </w:rPr>
        <w:instrText xml:space="preserve"> HYPERLINK \l _Toc385 </w:instrText>
      </w:r>
      <w:r>
        <w:rPr>
          <w:i w:val="0"/>
          <w:iCs w:val="0"/>
          <w:szCs w:val="21"/>
          <w:highlight w:val="none"/>
        </w:rPr>
        <w:fldChar w:fldCharType="separate"/>
      </w:r>
      <w:r>
        <w:rPr>
          <w:rFonts w:hint="default" w:ascii="Arial" w:hAnsi="Arial" w:cs="Arial"/>
          <w:i w:val="0"/>
          <w:iCs w:val="0"/>
          <w:szCs w:val="24"/>
        </w:rPr>
        <w:t xml:space="preserve">12.10 </w:t>
      </w:r>
      <w:r>
        <w:rPr>
          <w:rFonts w:hint="eastAsia"/>
          <w:i w:val="0"/>
          <w:iCs w:val="0"/>
          <w:szCs w:val="21"/>
          <w:highlight w:val="none"/>
        </w:rPr>
        <w:t>云平台主要设备材料表</w:t>
      </w:r>
      <w:r>
        <w:tab/>
      </w:r>
      <w:r>
        <w:fldChar w:fldCharType="begin"/>
      </w:r>
      <w:r>
        <w:instrText xml:space="preserve"> PAGEREF _Toc385 \h </w:instrText>
      </w:r>
      <w:r>
        <w:fldChar w:fldCharType="separate"/>
      </w:r>
      <w:r>
        <w:t>143</w:t>
      </w:r>
      <w:r>
        <w:fldChar w:fldCharType="end"/>
      </w:r>
      <w:r>
        <w:rPr>
          <w:i w:val="0"/>
          <w:iCs w:val="0"/>
          <w:color w:val="auto"/>
          <w:szCs w:val="21"/>
          <w:highlight w:val="none"/>
        </w:rPr>
        <w:fldChar w:fldCharType="end"/>
      </w:r>
    </w:p>
    <w:p w14:paraId="66848F70">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_Toc28168 </w:instrText>
      </w:r>
      <w:r>
        <w:rPr>
          <w:i w:val="0"/>
          <w:iCs w:val="0"/>
          <w:szCs w:val="21"/>
          <w:highlight w:val="none"/>
        </w:rPr>
        <w:fldChar w:fldCharType="separate"/>
      </w:r>
      <w:r>
        <w:rPr>
          <w:rFonts w:hint="default" w:ascii="Arial" w:hAnsi="Arial" w:cs="Arial"/>
          <w:i w:val="0"/>
          <w:iCs w:val="0"/>
          <w:szCs w:val="22"/>
        </w:rPr>
        <w:t xml:space="preserve">12.10.1 </w:t>
      </w:r>
      <w:r>
        <w:rPr>
          <w:rFonts w:hint="eastAsia"/>
          <w:i w:val="0"/>
          <w:iCs w:val="0"/>
          <w:szCs w:val="22"/>
          <w:highlight w:val="none"/>
        </w:rPr>
        <w:t>主要设备表</w:t>
      </w:r>
      <w:r>
        <w:tab/>
      </w:r>
      <w:r>
        <w:fldChar w:fldCharType="begin"/>
      </w:r>
      <w:r>
        <w:instrText xml:space="preserve"> PAGEREF _Toc28168 \h </w:instrText>
      </w:r>
      <w:r>
        <w:fldChar w:fldCharType="separate"/>
      </w:r>
      <w:r>
        <w:t>143</w:t>
      </w:r>
      <w:r>
        <w:fldChar w:fldCharType="end"/>
      </w:r>
      <w:r>
        <w:rPr>
          <w:i w:val="0"/>
          <w:iCs w:val="0"/>
          <w:color w:val="auto"/>
          <w:szCs w:val="21"/>
          <w:highlight w:val="none"/>
        </w:rPr>
        <w:fldChar w:fldCharType="end"/>
      </w:r>
    </w:p>
    <w:p w14:paraId="7074431A">
      <w:pPr>
        <w:pStyle w:val="44"/>
        <w:tabs>
          <w:tab w:val="right" w:leader="dot" w:pos="8743"/>
          <w:tab w:val="clear" w:pos="8733"/>
        </w:tabs>
      </w:pPr>
      <w:r>
        <w:rPr>
          <w:i w:val="0"/>
          <w:iCs w:val="0"/>
          <w:color w:val="auto"/>
          <w:szCs w:val="21"/>
          <w:highlight w:val="none"/>
        </w:rPr>
        <w:fldChar w:fldCharType="begin"/>
      </w:r>
      <w:r>
        <w:rPr>
          <w:i w:val="0"/>
          <w:iCs w:val="0"/>
          <w:szCs w:val="21"/>
          <w:highlight w:val="none"/>
        </w:rPr>
        <w:instrText xml:space="preserve"> HYPERLINK \l _Toc4770 </w:instrText>
      </w:r>
      <w:r>
        <w:rPr>
          <w:i w:val="0"/>
          <w:iCs w:val="0"/>
          <w:szCs w:val="21"/>
          <w:highlight w:val="none"/>
        </w:rPr>
        <w:fldChar w:fldCharType="separate"/>
      </w:r>
      <w:r>
        <w:rPr>
          <w:rFonts w:hint="default" w:ascii="Arial" w:hAnsi="Arial" w:cs="Arial"/>
          <w:i w:val="0"/>
          <w:iCs w:val="0"/>
          <w:szCs w:val="22"/>
        </w:rPr>
        <w:t xml:space="preserve">12.10.2 </w:t>
      </w:r>
      <w:r>
        <w:rPr>
          <w:rFonts w:hint="eastAsia"/>
          <w:i w:val="0"/>
          <w:iCs w:val="0"/>
          <w:szCs w:val="22"/>
          <w:highlight w:val="none"/>
        </w:rPr>
        <w:t>主要材料表</w:t>
      </w:r>
      <w:r>
        <w:tab/>
      </w:r>
      <w:r>
        <w:fldChar w:fldCharType="begin"/>
      </w:r>
      <w:r>
        <w:instrText xml:space="preserve"> PAGEREF _Toc4770 \h </w:instrText>
      </w:r>
      <w:r>
        <w:fldChar w:fldCharType="separate"/>
      </w:r>
      <w:r>
        <w:t>144</w:t>
      </w:r>
      <w:r>
        <w:fldChar w:fldCharType="end"/>
      </w:r>
      <w:r>
        <w:rPr>
          <w:i w:val="0"/>
          <w:iCs w:val="0"/>
          <w:color w:val="auto"/>
          <w:szCs w:val="21"/>
          <w:highlight w:val="none"/>
        </w:rPr>
        <w:fldChar w:fldCharType="end"/>
      </w:r>
    </w:p>
    <w:p w14:paraId="56D12785">
      <w:pPr>
        <w:pStyle w:val="44"/>
        <w:rPr>
          <w:i w:val="0"/>
          <w:iCs w:val="0"/>
          <w:color w:val="auto"/>
          <w:sz w:val="21"/>
          <w:szCs w:val="21"/>
          <w:highlight w:val="none"/>
        </w:rPr>
      </w:pPr>
      <w:r>
        <w:rPr>
          <w:i w:val="0"/>
          <w:iCs w:val="0"/>
          <w:color w:val="auto"/>
          <w:szCs w:val="21"/>
          <w:highlight w:val="none"/>
        </w:rPr>
        <w:fldChar w:fldCharType="end"/>
      </w:r>
      <w:bookmarkStart w:id="0" w:name="_Toc69305964"/>
    </w:p>
    <w:p w14:paraId="27C09321">
      <w:pPr>
        <w:rPr>
          <w:i w:val="0"/>
          <w:iCs w:val="0"/>
          <w:color w:val="auto"/>
          <w:sz w:val="21"/>
          <w:szCs w:val="20"/>
          <w:highlight w:val="none"/>
        </w:rPr>
        <w:sectPr>
          <w:headerReference r:id="rId5" w:type="default"/>
          <w:footerReference r:id="rId6" w:type="default"/>
          <w:pgSz w:w="11907" w:h="16839"/>
          <w:pgMar w:top="1440" w:right="1440" w:bottom="1440" w:left="1440" w:header="992" w:footer="851" w:gutter="284"/>
          <w:pgBorders>
            <w:top w:val="none" w:sz="0" w:space="0"/>
            <w:left w:val="none" w:sz="0" w:space="0"/>
            <w:bottom w:val="none" w:sz="0" w:space="0"/>
            <w:right w:val="none" w:sz="0" w:space="0"/>
          </w:pgBorders>
          <w:pgNumType w:fmt="upperRoman" w:start="1"/>
          <w:cols w:space="425" w:num="1"/>
          <w:docGrid w:linePitch="381" w:charSpace="0"/>
        </w:sectPr>
      </w:pPr>
    </w:p>
    <w:bookmarkEnd w:id="0"/>
    <w:p w14:paraId="56D12787">
      <w:pPr>
        <w:pStyle w:val="3"/>
        <w:rPr>
          <w:i w:val="0"/>
          <w:iCs w:val="0"/>
          <w:color w:val="auto"/>
          <w:sz w:val="24"/>
          <w:szCs w:val="32"/>
          <w:highlight w:val="none"/>
        </w:rPr>
      </w:pPr>
      <w:bookmarkStart w:id="1" w:name="_Toc29148337"/>
      <w:bookmarkStart w:id="2" w:name="_Hlk33987176"/>
      <w:bookmarkStart w:id="3" w:name="_Toc122"/>
      <w:bookmarkStart w:id="4" w:name="_Toc30251441"/>
      <w:r>
        <w:rPr>
          <w:rFonts w:hint="eastAsia"/>
          <w:i w:val="0"/>
          <w:iCs w:val="0"/>
          <w:color w:val="auto"/>
          <w:sz w:val="24"/>
          <w:szCs w:val="32"/>
          <w:highlight w:val="none"/>
        </w:rPr>
        <w:t>防洪防汛应急处置</w:t>
      </w:r>
      <w:bookmarkEnd w:id="1"/>
      <w:bookmarkEnd w:id="2"/>
      <w:bookmarkEnd w:id="3"/>
      <w:bookmarkEnd w:id="4"/>
      <w:r>
        <w:rPr>
          <w:rFonts w:hint="eastAsia" w:ascii="宋体" w:hAnsi="宋体" w:cs="宋体"/>
          <w:szCs w:val="21"/>
          <w:highlight w:val="none"/>
        </w:rPr>
        <w:t>★</w:t>
      </w:r>
    </w:p>
    <w:p w14:paraId="56D12788">
      <w:pPr>
        <w:pStyle w:val="4"/>
        <w:rPr>
          <w:i w:val="0"/>
          <w:iCs w:val="0"/>
          <w:color w:val="auto"/>
          <w:sz w:val="24"/>
          <w:szCs w:val="21"/>
          <w:highlight w:val="none"/>
        </w:rPr>
      </w:pPr>
      <w:bookmarkStart w:id="5" w:name="_Toc3904"/>
      <w:r>
        <w:rPr>
          <w:rFonts w:hint="eastAsia"/>
          <w:i w:val="0"/>
          <w:iCs w:val="0"/>
          <w:color w:val="auto"/>
          <w:sz w:val="24"/>
          <w:szCs w:val="21"/>
          <w:highlight w:val="none"/>
        </w:rPr>
        <w:t>建设期实现情况</w:t>
      </w:r>
      <w:bookmarkEnd w:id="5"/>
    </w:p>
    <w:p w14:paraId="56D12789">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智慧地铁建设期针对线路防洪防淹实现线路防汛监测一张图功能，初步实现了从线路层面出发监测各车站、区间段、防淹门，基于车站水泵、区间水泵、防淹门状态等设备信息智能分析车站的防汛状态；基于水泵既有水位告警数据的线路全局防汛监测应用则依据水泵的水位状态信息，根据其低水位、超高水位等状态对所属车站、</w:t>
      </w:r>
      <w:r>
        <w:rPr>
          <w:i w:val="0"/>
          <w:iCs w:val="0"/>
          <w:color w:val="auto"/>
          <w:sz w:val="21"/>
          <w:szCs w:val="15"/>
          <w:highlight w:val="none"/>
        </w:rPr>
        <w:t>OCC</w:t>
      </w:r>
      <w:r>
        <w:rPr>
          <w:rFonts w:hint="eastAsia"/>
          <w:i w:val="0"/>
          <w:iCs w:val="0"/>
          <w:color w:val="auto"/>
          <w:sz w:val="21"/>
          <w:szCs w:val="15"/>
          <w:highlight w:val="none"/>
        </w:rPr>
        <w:t>环调进行监测预警消息的推送。</w:t>
      </w:r>
      <w:r>
        <w:rPr>
          <w:rFonts w:hint="eastAsia"/>
          <w:i w:val="0"/>
          <w:iCs w:val="0"/>
          <w:color w:val="auto"/>
          <w:sz w:val="21"/>
          <w:szCs w:val="15"/>
          <w:highlight w:val="none"/>
          <w:lang w:val="en-US"/>
        </w:rPr>
        <w:t>投标人应充分了解建设期</w:t>
      </w:r>
      <w:r>
        <w:rPr>
          <w:rFonts w:hint="eastAsia"/>
          <w:i w:val="0"/>
          <w:iCs w:val="0"/>
          <w:color w:val="auto"/>
          <w:sz w:val="21"/>
          <w:szCs w:val="15"/>
          <w:highlight w:val="none"/>
          <w:lang w:val="en-US" w:eastAsia="zh-CN"/>
        </w:rPr>
        <w:t>内已实现的</w:t>
      </w:r>
      <w:r>
        <w:rPr>
          <w:rFonts w:hint="eastAsia"/>
          <w:i w:val="0"/>
          <w:iCs w:val="0"/>
          <w:color w:val="auto"/>
          <w:sz w:val="21"/>
          <w:szCs w:val="15"/>
          <w:highlight w:val="none"/>
          <w:lang w:val="en-US"/>
        </w:rPr>
        <w:t>防洪防汛内容，制定与建设期</w:t>
      </w:r>
      <w:r>
        <w:rPr>
          <w:rFonts w:hint="eastAsia"/>
          <w:i w:val="0"/>
          <w:iCs w:val="0"/>
          <w:color w:val="auto"/>
          <w:sz w:val="21"/>
          <w:szCs w:val="15"/>
          <w:highlight w:val="none"/>
          <w:lang w:val="en-US" w:eastAsia="zh-CN"/>
        </w:rPr>
        <w:t>已实现的</w:t>
      </w:r>
      <w:r>
        <w:rPr>
          <w:rFonts w:hint="eastAsia"/>
          <w:i w:val="0"/>
          <w:iCs w:val="0"/>
          <w:color w:val="auto"/>
          <w:sz w:val="21"/>
          <w:szCs w:val="15"/>
          <w:highlight w:val="none"/>
          <w:lang w:val="en-US"/>
        </w:rPr>
        <w:t>防洪防汛应用的融合方案，实现应用信息的互联互通。</w:t>
      </w:r>
    </w:p>
    <w:p w14:paraId="56D1278A">
      <w:pPr>
        <w:pStyle w:val="4"/>
        <w:rPr>
          <w:i w:val="0"/>
          <w:iCs w:val="0"/>
          <w:color w:val="auto"/>
          <w:sz w:val="24"/>
          <w:szCs w:val="21"/>
          <w:highlight w:val="none"/>
        </w:rPr>
      </w:pPr>
      <w:bookmarkStart w:id="6" w:name="_Toc14368"/>
      <w:r>
        <w:rPr>
          <w:rFonts w:hint="eastAsia"/>
          <w:i w:val="0"/>
          <w:iCs w:val="0"/>
          <w:color w:val="auto"/>
          <w:sz w:val="24"/>
          <w:szCs w:val="21"/>
          <w:highlight w:val="none"/>
        </w:rPr>
        <w:t>系统方案</w:t>
      </w:r>
      <w:bookmarkEnd w:id="6"/>
    </w:p>
    <w:p w14:paraId="56D1278B">
      <w:pPr>
        <w:pStyle w:val="142"/>
        <w:ind w:firstLine="420"/>
        <w:rPr>
          <w:rFonts w:hint="eastAsia"/>
          <w:i w:val="0"/>
          <w:iCs w:val="0"/>
          <w:color w:val="auto"/>
          <w:sz w:val="21"/>
          <w:szCs w:val="15"/>
          <w:highlight w:val="none"/>
        </w:rPr>
      </w:pPr>
      <w:r>
        <w:rPr>
          <w:rFonts w:hint="eastAsia"/>
          <w:i w:val="0"/>
          <w:iCs w:val="0"/>
          <w:color w:val="auto"/>
          <w:sz w:val="21"/>
          <w:szCs w:val="15"/>
          <w:highlight w:val="none"/>
        </w:rPr>
        <w:t>在全线34个车站，每站选取1-3个雨水易倒灌通道（含风亭）或低洼出入口设置电子水尺，全线</w:t>
      </w:r>
      <w:r>
        <w:rPr>
          <w:rFonts w:hint="eastAsia"/>
          <w:i w:val="0"/>
          <w:iCs w:val="0"/>
          <w:color w:val="auto"/>
          <w:sz w:val="21"/>
          <w:szCs w:val="15"/>
          <w:highlight w:val="none"/>
          <w:lang w:val="en-US" w:eastAsia="zh-CN"/>
        </w:rPr>
        <w:t>共设置</w:t>
      </w:r>
      <w:r>
        <w:rPr>
          <w:rFonts w:hint="eastAsia"/>
          <w:i w:val="0"/>
          <w:iCs w:val="0"/>
          <w:color w:val="auto"/>
          <w:sz w:val="21"/>
          <w:szCs w:val="15"/>
          <w:highlight w:val="none"/>
        </w:rPr>
        <w:t>102个电子水尺，具体布点位置分布在设计联络阶段明确，接入就近的既有BAS系统模块箱，相关数据经综合监控系统网络物理链路与智慧地铁管理平台进行通信；对站外出入口水位进行监测，并以自动告警的方式给到车站智慧地铁管控平台应用终端，支持自动上报应急事件，进入防汛应急联动处置。</w:t>
      </w:r>
    </w:p>
    <w:p w14:paraId="56D1278C">
      <w:pPr>
        <w:pStyle w:val="142"/>
        <w:ind w:firstLine="420"/>
        <w:rPr>
          <w:rFonts w:hint="eastAsia"/>
          <w:i w:val="0"/>
          <w:iCs w:val="0"/>
          <w:color w:val="auto"/>
          <w:sz w:val="21"/>
          <w:szCs w:val="15"/>
          <w:highlight w:val="none"/>
        </w:rPr>
      </w:pPr>
      <w:r>
        <w:rPr>
          <w:rFonts w:hint="eastAsia"/>
          <w:i w:val="0"/>
          <w:iCs w:val="0"/>
          <w:color w:val="auto"/>
          <w:sz w:val="21"/>
          <w:szCs w:val="15"/>
          <w:highlight w:val="none"/>
        </w:rPr>
        <w:t>针对防洪防汛应急场景，基于智慧地铁管控平台进一步拓展防洪防汛应急处置功能，在车站提供站外出入口水位监测告警、车站水淹评估、车站防汛作战四张图数字化应用</w:t>
      </w:r>
      <w:r>
        <w:rPr>
          <w:rFonts w:hint="eastAsia"/>
          <w:i w:val="0"/>
          <w:iCs w:val="0"/>
          <w:color w:val="auto"/>
          <w:sz w:val="21"/>
          <w:szCs w:val="15"/>
          <w:highlight w:val="none"/>
          <w:lang w:val="en-US" w:eastAsia="zh-CN"/>
        </w:rPr>
        <w:t>及</w:t>
      </w:r>
      <w:r>
        <w:rPr>
          <w:rFonts w:hint="eastAsia"/>
          <w:i w:val="0"/>
          <w:iCs w:val="0"/>
          <w:color w:val="auto"/>
          <w:sz w:val="21"/>
          <w:szCs w:val="15"/>
          <w:highlight w:val="none"/>
        </w:rPr>
        <w:t>预案联动处置功能</w:t>
      </w:r>
      <w:r>
        <w:rPr>
          <w:rFonts w:hint="eastAsia"/>
          <w:i w:val="0"/>
          <w:iCs w:val="0"/>
          <w:color w:val="auto"/>
          <w:sz w:val="21"/>
          <w:szCs w:val="15"/>
          <w:highlight w:val="none"/>
          <w:lang w:eastAsia="zh-CN"/>
        </w:rPr>
        <w:t>；</w:t>
      </w:r>
      <w:r>
        <w:rPr>
          <w:rFonts w:hint="eastAsia"/>
          <w:i w:val="0"/>
          <w:iCs w:val="0"/>
          <w:color w:val="auto"/>
          <w:sz w:val="21"/>
          <w:szCs w:val="15"/>
          <w:highlight w:val="none"/>
        </w:rPr>
        <w:t>如支持联动车站出入口视频监控、防汛设备运行状态监测、</w:t>
      </w:r>
      <w:r>
        <w:rPr>
          <w:rFonts w:hint="eastAsia"/>
          <w:i w:val="0"/>
          <w:iCs w:val="0"/>
          <w:color w:val="auto"/>
          <w:sz w:val="21"/>
          <w:szCs w:val="15"/>
          <w:highlight w:val="none"/>
          <w:lang w:val="en-US"/>
        </w:rPr>
        <w:t>电子水尺联动车控室平台告警</w:t>
      </w:r>
      <w:r>
        <w:rPr>
          <w:rFonts w:hint="eastAsia"/>
          <w:i w:val="0"/>
          <w:iCs w:val="0"/>
          <w:color w:val="auto"/>
          <w:sz w:val="21"/>
          <w:szCs w:val="15"/>
          <w:highlight w:val="none"/>
        </w:rPr>
        <w:t>等</w:t>
      </w:r>
      <w:r>
        <w:rPr>
          <w:rFonts w:hint="eastAsia"/>
          <w:i w:val="0"/>
          <w:iCs w:val="0"/>
          <w:color w:val="auto"/>
          <w:sz w:val="21"/>
          <w:szCs w:val="15"/>
          <w:highlight w:val="none"/>
          <w:lang w:val="en-US" w:eastAsia="zh-CN"/>
        </w:rPr>
        <w:t>联动处置</w:t>
      </w:r>
      <w:r>
        <w:rPr>
          <w:rFonts w:hint="eastAsia"/>
          <w:i w:val="0"/>
          <w:iCs w:val="0"/>
          <w:color w:val="auto"/>
          <w:sz w:val="21"/>
          <w:szCs w:val="15"/>
          <w:highlight w:val="none"/>
        </w:rPr>
        <w:t>功能，提高车站监测及应急处置能力。</w:t>
      </w:r>
    </w:p>
    <w:p w14:paraId="56D1278D">
      <w:pPr>
        <w:pStyle w:val="4"/>
        <w:rPr>
          <w:i w:val="0"/>
          <w:iCs w:val="0"/>
          <w:color w:val="auto"/>
          <w:sz w:val="24"/>
          <w:szCs w:val="21"/>
          <w:highlight w:val="none"/>
        </w:rPr>
      </w:pPr>
      <w:bookmarkStart w:id="7" w:name="_Toc17562"/>
      <w:r>
        <w:rPr>
          <w:rFonts w:hint="eastAsia"/>
          <w:i w:val="0"/>
          <w:iCs w:val="0"/>
          <w:color w:val="auto"/>
          <w:sz w:val="24"/>
          <w:szCs w:val="21"/>
          <w:highlight w:val="none"/>
        </w:rPr>
        <w:t>系统功能</w:t>
      </w:r>
      <w:bookmarkEnd w:id="7"/>
    </w:p>
    <w:p w14:paraId="56D1278E">
      <w:pPr>
        <w:pStyle w:val="142"/>
        <w:ind w:firstLine="420"/>
        <w:rPr>
          <w:rFonts w:hint="eastAsia"/>
          <w:i w:val="0"/>
          <w:iCs w:val="0"/>
          <w:color w:val="auto"/>
          <w:sz w:val="21"/>
          <w:szCs w:val="15"/>
          <w:highlight w:val="none"/>
        </w:rPr>
      </w:pPr>
      <w:r>
        <w:rPr>
          <w:rFonts w:hint="eastAsia"/>
          <w:i w:val="0"/>
          <w:iCs w:val="0"/>
          <w:color w:val="auto"/>
          <w:sz w:val="21"/>
          <w:szCs w:val="15"/>
          <w:highlight w:val="none"/>
        </w:rPr>
        <w:t>系统功能应包括站外出入口水位监测告警模块、车站水淹评估、车站防汛四张图电子化、预案联动处置应用。</w:t>
      </w:r>
    </w:p>
    <w:p w14:paraId="56D1278F">
      <w:pPr>
        <w:pStyle w:val="5"/>
        <w:ind w:left="0"/>
        <w:rPr>
          <w:i w:val="0"/>
          <w:iCs w:val="0"/>
          <w:color w:val="auto"/>
          <w:sz w:val="22"/>
          <w:szCs w:val="22"/>
          <w:highlight w:val="none"/>
        </w:rPr>
      </w:pPr>
      <w:bookmarkStart w:id="8" w:name="_Toc13774"/>
      <w:r>
        <w:rPr>
          <w:rFonts w:hint="eastAsia"/>
          <w:i w:val="0"/>
          <w:iCs w:val="0"/>
          <w:color w:val="auto"/>
          <w:sz w:val="22"/>
          <w:szCs w:val="22"/>
          <w:highlight w:val="none"/>
          <w:lang w:val="en-US" w:eastAsia="zh-CN"/>
        </w:rPr>
        <w:t>站外出入口水位监测告警模块</w:t>
      </w:r>
      <w:bookmarkEnd w:id="8"/>
    </w:p>
    <w:p w14:paraId="56D12790">
      <w:pPr>
        <w:pStyle w:val="142"/>
        <w:ind w:firstLine="420"/>
        <w:rPr>
          <w:rFonts w:hint="eastAsia"/>
          <w:i w:val="0"/>
          <w:iCs w:val="0"/>
          <w:color w:val="auto"/>
          <w:sz w:val="21"/>
          <w:szCs w:val="15"/>
          <w:highlight w:val="none"/>
        </w:rPr>
      </w:pPr>
      <w:r>
        <w:rPr>
          <w:rFonts w:hint="eastAsia"/>
          <w:i w:val="0"/>
          <w:iCs w:val="0"/>
          <w:color w:val="auto"/>
          <w:sz w:val="21"/>
          <w:szCs w:val="15"/>
          <w:highlight w:val="none"/>
        </w:rPr>
        <w:t>通过每站选取1-3个雨水易倒灌通道（含风亭）或低洼出入口设置电子水尺，通过采集到的设备数据（地理位置、水位数据、告警数据等信息）判断出入口水位是否达到告警级别，以及达到何种告警级别（一级告警、二级告警），智能分析识别状态并结合人工复判。</w:t>
      </w:r>
    </w:p>
    <w:p w14:paraId="56D12791">
      <w:pPr>
        <w:pStyle w:val="5"/>
        <w:ind w:left="0"/>
        <w:rPr>
          <w:i w:val="0"/>
          <w:iCs w:val="0"/>
          <w:color w:val="auto"/>
          <w:sz w:val="22"/>
          <w:szCs w:val="22"/>
          <w:highlight w:val="none"/>
        </w:rPr>
      </w:pPr>
      <w:bookmarkStart w:id="9" w:name="_Toc23166"/>
      <w:r>
        <w:rPr>
          <w:rFonts w:hint="eastAsia"/>
          <w:i w:val="0"/>
          <w:iCs w:val="0"/>
          <w:color w:val="auto"/>
          <w:sz w:val="22"/>
          <w:szCs w:val="22"/>
          <w:highlight w:val="none"/>
        </w:rPr>
        <w:t>车站水淹评估</w:t>
      </w:r>
      <w:bookmarkEnd w:id="9"/>
    </w:p>
    <w:p w14:paraId="56D12792">
      <w:pPr>
        <w:pStyle w:val="142"/>
        <w:ind w:firstLine="420"/>
        <w:rPr>
          <w:rFonts w:hint="eastAsia"/>
          <w:i w:val="0"/>
          <w:iCs w:val="0"/>
          <w:color w:val="auto"/>
          <w:sz w:val="21"/>
          <w:szCs w:val="15"/>
          <w:highlight w:val="none"/>
        </w:rPr>
      </w:pPr>
      <w:r>
        <w:rPr>
          <w:rFonts w:hint="eastAsia"/>
          <w:i w:val="0"/>
          <w:iCs w:val="0"/>
          <w:color w:val="auto"/>
          <w:sz w:val="21"/>
          <w:szCs w:val="15"/>
          <w:highlight w:val="none"/>
        </w:rPr>
        <w:t>车站水淹评估构建车站水浸风险智能算法模型，实现以下功能：</w:t>
      </w:r>
    </w:p>
    <w:p w14:paraId="56D12793">
      <w:pPr>
        <w:pStyle w:val="6"/>
        <w:ind w:left="0"/>
        <w:rPr>
          <w:i w:val="0"/>
          <w:iCs w:val="0"/>
          <w:color w:val="auto"/>
          <w:sz w:val="21"/>
          <w:szCs w:val="21"/>
          <w:highlight w:val="none"/>
        </w:rPr>
      </w:pPr>
      <w:r>
        <w:rPr>
          <w:rFonts w:hint="eastAsia"/>
          <w:i w:val="0"/>
          <w:iCs w:val="0"/>
          <w:color w:val="auto"/>
          <w:sz w:val="21"/>
          <w:szCs w:val="21"/>
          <w:highlight w:val="none"/>
        </w:rPr>
        <w:t>车站地下空间渗水风险评估</w:t>
      </w:r>
    </w:p>
    <w:p w14:paraId="56D12794">
      <w:pPr>
        <w:pStyle w:val="142"/>
        <w:ind w:firstLine="420"/>
        <w:rPr>
          <w:rFonts w:hint="eastAsia"/>
          <w:i w:val="0"/>
          <w:iCs w:val="0"/>
          <w:color w:val="auto"/>
          <w:sz w:val="21"/>
          <w:szCs w:val="15"/>
          <w:highlight w:val="none"/>
        </w:rPr>
      </w:pPr>
      <w:r>
        <w:rPr>
          <w:rFonts w:hint="eastAsia"/>
          <w:i w:val="0"/>
          <w:iCs w:val="0"/>
          <w:color w:val="auto"/>
          <w:sz w:val="21"/>
          <w:szCs w:val="15"/>
          <w:highlight w:val="none"/>
        </w:rPr>
        <w:t>基于</w:t>
      </w:r>
      <w:r>
        <w:rPr>
          <w:rFonts w:hint="eastAsia"/>
          <w:i w:val="0"/>
          <w:iCs w:val="0"/>
          <w:color w:val="auto"/>
          <w:sz w:val="21"/>
          <w:szCs w:val="15"/>
          <w:highlight w:val="none"/>
          <w:lang w:val="en-US" w:eastAsia="zh-CN"/>
        </w:rPr>
        <w:t>实时获取的</w:t>
      </w:r>
      <w:r>
        <w:rPr>
          <w:rFonts w:hint="eastAsia"/>
          <w:i w:val="0"/>
          <w:iCs w:val="0"/>
          <w:color w:val="auto"/>
          <w:sz w:val="21"/>
          <w:szCs w:val="15"/>
          <w:highlight w:val="none"/>
        </w:rPr>
        <w:t>车站及区间废水泵排水流量，对车站及区间结构渗漏水风险进行实时监测评估。实时监测可设置分钟级流量监测周期和小时级流量监测周期，告警等级应分</w:t>
      </w:r>
      <w:r>
        <w:rPr>
          <w:rFonts w:hint="eastAsia"/>
          <w:i w:val="0"/>
          <w:iCs w:val="0"/>
          <w:color w:val="auto"/>
          <w:sz w:val="21"/>
          <w:szCs w:val="15"/>
          <w:highlight w:val="none"/>
          <w:lang w:val="en-US" w:eastAsia="zh-CN"/>
        </w:rPr>
        <w:t>可分</w:t>
      </w:r>
      <w:r>
        <w:rPr>
          <w:rFonts w:hint="eastAsia"/>
          <w:i w:val="0"/>
          <w:iCs w:val="0"/>
          <w:color w:val="auto"/>
          <w:sz w:val="21"/>
          <w:szCs w:val="15"/>
          <w:highlight w:val="none"/>
        </w:rPr>
        <w:t>为4级：紧急告警、严重告警、预警、风险提示，可根据流量持续值或流量瞬时值超过阈值为触发条件，具体阈值可在设计联络阶段明确。</w:t>
      </w:r>
    </w:p>
    <w:p w14:paraId="56D12795">
      <w:pPr>
        <w:pStyle w:val="6"/>
        <w:ind w:left="0"/>
        <w:rPr>
          <w:i w:val="0"/>
          <w:iCs w:val="0"/>
          <w:color w:val="auto"/>
          <w:sz w:val="21"/>
          <w:szCs w:val="21"/>
          <w:highlight w:val="none"/>
        </w:rPr>
      </w:pPr>
      <w:r>
        <w:rPr>
          <w:rFonts w:hint="eastAsia"/>
          <w:i w:val="0"/>
          <w:iCs w:val="0"/>
          <w:color w:val="auto"/>
          <w:sz w:val="21"/>
          <w:szCs w:val="21"/>
          <w:highlight w:val="none"/>
        </w:rPr>
        <w:t>车站水泵故障监测评估</w:t>
      </w:r>
    </w:p>
    <w:p w14:paraId="56D12796">
      <w:pPr>
        <w:pStyle w:val="142"/>
        <w:ind w:firstLine="420"/>
        <w:rPr>
          <w:rFonts w:hint="eastAsia"/>
          <w:i w:val="0"/>
          <w:iCs w:val="0"/>
          <w:color w:val="auto"/>
          <w:sz w:val="21"/>
          <w:szCs w:val="15"/>
          <w:highlight w:val="none"/>
        </w:rPr>
      </w:pPr>
      <w:r>
        <w:rPr>
          <w:rFonts w:hint="eastAsia"/>
          <w:i w:val="0"/>
          <w:iCs w:val="0"/>
          <w:color w:val="auto"/>
          <w:sz w:val="21"/>
          <w:szCs w:val="15"/>
          <w:highlight w:val="none"/>
        </w:rPr>
        <w:t>实现对本车站的所有水泵进行故障监测，结合水泵的设备基础参数、位置数据、运行状态数据等信息实现对“集水坑沉积物变多”、“水泵或管网堵塞”的预测评估。运行状态数据包括：水位下降速率、水泵单次运行时长、水泵启停频率，结合水泵基础参数进行综合评估</w:t>
      </w:r>
      <w:r>
        <w:rPr>
          <w:rFonts w:hint="eastAsia"/>
          <w:i w:val="0"/>
          <w:iCs w:val="0"/>
          <w:color w:val="auto"/>
          <w:sz w:val="21"/>
          <w:szCs w:val="15"/>
          <w:highlight w:val="none"/>
          <w:lang w:eastAsia="zh-CN"/>
        </w:rPr>
        <w:t>；</w:t>
      </w:r>
      <w:r>
        <w:rPr>
          <w:rFonts w:hint="eastAsia"/>
          <w:i w:val="0"/>
          <w:iCs w:val="0"/>
          <w:color w:val="auto"/>
          <w:sz w:val="21"/>
          <w:szCs w:val="15"/>
          <w:highlight w:val="none"/>
        </w:rPr>
        <w:t>监测评估的预测准确率</w:t>
      </w:r>
      <w:r>
        <w:rPr>
          <w:rFonts w:hint="eastAsia"/>
          <w:i w:val="0"/>
          <w:iCs w:val="0"/>
          <w:color w:val="auto"/>
          <w:sz w:val="21"/>
          <w:szCs w:val="15"/>
          <w:highlight w:val="none"/>
          <w:lang w:val="en-US" w:eastAsia="zh-CN"/>
        </w:rPr>
        <w:t>不低于90</w:t>
      </w:r>
      <w:r>
        <w:rPr>
          <w:rFonts w:hint="eastAsia"/>
          <w:i w:val="0"/>
          <w:iCs w:val="0"/>
          <w:color w:val="auto"/>
          <w:sz w:val="21"/>
          <w:szCs w:val="15"/>
          <w:highlight w:val="none"/>
        </w:rPr>
        <w:t>%  漏报率不超过30%。</w:t>
      </w:r>
    </w:p>
    <w:p w14:paraId="56D12797">
      <w:pPr>
        <w:pStyle w:val="5"/>
        <w:ind w:left="0"/>
        <w:rPr>
          <w:i w:val="0"/>
          <w:iCs w:val="0"/>
          <w:color w:val="auto"/>
          <w:sz w:val="22"/>
          <w:szCs w:val="22"/>
          <w:highlight w:val="none"/>
        </w:rPr>
      </w:pPr>
      <w:bookmarkStart w:id="10" w:name="_Toc3833"/>
      <w:r>
        <w:rPr>
          <w:rFonts w:hint="eastAsia"/>
          <w:i w:val="0"/>
          <w:iCs w:val="0"/>
          <w:color w:val="auto"/>
          <w:sz w:val="22"/>
          <w:szCs w:val="22"/>
          <w:highlight w:val="none"/>
        </w:rPr>
        <w:t>车站防汛四张图电子化</w:t>
      </w:r>
      <w:bookmarkEnd w:id="10"/>
    </w:p>
    <w:p w14:paraId="56D12798">
      <w:pPr>
        <w:pStyle w:val="6"/>
        <w:ind w:left="0"/>
        <w:rPr>
          <w:i w:val="0"/>
          <w:iCs w:val="0"/>
          <w:color w:val="auto"/>
          <w:sz w:val="21"/>
          <w:szCs w:val="21"/>
          <w:highlight w:val="none"/>
        </w:rPr>
      </w:pPr>
      <w:r>
        <w:rPr>
          <w:rFonts w:hint="eastAsia"/>
          <w:i w:val="0"/>
          <w:iCs w:val="0"/>
          <w:color w:val="auto"/>
          <w:sz w:val="21"/>
          <w:szCs w:val="21"/>
          <w:highlight w:val="none"/>
        </w:rPr>
        <w:t>防汛四张图主要功能</w:t>
      </w:r>
    </w:p>
    <w:p w14:paraId="56D12799">
      <w:pPr>
        <w:pStyle w:val="7"/>
        <w:rPr>
          <w:rFonts w:hint="eastAsia"/>
          <w:i w:val="0"/>
          <w:iCs w:val="0"/>
          <w:color w:val="auto"/>
          <w:sz w:val="21"/>
          <w:szCs w:val="21"/>
          <w:highlight w:val="none"/>
        </w:rPr>
      </w:pPr>
      <w:r>
        <w:rPr>
          <w:rFonts w:hint="eastAsia"/>
          <w:i w:val="0"/>
          <w:iCs w:val="0"/>
          <w:color w:val="auto"/>
          <w:sz w:val="21"/>
          <w:szCs w:val="21"/>
          <w:highlight w:val="none"/>
        </w:rPr>
        <w:t>防汛作战图</w:t>
      </w:r>
    </w:p>
    <w:p w14:paraId="56D1279A">
      <w:pPr>
        <w:pStyle w:val="142"/>
        <w:ind w:firstLine="420"/>
        <w:rPr>
          <w:rFonts w:hint="eastAsia"/>
          <w:i w:val="0"/>
          <w:iCs w:val="0"/>
          <w:color w:val="auto"/>
          <w:sz w:val="21"/>
          <w:szCs w:val="15"/>
          <w:highlight w:val="none"/>
        </w:rPr>
      </w:pPr>
      <w:r>
        <w:rPr>
          <w:rFonts w:hint="eastAsia"/>
          <w:i w:val="0"/>
          <w:iCs w:val="0"/>
          <w:color w:val="auto"/>
          <w:sz w:val="21"/>
          <w:szCs w:val="15"/>
          <w:highlight w:val="none"/>
        </w:rPr>
        <w:t>车站防汛作战图显示当前车站出入口、风亭口、应急疏散通道、直梯口等出地面口部数量；并标注冷却塔、集水井、排污泵等防汛相关设备。</w:t>
      </w:r>
    </w:p>
    <w:p w14:paraId="56D1279B">
      <w:pPr>
        <w:pStyle w:val="7"/>
        <w:rPr>
          <w:rFonts w:hint="eastAsia"/>
          <w:i w:val="0"/>
          <w:iCs w:val="0"/>
          <w:color w:val="auto"/>
          <w:sz w:val="21"/>
          <w:szCs w:val="21"/>
          <w:highlight w:val="none"/>
        </w:rPr>
      </w:pPr>
      <w:r>
        <w:rPr>
          <w:rFonts w:hint="eastAsia"/>
          <w:i w:val="0"/>
          <w:iCs w:val="0"/>
          <w:color w:val="auto"/>
          <w:sz w:val="21"/>
          <w:szCs w:val="21"/>
          <w:highlight w:val="none"/>
        </w:rPr>
        <w:t>车站相邻区间排水图</w:t>
      </w:r>
    </w:p>
    <w:p w14:paraId="56D1279C">
      <w:pPr>
        <w:pStyle w:val="142"/>
        <w:ind w:firstLine="420"/>
        <w:rPr>
          <w:rFonts w:hint="eastAsia"/>
          <w:i w:val="0"/>
          <w:iCs w:val="0"/>
          <w:color w:val="auto"/>
          <w:sz w:val="21"/>
          <w:szCs w:val="15"/>
          <w:highlight w:val="none"/>
        </w:rPr>
      </w:pPr>
      <w:r>
        <w:rPr>
          <w:rFonts w:hint="eastAsia"/>
          <w:i w:val="0"/>
          <w:iCs w:val="0"/>
          <w:color w:val="auto"/>
          <w:sz w:val="21"/>
          <w:szCs w:val="15"/>
          <w:highlight w:val="none"/>
        </w:rPr>
        <w:t>展示当前车站区间防汛的概况信息，包含区间压力井数量、区间水泵（组）数量、区间摄像机数量（</w:t>
      </w:r>
      <w:r>
        <w:rPr>
          <w:rFonts w:hint="eastAsia"/>
          <w:i w:val="0"/>
          <w:iCs w:val="0"/>
          <w:color w:val="auto"/>
          <w:sz w:val="21"/>
          <w:szCs w:val="15"/>
          <w:highlight w:val="none"/>
          <w:lang w:val="en-US"/>
        </w:rPr>
        <w:t>若有</w:t>
      </w:r>
      <w:r>
        <w:rPr>
          <w:rFonts w:hint="eastAsia"/>
          <w:i w:val="0"/>
          <w:iCs w:val="0"/>
          <w:color w:val="auto"/>
          <w:sz w:val="21"/>
          <w:szCs w:val="15"/>
          <w:highlight w:val="none"/>
        </w:rPr>
        <w:t>）、疏散路线、水泵、摄像头、防淹门、排水管等信息。</w:t>
      </w:r>
    </w:p>
    <w:p w14:paraId="56D1279D">
      <w:pPr>
        <w:pStyle w:val="7"/>
        <w:rPr>
          <w:rFonts w:hint="eastAsia"/>
          <w:i w:val="0"/>
          <w:iCs w:val="0"/>
          <w:color w:val="auto"/>
          <w:sz w:val="21"/>
          <w:szCs w:val="21"/>
          <w:highlight w:val="none"/>
        </w:rPr>
      </w:pPr>
      <w:r>
        <w:rPr>
          <w:rFonts w:hint="eastAsia"/>
          <w:i w:val="0"/>
          <w:iCs w:val="0"/>
          <w:color w:val="auto"/>
          <w:sz w:val="21"/>
          <w:szCs w:val="21"/>
          <w:highlight w:val="none"/>
        </w:rPr>
        <w:t>车站排水图</w:t>
      </w:r>
    </w:p>
    <w:p w14:paraId="56D1279E">
      <w:pPr>
        <w:pStyle w:val="142"/>
        <w:ind w:firstLine="420"/>
        <w:rPr>
          <w:rFonts w:hint="eastAsia" w:eastAsia="仿宋"/>
          <w:i w:val="0"/>
          <w:iCs w:val="0"/>
          <w:color w:val="auto"/>
          <w:sz w:val="21"/>
          <w:szCs w:val="15"/>
          <w:highlight w:val="none"/>
          <w:lang w:eastAsia="zh-CN"/>
        </w:rPr>
      </w:pPr>
      <w:r>
        <w:rPr>
          <w:rFonts w:hint="eastAsia"/>
          <w:i w:val="0"/>
          <w:iCs w:val="0"/>
          <w:color w:val="auto"/>
          <w:sz w:val="21"/>
          <w:szCs w:val="15"/>
          <w:highlight w:val="none"/>
        </w:rPr>
        <w:t>车站排水图主要呈现车站卫星地图，显示</w:t>
      </w:r>
      <w:r>
        <w:rPr>
          <w:rFonts w:hint="eastAsia"/>
          <w:i w:val="0"/>
          <w:iCs w:val="0"/>
          <w:color w:val="auto"/>
          <w:sz w:val="21"/>
          <w:szCs w:val="15"/>
          <w:highlight w:val="none"/>
          <w:lang w:val="en-US" w:eastAsia="zh-CN"/>
        </w:rPr>
        <w:t>污水井</w:t>
      </w:r>
      <w:r>
        <w:rPr>
          <w:rFonts w:hint="eastAsia"/>
          <w:i w:val="0"/>
          <w:iCs w:val="0"/>
          <w:color w:val="auto"/>
          <w:sz w:val="21"/>
          <w:szCs w:val="15"/>
          <w:highlight w:val="none"/>
        </w:rPr>
        <w:t>、检查井、DN300mm</w:t>
      </w:r>
      <w:r>
        <w:rPr>
          <w:rFonts w:hint="eastAsia"/>
          <w:i w:val="0"/>
          <w:iCs w:val="0"/>
          <w:color w:val="auto"/>
          <w:sz w:val="21"/>
          <w:szCs w:val="15"/>
          <w:highlight w:val="none"/>
          <w:lang w:val="en-US" w:eastAsia="zh-CN"/>
        </w:rPr>
        <w:t>排水管</w:t>
      </w:r>
      <w:r>
        <w:rPr>
          <w:rFonts w:hint="eastAsia"/>
          <w:i w:val="0"/>
          <w:iCs w:val="0"/>
          <w:color w:val="auto"/>
          <w:sz w:val="21"/>
          <w:szCs w:val="15"/>
          <w:highlight w:val="none"/>
        </w:rPr>
        <w:t>、DN400mm</w:t>
      </w:r>
      <w:r>
        <w:rPr>
          <w:rFonts w:hint="eastAsia"/>
          <w:i w:val="0"/>
          <w:iCs w:val="0"/>
          <w:color w:val="auto"/>
          <w:sz w:val="21"/>
          <w:szCs w:val="15"/>
          <w:highlight w:val="none"/>
          <w:lang w:val="en-US" w:eastAsia="zh-CN"/>
        </w:rPr>
        <w:t>排水管</w:t>
      </w:r>
      <w:r>
        <w:rPr>
          <w:rFonts w:hint="eastAsia"/>
          <w:i w:val="0"/>
          <w:iCs w:val="0"/>
          <w:color w:val="auto"/>
          <w:sz w:val="21"/>
          <w:szCs w:val="15"/>
          <w:highlight w:val="none"/>
        </w:rPr>
        <w:t>、压力消能井和市政井等信息</w:t>
      </w:r>
      <w:r>
        <w:rPr>
          <w:rFonts w:hint="eastAsia"/>
          <w:i w:val="0"/>
          <w:iCs w:val="0"/>
          <w:color w:val="auto"/>
          <w:sz w:val="21"/>
          <w:szCs w:val="15"/>
          <w:highlight w:val="none"/>
          <w:lang w:eastAsia="zh-CN"/>
        </w:rPr>
        <w:t>。</w:t>
      </w:r>
    </w:p>
    <w:p w14:paraId="56D1279F">
      <w:pPr>
        <w:pStyle w:val="7"/>
        <w:rPr>
          <w:rFonts w:hint="eastAsia"/>
          <w:i w:val="0"/>
          <w:iCs w:val="0"/>
          <w:color w:val="auto"/>
          <w:sz w:val="21"/>
          <w:szCs w:val="21"/>
          <w:highlight w:val="none"/>
        </w:rPr>
      </w:pPr>
      <w:r>
        <w:rPr>
          <w:rFonts w:hint="eastAsia"/>
          <w:i w:val="0"/>
          <w:iCs w:val="0"/>
          <w:color w:val="auto"/>
          <w:sz w:val="21"/>
          <w:szCs w:val="21"/>
          <w:highlight w:val="none"/>
        </w:rPr>
        <w:t>车站街区图</w:t>
      </w:r>
    </w:p>
    <w:p w14:paraId="56D127A0">
      <w:pPr>
        <w:pStyle w:val="142"/>
        <w:ind w:firstLine="420"/>
        <w:rPr>
          <w:rFonts w:hint="eastAsia"/>
          <w:i w:val="0"/>
          <w:iCs w:val="0"/>
          <w:color w:val="auto"/>
          <w:sz w:val="21"/>
          <w:szCs w:val="15"/>
          <w:highlight w:val="none"/>
        </w:rPr>
      </w:pPr>
      <w:r>
        <w:rPr>
          <w:rFonts w:hint="eastAsia"/>
          <w:i w:val="0"/>
          <w:iCs w:val="0"/>
          <w:color w:val="auto"/>
          <w:sz w:val="21"/>
          <w:szCs w:val="15"/>
          <w:highlight w:val="none"/>
        </w:rPr>
        <w:t>车站街区图主要呈现车站周边情况，如林地、周边建筑、道路等信息；同时呈现集水井、风亭口部、车站出入口等地面设施信息。</w:t>
      </w:r>
    </w:p>
    <w:p w14:paraId="56D127A1">
      <w:pPr>
        <w:pStyle w:val="6"/>
        <w:ind w:left="0"/>
        <w:rPr>
          <w:i w:val="0"/>
          <w:iCs w:val="0"/>
          <w:color w:val="auto"/>
          <w:sz w:val="21"/>
          <w:szCs w:val="21"/>
          <w:highlight w:val="none"/>
        </w:rPr>
      </w:pPr>
      <w:r>
        <w:rPr>
          <w:rFonts w:hint="eastAsia"/>
          <w:i w:val="0"/>
          <w:iCs w:val="0"/>
          <w:color w:val="auto"/>
          <w:sz w:val="21"/>
          <w:szCs w:val="21"/>
          <w:highlight w:val="none"/>
        </w:rPr>
        <w:t>车站防汛作战图功能</w:t>
      </w:r>
    </w:p>
    <w:p w14:paraId="56D127A2">
      <w:pPr>
        <w:pStyle w:val="142"/>
        <w:ind w:firstLine="420"/>
        <w:rPr>
          <w:rFonts w:hint="eastAsia"/>
          <w:i w:val="0"/>
          <w:iCs w:val="0"/>
          <w:color w:val="auto"/>
          <w:sz w:val="21"/>
          <w:szCs w:val="15"/>
          <w:highlight w:val="none"/>
        </w:rPr>
      </w:pPr>
      <w:r>
        <w:rPr>
          <w:rFonts w:hint="eastAsia"/>
          <w:i w:val="0"/>
          <w:iCs w:val="0"/>
          <w:color w:val="auto"/>
          <w:sz w:val="21"/>
          <w:szCs w:val="15"/>
          <w:highlight w:val="none"/>
        </w:rPr>
        <w:t>在车站智慧地铁管控平台提供车站防汛概况示意图，主要实现以下功能：</w:t>
      </w:r>
    </w:p>
    <w:p w14:paraId="56D127A3">
      <w:pPr>
        <w:pStyle w:val="7"/>
        <w:rPr>
          <w:rFonts w:hint="eastAsia"/>
          <w:i w:val="0"/>
          <w:iCs w:val="0"/>
          <w:color w:val="auto"/>
          <w:sz w:val="21"/>
          <w:szCs w:val="21"/>
          <w:highlight w:val="none"/>
        </w:rPr>
      </w:pPr>
      <w:r>
        <w:rPr>
          <w:rFonts w:hint="eastAsia"/>
          <w:i w:val="0"/>
          <w:iCs w:val="0"/>
          <w:color w:val="auto"/>
          <w:sz w:val="21"/>
          <w:szCs w:val="21"/>
          <w:highlight w:val="none"/>
        </w:rPr>
        <w:t>支持用户查询显示车站防汛概况</w:t>
      </w:r>
    </w:p>
    <w:p w14:paraId="56D127A4">
      <w:pPr>
        <w:pStyle w:val="142"/>
        <w:ind w:firstLine="420"/>
        <w:rPr>
          <w:rFonts w:hint="eastAsia"/>
          <w:i w:val="0"/>
          <w:iCs w:val="0"/>
          <w:color w:val="auto"/>
          <w:sz w:val="21"/>
          <w:szCs w:val="15"/>
          <w:highlight w:val="none"/>
        </w:rPr>
      </w:pPr>
      <w:r>
        <w:rPr>
          <w:rFonts w:hint="eastAsia"/>
          <w:i w:val="0"/>
          <w:iCs w:val="0"/>
          <w:color w:val="auto"/>
          <w:sz w:val="21"/>
          <w:szCs w:val="15"/>
          <w:highlight w:val="none"/>
        </w:rPr>
        <w:t>车站防汛概况电子图显示当前车站包括出地面口部总数、出入口数、应急疏散通道数、风亭数量、直梯口数量；冷却塔数量、集水井数量、排污泵数量、车站淹水记录、口部积水记录以及本车站是否为线路防洪重点关注车站。</w:t>
      </w:r>
    </w:p>
    <w:p w14:paraId="56D127A5">
      <w:pPr>
        <w:pStyle w:val="7"/>
        <w:rPr>
          <w:rFonts w:hint="eastAsia"/>
          <w:i w:val="0"/>
          <w:iCs w:val="0"/>
          <w:color w:val="auto"/>
          <w:sz w:val="21"/>
          <w:szCs w:val="21"/>
          <w:highlight w:val="none"/>
        </w:rPr>
      </w:pPr>
      <w:r>
        <w:rPr>
          <w:rFonts w:hint="eastAsia"/>
          <w:i w:val="0"/>
          <w:iCs w:val="0"/>
          <w:color w:val="auto"/>
          <w:sz w:val="21"/>
          <w:szCs w:val="21"/>
          <w:highlight w:val="none"/>
        </w:rPr>
        <w:t>车站水位视频巡检系统可联动视频监控查看车站汛情实况，并标记各个出入口的状态。</w:t>
      </w:r>
    </w:p>
    <w:p w14:paraId="56D127A6">
      <w:pPr>
        <w:pStyle w:val="7"/>
        <w:rPr>
          <w:rFonts w:hint="eastAsia"/>
          <w:i w:val="0"/>
          <w:iCs w:val="0"/>
          <w:color w:val="auto"/>
          <w:sz w:val="21"/>
          <w:szCs w:val="21"/>
          <w:highlight w:val="none"/>
        </w:rPr>
      </w:pPr>
      <w:r>
        <w:rPr>
          <w:rFonts w:hint="eastAsia"/>
          <w:i w:val="0"/>
          <w:iCs w:val="0"/>
          <w:color w:val="auto"/>
          <w:sz w:val="21"/>
          <w:szCs w:val="21"/>
          <w:highlight w:val="none"/>
        </w:rPr>
        <w:t>显示车站防汛作战GIS图层信息</w:t>
      </w:r>
    </w:p>
    <w:p w14:paraId="56D127A7">
      <w:pPr>
        <w:pStyle w:val="142"/>
        <w:ind w:firstLine="420"/>
        <w:rPr>
          <w:rFonts w:hint="eastAsia"/>
          <w:i w:val="0"/>
          <w:iCs w:val="0"/>
          <w:color w:val="auto"/>
          <w:sz w:val="21"/>
          <w:szCs w:val="15"/>
          <w:highlight w:val="none"/>
        </w:rPr>
      </w:pPr>
      <w:r>
        <w:rPr>
          <w:rFonts w:hint="eastAsia"/>
          <w:i w:val="0"/>
          <w:iCs w:val="0"/>
          <w:color w:val="auto"/>
          <w:sz w:val="21"/>
          <w:szCs w:val="15"/>
          <w:highlight w:val="none"/>
        </w:rPr>
        <w:t>在车站防汛作战底图的基础上，可标记车站用户标记集水井、口部、最大风险口、水位传感器、疏散路线以及自己绘制的图形等图层，形成一张用于车站作战分析和指挥的图。同时支持点击图标展示出对应的信息面板：</w:t>
      </w:r>
    </w:p>
    <w:p w14:paraId="56D127A8">
      <w:pPr>
        <w:pStyle w:val="142"/>
        <w:ind w:firstLine="420"/>
        <w:rPr>
          <w:i w:val="0"/>
          <w:iCs w:val="0"/>
          <w:color w:val="auto"/>
          <w:sz w:val="21"/>
          <w:szCs w:val="15"/>
          <w:highlight w:val="none"/>
        </w:rPr>
      </w:pPr>
      <w:r>
        <w:rPr>
          <w:i w:val="0"/>
          <w:iCs w:val="0"/>
          <w:color w:val="auto"/>
          <w:sz w:val="21"/>
          <w:szCs w:val="15"/>
          <w:highlight w:val="none"/>
        </w:rPr>
        <w:t>1</w:t>
      </w:r>
      <w:r>
        <w:rPr>
          <w:rFonts w:hint="eastAsia"/>
          <w:i w:val="0"/>
          <w:iCs w:val="0"/>
          <w:color w:val="auto"/>
          <w:sz w:val="21"/>
          <w:szCs w:val="15"/>
          <w:highlight w:val="none"/>
        </w:rPr>
        <w:t>）口部信息面板：</w:t>
      </w:r>
    </w:p>
    <w:p w14:paraId="56D127A9">
      <w:pPr>
        <w:pStyle w:val="142"/>
        <w:ind w:firstLine="420"/>
        <w:rPr>
          <w:rFonts w:hint="eastAsia"/>
          <w:i w:val="0"/>
          <w:iCs w:val="0"/>
          <w:color w:val="auto"/>
          <w:sz w:val="21"/>
          <w:szCs w:val="15"/>
          <w:highlight w:val="none"/>
        </w:rPr>
      </w:pPr>
      <w:r>
        <w:rPr>
          <w:rFonts w:hint="eastAsia"/>
          <w:i w:val="0"/>
          <w:iCs w:val="0"/>
          <w:color w:val="auto"/>
          <w:sz w:val="21"/>
          <w:szCs w:val="15"/>
          <w:highlight w:val="none"/>
        </w:rPr>
        <w:t>包含口部名称、风险级别、地面高程、口部离地高度、实际高程、口部挡板高度、防洪挡板数量、沙包数量、防洪薄膜数量、吸水膨胀袋数量、救生衣数量、部署兵力数量、雨量计数量、水位报警装置数量和备注信息。</w:t>
      </w:r>
    </w:p>
    <w:p w14:paraId="56D127AA">
      <w:pPr>
        <w:pStyle w:val="142"/>
        <w:ind w:firstLine="420"/>
        <w:rPr>
          <w:i w:val="0"/>
          <w:iCs w:val="0"/>
          <w:color w:val="auto"/>
          <w:sz w:val="21"/>
          <w:szCs w:val="15"/>
          <w:highlight w:val="none"/>
        </w:rPr>
      </w:pPr>
      <w:r>
        <w:rPr>
          <w:i w:val="0"/>
          <w:iCs w:val="0"/>
          <w:color w:val="auto"/>
          <w:sz w:val="21"/>
          <w:szCs w:val="15"/>
          <w:highlight w:val="none"/>
        </w:rPr>
        <w:t>2</w:t>
      </w:r>
      <w:r>
        <w:rPr>
          <w:rFonts w:hint="eastAsia"/>
          <w:i w:val="0"/>
          <w:iCs w:val="0"/>
          <w:color w:val="auto"/>
          <w:sz w:val="21"/>
          <w:szCs w:val="15"/>
          <w:highlight w:val="none"/>
        </w:rPr>
        <w:t>）集水井信息面板：</w:t>
      </w:r>
    </w:p>
    <w:p w14:paraId="56D127AB">
      <w:pPr>
        <w:pStyle w:val="142"/>
        <w:ind w:firstLine="420"/>
        <w:rPr>
          <w:rFonts w:hint="eastAsia"/>
          <w:i w:val="0"/>
          <w:iCs w:val="0"/>
          <w:color w:val="auto"/>
          <w:sz w:val="21"/>
          <w:szCs w:val="15"/>
          <w:highlight w:val="none"/>
        </w:rPr>
      </w:pPr>
      <w:r>
        <w:rPr>
          <w:rFonts w:hint="eastAsia"/>
          <w:i w:val="0"/>
          <w:iCs w:val="0"/>
          <w:color w:val="auto"/>
          <w:sz w:val="21"/>
          <w:szCs w:val="15"/>
          <w:highlight w:val="none"/>
        </w:rPr>
        <w:t>包含集水井名称、容积和备注信息。</w:t>
      </w:r>
    </w:p>
    <w:p w14:paraId="56D127AC">
      <w:pPr>
        <w:pStyle w:val="142"/>
        <w:ind w:firstLine="420"/>
        <w:rPr>
          <w:i w:val="0"/>
          <w:iCs w:val="0"/>
          <w:color w:val="auto"/>
          <w:sz w:val="21"/>
          <w:szCs w:val="15"/>
          <w:highlight w:val="none"/>
        </w:rPr>
      </w:pPr>
      <w:r>
        <w:rPr>
          <w:i w:val="0"/>
          <w:iCs w:val="0"/>
          <w:color w:val="auto"/>
          <w:sz w:val="21"/>
          <w:szCs w:val="15"/>
          <w:highlight w:val="none"/>
        </w:rPr>
        <w:t>3</w:t>
      </w:r>
      <w:r>
        <w:rPr>
          <w:rFonts w:hint="eastAsia"/>
          <w:i w:val="0"/>
          <w:iCs w:val="0"/>
          <w:color w:val="auto"/>
          <w:sz w:val="21"/>
          <w:szCs w:val="15"/>
          <w:highlight w:val="none"/>
        </w:rPr>
        <w:t>）水位传感器的状态：</w:t>
      </w:r>
    </w:p>
    <w:p w14:paraId="56D127AD">
      <w:pPr>
        <w:pStyle w:val="142"/>
        <w:ind w:firstLine="420"/>
        <w:rPr>
          <w:rFonts w:hint="eastAsia"/>
          <w:i w:val="0"/>
          <w:iCs w:val="0"/>
          <w:color w:val="auto"/>
          <w:sz w:val="21"/>
          <w:szCs w:val="15"/>
          <w:highlight w:val="none"/>
        </w:rPr>
      </w:pPr>
      <w:r>
        <w:rPr>
          <w:rFonts w:hint="eastAsia"/>
          <w:i w:val="0"/>
          <w:iCs w:val="0"/>
          <w:color w:val="auto"/>
          <w:sz w:val="21"/>
          <w:szCs w:val="15"/>
          <w:highlight w:val="none"/>
        </w:rPr>
        <w:t>包括水位正常、异常和危险，图例分别对应绿色、黄色和红色。</w:t>
      </w:r>
    </w:p>
    <w:p w14:paraId="56D127AE">
      <w:pPr>
        <w:pStyle w:val="7"/>
        <w:rPr>
          <w:rFonts w:hint="eastAsia"/>
          <w:i w:val="0"/>
          <w:iCs w:val="0"/>
          <w:color w:val="auto"/>
          <w:sz w:val="21"/>
          <w:szCs w:val="21"/>
          <w:highlight w:val="none"/>
        </w:rPr>
      </w:pPr>
      <w:r>
        <w:rPr>
          <w:rFonts w:hint="eastAsia"/>
          <w:i w:val="0"/>
          <w:iCs w:val="0"/>
          <w:color w:val="auto"/>
          <w:sz w:val="21"/>
          <w:szCs w:val="21"/>
          <w:highlight w:val="none"/>
        </w:rPr>
        <w:t>一键展示汛情图层信息</w:t>
      </w:r>
    </w:p>
    <w:p w14:paraId="56D127AF">
      <w:pPr>
        <w:pStyle w:val="142"/>
        <w:ind w:firstLine="420"/>
        <w:rPr>
          <w:rFonts w:hint="eastAsia"/>
          <w:i w:val="0"/>
          <w:iCs w:val="0"/>
          <w:color w:val="auto"/>
          <w:sz w:val="21"/>
          <w:szCs w:val="15"/>
          <w:highlight w:val="none"/>
        </w:rPr>
      </w:pPr>
      <w:r>
        <w:rPr>
          <w:rFonts w:hint="eastAsia"/>
          <w:i w:val="0"/>
          <w:iCs w:val="0"/>
          <w:color w:val="auto"/>
          <w:sz w:val="21"/>
          <w:szCs w:val="15"/>
          <w:highlight w:val="none"/>
        </w:rPr>
        <w:t>可筛选展示示意图汛情图层信息；可控制的图层包括口部信息面板、集水井信息面板、水位传感器图层和车站应急疏散路线，车站用户能够更加便捷地查阅口部、集水井、水位传感器和应急疏散路线信息。</w:t>
      </w:r>
    </w:p>
    <w:p w14:paraId="56D127B0">
      <w:pPr>
        <w:pStyle w:val="7"/>
        <w:rPr>
          <w:rFonts w:hint="eastAsia"/>
          <w:i w:val="0"/>
          <w:iCs w:val="0"/>
          <w:color w:val="auto"/>
          <w:sz w:val="21"/>
          <w:szCs w:val="21"/>
          <w:highlight w:val="none"/>
        </w:rPr>
      </w:pPr>
      <w:r>
        <w:rPr>
          <w:rFonts w:hint="eastAsia"/>
          <w:i w:val="0"/>
          <w:iCs w:val="0"/>
          <w:color w:val="auto"/>
          <w:sz w:val="21"/>
          <w:szCs w:val="21"/>
          <w:highlight w:val="none"/>
        </w:rPr>
        <w:t>车站汛情一键上报</w:t>
      </w:r>
    </w:p>
    <w:p w14:paraId="56D127B1">
      <w:pPr>
        <w:pStyle w:val="142"/>
        <w:ind w:firstLine="420"/>
        <w:rPr>
          <w:rFonts w:hint="eastAsia"/>
          <w:i w:val="0"/>
          <w:iCs w:val="0"/>
          <w:color w:val="auto"/>
          <w:sz w:val="21"/>
          <w:szCs w:val="15"/>
          <w:highlight w:val="none"/>
        </w:rPr>
      </w:pPr>
      <w:r>
        <w:rPr>
          <w:rFonts w:hint="eastAsia"/>
          <w:i w:val="0"/>
          <w:iCs w:val="0"/>
          <w:color w:val="auto"/>
          <w:sz w:val="21"/>
          <w:szCs w:val="15"/>
          <w:highlight w:val="none"/>
        </w:rPr>
        <w:t>车站用户发现汛情时，系统应支持在防汛作战界面进行车站汛情一键上报。</w:t>
      </w:r>
    </w:p>
    <w:p w14:paraId="56D127B2">
      <w:pPr>
        <w:pStyle w:val="7"/>
        <w:rPr>
          <w:rFonts w:hint="eastAsia"/>
          <w:i w:val="0"/>
          <w:iCs w:val="0"/>
          <w:color w:val="auto"/>
          <w:sz w:val="21"/>
          <w:szCs w:val="21"/>
          <w:highlight w:val="none"/>
        </w:rPr>
      </w:pPr>
      <w:r>
        <w:rPr>
          <w:rFonts w:hint="eastAsia"/>
          <w:i w:val="0"/>
          <w:iCs w:val="0"/>
          <w:color w:val="auto"/>
          <w:sz w:val="21"/>
          <w:szCs w:val="21"/>
          <w:highlight w:val="none"/>
        </w:rPr>
        <w:t>车站防汛作战图编辑</w:t>
      </w:r>
    </w:p>
    <w:p w14:paraId="56D127B3">
      <w:pPr>
        <w:pStyle w:val="142"/>
        <w:ind w:firstLine="420"/>
        <w:rPr>
          <w:rFonts w:hint="eastAsia"/>
          <w:i w:val="0"/>
          <w:iCs w:val="0"/>
          <w:color w:val="auto"/>
          <w:sz w:val="21"/>
          <w:szCs w:val="15"/>
          <w:highlight w:val="none"/>
        </w:rPr>
      </w:pPr>
      <w:r>
        <w:rPr>
          <w:rFonts w:hint="eastAsia"/>
          <w:i w:val="0"/>
          <w:iCs w:val="0"/>
          <w:color w:val="auto"/>
          <w:sz w:val="21"/>
          <w:szCs w:val="15"/>
          <w:highlight w:val="none"/>
        </w:rPr>
        <w:t>在防汛作战页面，可自定义编辑车站防汛作战图，可编辑的范围应包括：</w:t>
      </w:r>
    </w:p>
    <w:p w14:paraId="56D127B4">
      <w:pPr>
        <w:pStyle w:val="8"/>
        <w:rPr>
          <w:i w:val="0"/>
          <w:iCs w:val="0"/>
          <w:color w:val="auto"/>
          <w:sz w:val="21"/>
          <w:szCs w:val="20"/>
          <w:highlight w:val="none"/>
        </w:rPr>
      </w:pPr>
      <w:r>
        <w:rPr>
          <w:rFonts w:hint="eastAsia"/>
          <w:i w:val="0"/>
          <w:iCs w:val="0"/>
          <w:color w:val="auto"/>
          <w:sz w:val="21"/>
          <w:szCs w:val="20"/>
          <w:highlight w:val="none"/>
        </w:rPr>
        <w:t>车站防汛作战</w:t>
      </w:r>
      <w:r>
        <w:rPr>
          <w:i w:val="0"/>
          <w:iCs w:val="0"/>
          <w:color w:val="auto"/>
          <w:sz w:val="21"/>
          <w:szCs w:val="20"/>
          <w:highlight w:val="none"/>
        </w:rPr>
        <w:t>GIS</w:t>
      </w:r>
      <w:r>
        <w:rPr>
          <w:rFonts w:hint="eastAsia"/>
          <w:i w:val="0"/>
          <w:iCs w:val="0"/>
          <w:color w:val="auto"/>
          <w:sz w:val="21"/>
          <w:szCs w:val="20"/>
          <w:highlight w:val="none"/>
        </w:rPr>
        <w:t>图层信息：</w:t>
      </w:r>
    </w:p>
    <w:p w14:paraId="56D127B5">
      <w:pPr>
        <w:pStyle w:val="142"/>
        <w:ind w:firstLine="420"/>
        <w:rPr>
          <w:rFonts w:hint="eastAsia"/>
          <w:i w:val="0"/>
          <w:iCs w:val="0"/>
          <w:color w:val="auto"/>
          <w:sz w:val="21"/>
          <w:szCs w:val="15"/>
          <w:highlight w:val="none"/>
        </w:rPr>
      </w:pPr>
      <w:r>
        <w:rPr>
          <w:rFonts w:hint="eastAsia"/>
          <w:i w:val="0"/>
          <w:iCs w:val="0"/>
          <w:color w:val="auto"/>
          <w:sz w:val="21"/>
          <w:szCs w:val="15"/>
          <w:highlight w:val="none"/>
        </w:rPr>
        <w:t>支持用户新建和编辑口部、集水井、水位传感器和应急疏散路线，查看口部、水位传感器和应急疏散路线目录等操作。</w:t>
      </w:r>
    </w:p>
    <w:p w14:paraId="56D127B6">
      <w:pPr>
        <w:pStyle w:val="8"/>
        <w:rPr>
          <w:i w:val="0"/>
          <w:iCs w:val="0"/>
          <w:color w:val="auto"/>
          <w:sz w:val="21"/>
          <w:szCs w:val="20"/>
          <w:highlight w:val="none"/>
        </w:rPr>
      </w:pPr>
      <w:r>
        <w:rPr>
          <w:rFonts w:hint="eastAsia"/>
          <w:i w:val="0"/>
          <w:iCs w:val="0"/>
          <w:color w:val="auto"/>
          <w:sz w:val="21"/>
          <w:szCs w:val="20"/>
          <w:highlight w:val="none"/>
        </w:rPr>
        <w:t>编辑车站防汛概况：</w:t>
      </w:r>
    </w:p>
    <w:p w14:paraId="56D127B7">
      <w:pPr>
        <w:pStyle w:val="142"/>
        <w:ind w:firstLine="420"/>
        <w:rPr>
          <w:rFonts w:hint="eastAsia"/>
          <w:i w:val="0"/>
          <w:iCs w:val="0"/>
          <w:color w:val="auto"/>
          <w:sz w:val="21"/>
          <w:szCs w:val="15"/>
          <w:highlight w:val="none"/>
        </w:rPr>
      </w:pPr>
      <w:r>
        <w:rPr>
          <w:rFonts w:hint="eastAsia"/>
          <w:i w:val="0"/>
          <w:iCs w:val="0"/>
          <w:color w:val="auto"/>
          <w:sz w:val="21"/>
          <w:szCs w:val="15"/>
          <w:highlight w:val="none"/>
        </w:rPr>
        <w:t>对车站防汛的概况信息进行编辑修改，同时支持将车站标记“本站为线路防洪关注点”。</w:t>
      </w:r>
    </w:p>
    <w:p w14:paraId="56D127B8">
      <w:pPr>
        <w:pStyle w:val="8"/>
        <w:rPr>
          <w:i w:val="0"/>
          <w:iCs w:val="0"/>
          <w:color w:val="auto"/>
          <w:sz w:val="21"/>
          <w:szCs w:val="20"/>
          <w:highlight w:val="none"/>
        </w:rPr>
      </w:pPr>
      <w:r>
        <w:rPr>
          <w:rFonts w:hint="eastAsia"/>
          <w:i w:val="0"/>
          <w:iCs w:val="0"/>
          <w:color w:val="auto"/>
          <w:sz w:val="21"/>
          <w:szCs w:val="20"/>
          <w:highlight w:val="none"/>
        </w:rPr>
        <w:t>更新车站防汛作战底图：</w:t>
      </w:r>
    </w:p>
    <w:p w14:paraId="56D127B9">
      <w:pPr>
        <w:pStyle w:val="142"/>
        <w:ind w:firstLine="420"/>
        <w:rPr>
          <w:rFonts w:hint="eastAsia"/>
          <w:i w:val="0"/>
          <w:iCs w:val="0"/>
          <w:color w:val="auto"/>
          <w:sz w:val="21"/>
          <w:szCs w:val="15"/>
          <w:highlight w:val="none"/>
        </w:rPr>
      </w:pPr>
      <w:r>
        <w:rPr>
          <w:rFonts w:hint="eastAsia"/>
          <w:i w:val="0"/>
          <w:iCs w:val="0"/>
          <w:color w:val="auto"/>
          <w:sz w:val="21"/>
          <w:szCs w:val="15"/>
          <w:highlight w:val="none"/>
        </w:rPr>
        <w:t>应支持用户从本地上传当前车站的防汛作战底图。</w:t>
      </w:r>
    </w:p>
    <w:p w14:paraId="56D127BA">
      <w:pPr>
        <w:pStyle w:val="8"/>
        <w:rPr>
          <w:i w:val="0"/>
          <w:iCs w:val="0"/>
          <w:color w:val="auto"/>
          <w:sz w:val="21"/>
          <w:szCs w:val="20"/>
          <w:highlight w:val="none"/>
        </w:rPr>
      </w:pPr>
      <w:r>
        <w:rPr>
          <w:rFonts w:hint="eastAsia"/>
          <w:i w:val="0"/>
          <w:iCs w:val="0"/>
          <w:color w:val="auto"/>
          <w:sz w:val="21"/>
          <w:szCs w:val="20"/>
          <w:highlight w:val="none"/>
        </w:rPr>
        <w:t>口部类型上图标注：</w:t>
      </w:r>
    </w:p>
    <w:p w14:paraId="56D127BB">
      <w:pPr>
        <w:pStyle w:val="142"/>
        <w:ind w:firstLine="420"/>
        <w:rPr>
          <w:rFonts w:hint="eastAsia"/>
          <w:i w:val="0"/>
          <w:iCs w:val="0"/>
          <w:color w:val="auto"/>
          <w:sz w:val="21"/>
          <w:szCs w:val="15"/>
          <w:highlight w:val="none"/>
        </w:rPr>
      </w:pPr>
      <w:r>
        <w:rPr>
          <w:rFonts w:hint="eastAsia"/>
          <w:i w:val="0"/>
          <w:iCs w:val="0"/>
          <w:color w:val="auto"/>
          <w:sz w:val="21"/>
          <w:szCs w:val="15"/>
          <w:highlight w:val="none"/>
        </w:rPr>
        <w:t>应支持用户从口部目录通过拖拉拽的方式在作战图上标记。</w:t>
      </w:r>
    </w:p>
    <w:p w14:paraId="56D127BC">
      <w:pPr>
        <w:pStyle w:val="8"/>
        <w:rPr>
          <w:i w:val="0"/>
          <w:iCs w:val="0"/>
          <w:color w:val="auto"/>
          <w:sz w:val="21"/>
          <w:szCs w:val="20"/>
          <w:highlight w:val="none"/>
        </w:rPr>
      </w:pPr>
      <w:r>
        <w:rPr>
          <w:rFonts w:hint="eastAsia"/>
          <w:i w:val="0"/>
          <w:iCs w:val="0"/>
          <w:color w:val="auto"/>
          <w:sz w:val="21"/>
          <w:szCs w:val="20"/>
          <w:highlight w:val="none"/>
        </w:rPr>
        <w:t>水位传感器上图标注：</w:t>
      </w:r>
    </w:p>
    <w:p w14:paraId="56D127BD">
      <w:pPr>
        <w:pStyle w:val="142"/>
        <w:ind w:firstLine="420"/>
        <w:rPr>
          <w:rFonts w:hint="eastAsia"/>
          <w:i w:val="0"/>
          <w:iCs w:val="0"/>
          <w:color w:val="auto"/>
          <w:sz w:val="21"/>
          <w:szCs w:val="15"/>
          <w:highlight w:val="none"/>
        </w:rPr>
      </w:pPr>
      <w:r>
        <w:rPr>
          <w:rFonts w:hint="eastAsia"/>
          <w:i w:val="0"/>
          <w:iCs w:val="0"/>
          <w:color w:val="auto"/>
          <w:sz w:val="21"/>
          <w:szCs w:val="15"/>
          <w:highlight w:val="none"/>
        </w:rPr>
        <w:t>应支持用户从水位传感器目录通过拖拉拽的方式在作战图上标记。</w:t>
      </w:r>
    </w:p>
    <w:p w14:paraId="56D127BE">
      <w:pPr>
        <w:pStyle w:val="8"/>
        <w:rPr>
          <w:i w:val="0"/>
          <w:iCs w:val="0"/>
          <w:color w:val="auto"/>
          <w:sz w:val="21"/>
          <w:szCs w:val="20"/>
          <w:highlight w:val="none"/>
        </w:rPr>
      </w:pPr>
      <w:r>
        <w:rPr>
          <w:rFonts w:hint="eastAsia"/>
          <w:i w:val="0"/>
          <w:iCs w:val="0"/>
          <w:color w:val="auto"/>
          <w:sz w:val="21"/>
          <w:szCs w:val="20"/>
          <w:highlight w:val="none"/>
        </w:rPr>
        <w:t>车站应急疏散路线编辑：</w:t>
      </w:r>
    </w:p>
    <w:p w14:paraId="56D127BF">
      <w:pPr>
        <w:pStyle w:val="142"/>
        <w:ind w:firstLine="420"/>
        <w:rPr>
          <w:rFonts w:hint="eastAsia"/>
          <w:i w:val="0"/>
          <w:iCs w:val="0"/>
          <w:color w:val="auto"/>
          <w:sz w:val="21"/>
          <w:szCs w:val="15"/>
          <w:highlight w:val="none"/>
        </w:rPr>
      </w:pPr>
      <w:r>
        <w:rPr>
          <w:rFonts w:hint="eastAsia"/>
          <w:i w:val="0"/>
          <w:iCs w:val="0"/>
          <w:color w:val="auto"/>
          <w:sz w:val="21"/>
          <w:szCs w:val="15"/>
          <w:highlight w:val="none"/>
        </w:rPr>
        <w:t>应支持用户在作战图上绘制疏散路线段并进行保存，有助于后续在进行防汛态势推演的时候，根据拆解的路线进行相关计算分析。</w:t>
      </w:r>
    </w:p>
    <w:p w14:paraId="56D127C0">
      <w:pPr>
        <w:pStyle w:val="8"/>
        <w:rPr>
          <w:i w:val="0"/>
          <w:iCs w:val="0"/>
          <w:color w:val="auto"/>
          <w:sz w:val="21"/>
          <w:szCs w:val="20"/>
          <w:highlight w:val="none"/>
        </w:rPr>
      </w:pPr>
      <w:r>
        <w:rPr>
          <w:rFonts w:hint="eastAsia"/>
          <w:i w:val="0"/>
          <w:iCs w:val="0"/>
          <w:color w:val="auto"/>
          <w:sz w:val="21"/>
          <w:szCs w:val="20"/>
          <w:highlight w:val="none"/>
        </w:rPr>
        <w:t>新增车站口部：</w:t>
      </w:r>
    </w:p>
    <w:p w14:paraId="56D127C1">
      <w:pPr>
        <w:pStyle w:val="142"/>
        <w:ind w:firstLine="420"/>
        <w:rPr>
          <w:rFonts w:hint="eastAsia"/>
          <w:i w:val="0"/>
          <w:iCs w:val="0"/>
          <w:color w:val="auto"/>
          <w:sz w:val="21"/>
          <w:szCs w:val="15"/>
          <w:highlight w:val="none"/>
        </w:rPr>
      </w:pPr>
      <w:r>
        <w:rPr>
          <w:rFonts w:hint="eastAsia"/>
          <w:i w:val="0"/>
          <w:iCs w:val="0"/>
          <w:color w:val="auto"/>
          <w:sz w:val="21"/>
          <w:szCs w:val="15"/>
          <w:highlight w:val="none"/>
        </w:rPr>
        <w:t>通过使用GIS工具，应支持用户新增车站口部图例并编辑、保存口部信息。</w:t>
      </w:r>
    </w:p>
    <w:p w14:paraId="56D127C2">
      <w:pPr>
        <w:pStyle w:val="8"/>
        <w:rPr>
          <w:i w:val="0"/>
          <w:iCs w:val="0"/>
          <w:color w:val="auto"/>
          <w:sz w:val="21"/>
          <w:szCs w:val="20"/>
          <w:highlight w:val="none"/>
        </w:rPr>
      </w:pPr>
      <w:r>
        <w:rPr>
          <w:rFonts w:hint="eastAsia"/>
          <w:i w:val="0"/>
          <w:iCs w:val="0"/>
          <w:color w:val="auto"/>
          <w:sz w:val="21"/>
          <w:szCs w:val="20"/>
          <w:highlight w:val="none"/>
        </w:rPr>
        <w:t>新建集水井：</w:t>
      </w:r>
    </w:p>
    <w:p w14:paraId="56D127C3">
      <w:pPr>
        <w:pStyle w:val="142"/>
        <w:ind w:firstLine="420"/>
        <w:rPr>
          <w:rFonts w:hint="eastAsia"/>
          <w:i w:val="0"/>
          <w:iCs w:val="0"/>
          <w:color w:val="auto"/>
          <w:sz w:val="21"/>
          <w:szCs w:val="15"/>
          <w:highlight w:val="none"/>
        </w:rPr>
      </w:pPr>
      <w:r>
        <w:rPr>
          <w:rFonts w:hint="eastAsia"/>
          <w:i w:val="0"/>
          <w:iCs w:val="0"/>
          <w:color w:val="auto"/>
          <w:sz w:val="21"/>
          <w:szCs w:val="15"/>
          <w:highlight w:val="none"/>
        </w:rPr>
        <w:t>通过使用GIS工具，应支持用户新建集水井并编辑集水井信息和标注图上位置。</w:t>
      </w:r>
    </w:p>
    <w:p w14:paraId="56D127C4">
      <w:pPr>
        <w:pStyle w:val="8"/>
        <w:rPr>
          <w:i w:val="0"/>
          <w:iCs w:val="0"/>
          <w:color w:val="auto"/>
          <w:sz w:val="21"/>
          <w:szCs w:val="20"/>
          <w:highlight w:val="none"/>
        </w:rPr>
      </w:pPr>
      <w:r>
        <w:rPr>
          <w:rFonts w:hint="eastAsia"/>
          <w:i w:val="0"/>
          <w:iCs w:val="0"/>
          <w:color w:val="auto"/>
          <w:sz w:val="21"/>
          <w:szCs w:val="20"/>
          <w:highlight w:val="none"/>
        </w:rPr>
        <w:t>底图编辑：</w:t>
      </w:r>
    </w:p>
    <w:p w14:paraId="56D127C5">
      <w:pPr>
        <w:pStyle w:val="142"/>
        <w:ind w:firstLine="420"/>
        <w:rPr>
          <w:rFonts w:hint="eastAsia"/>
          <w:i w:val="0"/>
          <w:iCs w:val="0"/>
          <w:color w:val="auto"/>
          <w:sz w:val="21"/>
          <w:szCs w:val="15"/>
          <w:highlight w:val="none"/>
        </w:rPr>
      </w:pPr>
      <w:r>
        <w:rPr>
          <w:rFonts w:hint="eastAsia"/>
          <w:i w:val="0"/>
          <w:iCs w:val="0"/>
          <w:color w:val="auto"/>
          <w:sz w:val="21"/>
          <w:szCs w:val="15"/>
          <w:highlight w:val="none"/>
        </w:rPr>
        <w:t>应支持用户通过使用圆、矩形、箭头线段、普通线段、文本和橡皮擦等元素对底图进行编辑，通过拾色器变换作图工具颜色。</w:t>
      </w:r>
    </w:p>
    <w:p w14:paraId="56D127C6">
      <w:pPr>
        <w:pStyle w:val="6"/>
        <w:ind w:left="0"/>
        <w:rPr>
          <w:i w:val="0"/>
          <w:iCs w:val="0"/>
          <w:color w:val="auto"/>
          <w:sz w:val="21"/>
          <w:szCs w:val="21"/>
          <w:highlight w:val="none"/>
        </w:rPr>
      </w:pPr>
      <w:r>
        <w:rPr>
          <w:rFonts w:hint="eastAsia"/>
          <w:i w:val="0"/>
          <w:iCs w:val="0"/>
          <w:color w:val="auto"/>
          <w:sz w:val="21"/>
          <w:szCs w:val="21"/>
          <w:highlight w:val="none"/>
        </w:rPr>
        <w:t>车站相邻区间排水图功能</w:t>
      </w:r>
    </w:p>
    <w:p w14:paraId="56D127C7">
      <w:pPr>
        <w:pStyle w:val="142"/>
        <w:ind w:firstLine="420"/>
        <w:rPr>
          <w:rFonts w:hint="eastAsia"/>
          <w:i w:val="0"/>
          <w:iCs w:val="0"/>
          <w:color w:val="auto"/>
          <w:sz w:val="21"/>
          <w:szCs w:val="15"/>
          <w:highlight w:val="none"/>
        </w:rPr>
      </w:pPr>
      <w:r>
        <w:rPr>
          <w:rFonts w:hint="eastAsia"/>
          <w:i w:val="0"/>
          <w:iCs w:val="0"/>
          <w:color w:val="auto"/>
          <w:sz w:val="21"/>
          <w:szCs w:val="15"/>
          <w:highlight w:val="none"/>
        </w:rPr>
        <w:t>面向车站用户，智慧地铁管控平台提供车站相邻区间排水示意图功能。</w:t>
      </w:r>
    </w:p>
    <w:p w14:paraId="56D127C8">
      <w:pPr>
        <w:pStyle w:val="7"/>
        <w:rPr>
          <w:rFonts w:hint="eastAsia"/>
          <w:i w:val="0"/>
          <w:iCs w:val="0"/>
          <w:color w:val="auto"/>
          <w:sz w:val="21"/>
          <w:szCs w:val="21"/>
          <w:highlight w:val="none"/>
        </w:rPr>
      </w:pPr>
      <w:r>
        <w:rPr>
          <w:rFonts w:hint="eastAsia"/>
          <w:i w:val="0"/>
          <w:iCs w:val="0"/>
          <w:color w:val="auto"/>
          <w:sz w:val="21"/>
          <w:szCs w:val="21"/>
          <w:highlight w:val="none"/>
        </w:rPr>
        <w:t>支持查询显示区间防汛概况</w:t>
      </w:r>
    </w:p>
    <w:p w14:paraId="56D127C9">
      <w:pPr>
        <w:pStyle w:val="142"/>
        <w:ind w:firstLine="420"/>
        <w:rPr>
          <w:rFonts w:hint="eastAsia"/>
          <w:i w:val="0"/>
          <w:iCs w:val="0"/>
          <w:color w:val="auto"/>
          <w:sz w:val="21"/>
          <w:szCs w:val="15"/>
          <w:highlight w:val="none"/>
        </w:rPr>
      </w:pPr>
      <w:r>
        <w:rPr>
          <w:rFonts w:hint="eastAsia"/>
          <w:i w:val="0"/>
          <w:iCs w:val="0"/>
          <w:color w:val="auto"/>
          <w:sz w:val="21"/>
          <w:szCs w:val="15"/>
          <w:highlight w:val="none"/>
        </w:rPr>
        <w:t>展示当前车站区间防汛的概况信息，方便用户总览当前区间防汛条件。示意图</w:t>
      </w:r>
      <w:r>
        <w:rPr>
          <w:rFonts w:hint="eastAsia"/>
          <w:i w:val="0"/>
          <w:iCs w:val="0"/>
          <w:color w:val="auto"/>
          <w:sz w:val="21"/>
          <w:szCs w:val="15"/>
          <w:highlight w:val="none"/>
          <w:lang w:val="en-US" w:eastAsia="zh-CN"/>
        </w:rPr>
        <w:t>应</w:t>
      </w:r>
      <w:r>
        <w:rPr>
          <w:rFonts w:hint="eastAsia"/>
          <w:i w:val="0"/>
          <w:iCs w:val="0"/>
          <w:color w:val="auto"/>
          <w:sz w:val="21"/>
          <w:szCs w:val="15"/>
          <w:highlight w:val="none"/>
        </w:rPr>
        <w:t>包括以下信息：</w:t>
      </w:r>
    </w:p>
    <w:p w14:paraId="56D127CA">
      <w:pPr>
        <w:pStyle w:val="142"/>
        <w:ind w:firstLine="420"/>
        <w:rPr>
          <w:rFonts w:hint="eastAsia"/>
          <w:i w:val="0"/>
          <w:iCs w:val="0"/>
          <w:color w:val="auto"/>
          <w:sz w:val="21"/>
          <w:szCs w:val="15"/>
          <w:highlight w:val="none"/>
        </w:rPr>
      </w:pPr>
      <w:r>
        <w:rPr>
          <w:rFonts w:hint="eastAsia"/>
          <w:i w:val="0"/>
          <w:iCs w:val="0"/>
          <w:color w:val="auto"/>
          <w:sz w:val="21"/>
          <w:szCs w:val="15"/>
          <w:highlight w:val="none"/>
        </w:rPr>
        <w:t>1）支持查询显示区间汛情措施：应支持根据区间泵房的异常状态</w:t>
      </w:r>
      <w:r>
        <w:rPr>
          <w:rFonts w:hint="eastAsia"/>
          <w:i w:val="0"/>
          <w:iCs w:val="0"/>
          <w:color w:val="auto"/>
          <w:sz w:val="21"/>
          <w:szCs w:val="15"/>
          <w:highlight w:val="none"/>
          <w:lang w:eastAsia="zh-CN"/>
        </w:rPr>
        <w:t>，</w:t>
      </w:r>
      <w:r>
        <w:rPr>
          <w:rFonts w:hint="eastAsia"/>
          <w:i w:val="0"/>
          <w:iCs w:val="0"/>
          <w:color w:val="auto"/>
          <w:sz w:val="21"/>
          <w:szCs w:val="15"/>
          <w:highlight w:val="none"/>
        </w:rPr>
        <w:t>展示对应或全部的应对措施，为车站用户应急指挥决策提供辅助决策信息。</w:t>
      </w:r>
    </w:p>
    <w:p w14:paraId="56D127CB">
      <w:pPr>
        <w:pStyle w:val="142"/>
        <w:ind w:firstLine="420"/>
        <w:rPr>
          <w:rFonts w:hint="eastAsia"/>
          <w:i w:val="0"/>
          <w:iCs w:val="0"/>
          <w:color w:val="auto"/>
          <w:sz w:val="21"/>
          <w:szCs w:val="15"/>
          <w:highlight w:val="none"/>
        </w:rPr>
      </w:pPr>
      <w:r>
        <w:rPr>
          <w:rFonts w:hint="eastAsia"/>
          <w:i w:val="0"/>
          <w:iCs w:val="0"/>
          <w:color w:val="auto"/>
          <w:sz w:val="21"/>
          <w:szCs w:val="15"/>
          <w:highlight w:val="none"/>
        </w:rPr>
        <w:t>2）车站汛情一键上报：车站用户若在区间发现汛情，系统应支持其在区间排水图界面进行车站汛情一键上报，并联动调度直拨电话，自动播放汛情通报语音。</w:t>
      </w:r>
    </w:p>
    <w:p w14:paraId="56D127CC">
      <w:pPr>
        <w:pStyle w:val="7"/>
        <w:rPr>
          <w:rFonts w:hint="eastAsia"/>
          <w:i w:val="0"/>
          <w:iCs w:val="0"/>
          <w:color w:val="auto"/>
          <w:sz w:val="21"/>
          <w:szCs w:val="21"/>
          <w:highlight w:val="none"/>
        </w:rPr>
      </w:pPr>
      <w:r>
        <w:rPr>
          <w:rFonts w:hint="eastAsia"/>
          <w:i w:val="0"/>
          <w:iCs w:val="0"/>
          <w:color w:val="auto"/>
          <w:sz w:val="21"/>
          <w:szCs w:val="21"/>
          <w:highlight w:val="none"/>
        </w:rPr>
        <w:t>显示区间排水图图层信息</w:t>
      </w:r>
    </w:p>
    <w:p w14:paraId="56D127CD">
      <w:pPr>
        <w:pStyle w:val="142"/>
        <w:ind w:firstLine="420"/>
        <w:rPr>
          <w:rFonts w:hint="eastAsia"/>
          <w:i w:val="0"/>
          <w:iCs w:val="0"/>
          <w:color w:val="auto"/>
          <w:sz w:val="21"/>
          <w:szCs w:val="15"/>
          <w:highlight w:val="none"/>
        </w:rPr>
      </w:pPr>
      <w:r>
        <w:rPr>
          <w:rFonts w:hint="eastAsia"/>
          <w:i w:val="0"/>
          <w:iCs w:val="0"/>
          <w:color w:val="auto"/>
          <w:sz w:val="21"/>
          <w:szCs w:val="15"/>
          <w:highlight w:val="none"/>
        </w:rPr>
        <w:t>在区间排水图底图的基础上，应支持车站用户添加疏散路线、水泵、摄像头、防淹门、排水管等图层信息，形成一张用于作战分析和指挥的图。同时支持用户查看对应的参数或信息面板。</w:t>
      </w:r>
    </w:p>
    <w:p w14:paraId="56D127CE">
      <w:pPr>
        <w:pStyle w:val="142"/>
        <w:ind w:firstLine="420"/>
        <w:rPr>
          <w:rFonts w:hint="eastAsia" w:eastAsia="仿宋"/>
          <w:i w:val="0"/>
          <w:iCs w:val="0"/>
          <w:color w:val="auto"/>
          <w:sz w:val="21"/>
          <w:szCs w:val="15"/>
          <w:highlight w:val="none"/>
          <w:lang w:eastAsia="zh-CN"/>
        </w:rPr>
      </w:pPr>
      <w:r>
        <w:rPr>
          <w:rFonts w:hint="eastAsia"/>
          <w:i w:val="0"/>
          <w:iCs w:val="0"/>
          <w:color w:val="auto"/>
          <w:sz w:val="21"/>
          <w:szCs w:val="15"/>
          <w:highlight w:val="none"/>
        </w:rPr>
        <w:t>水泵根据实际位置在区间排水图上进行显示，且系统应支持用户查看对应水泵的有效容积、潜污原型号、功率、排水速率、水位状态等信息</w:t>
      </w:r>
      <w:r>
        <w:rPr>
          <w:rFonts w:hint="eastAsia"/>
          <w:i w:val="0"/>
          <w:iCs w:val="0"/>
          <w:color w:val="auto"/>
          <w:sz w:val="21"/>
          <w:szCs w:val="15"/>
          <w:highlight w:val="none"/>
          <w:lang w:eastAsia="zh-CN"/>
        </w:rPr>
        <w:t>。</w:t>
      </w:r>
    </w:p>
    <w:p w14:paraId="56D127CF">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eastAsia="zh-CN"/>
        </w:rPr>
        <w:t>如防淹门附近有集水井，则</w:t>
      </w:r>
      <w:r>
        <w:rPr>
          <w:rFonts w:hint="eastAsia"/>
          <w:i w:val="0"/>
          <w:iCs w:val="0"/>
          <w:color w:val="auto"/>
          <w:sz w:val="21"/>
          <w:szCs w:val="15"/>
          <w:highlight w:val="none"/>
        </w:rPr>
        <w:t>可以关联防淹门对应的摄像头监控画面</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如有</w:t>
      </w:r>
      <w:r>
        <w:rPr>
          <w:rFonts w:hint="eastAsia"/>
          <w:i w:val="0"/>
          <w:iCs w:val="0"/>
          <w:color w:val="auto"/>
          <w:sz w:val="21"/>
          <w:szCs w:val="15"/>
          <w:highlight w:val="none"/>
          <w:lang w:eastAsia="zh-CN"/>
        </w:rPr>
        <w:t>）</w:t>
      </w:r>
      <w:r>
        <w:rPr>
          <w:rFonts w:hint="eastAsia"/>
          <w:i w:val="0"/>
          <w:iCs w:val="0"/>
          <w:color w:val="auto"/>
          <w:sz w:val="21"/>
          <w:szCs w:val="15"/>
          <w:highlight w:val="none"/>
        </w:rPr>
        <w:t>，并且可以标记该位置水位状态。</w:t>
      </w:r>
    </w:p>
    <w:p w14:paraId="56D127D0">
      <w:pPr>
        <w:pStyle w:val="142"/>
        <w:ind w:firstLine="420"/>
        <w:rPr>
          <w:rFonts w:hint="eastAsia"/>
          <w:i w:val="0"/>
          <w:iCs w:val="0"/>
          <w:color w:val="auto"/>
          <w:sz w:val="21"/>
          <w:szCs w:val="15"/>
          <w:highlight w:val="none"/>
        </w:rPr>
      </w:pPr>
      <w:r>
        <w:rPr>
          <w:rFonts w:hint="eastAsia"/>
          <w:i w:val="0"/>
          <w:iCs w:val="0"/>
          <w:color w:val="auto"/>
          <w:sz w:val="21"/>
          <w:szCs w:val="15"/>
          <w:highlight w:val="none"/>
        </w:rPr>
        <w:t>对于各图层信息，系统应支持用户筛选展示，以便快捷地查阅信息。</w:t>
      </w:r>
    </w:p>
    <w:p w14:paraId="56D127D1">
      <w:pPr>
        <w:pStyle w:val="7"/>
        <w:rPr>
          <w:rFonts w:hint="eastAsia"/>
          <w:i w:val="0"/>
          <w:iCs w:val="0"/>
          <w:color w:val="auto"/>
          <w:sz w:val="21"/>
          <w:szCs w:val="21"/>
          <w:highlight w:val="none"/>
        </w:rPr>
      </w:pPr>
      <w:r>
        <w:rPr>
          <w:rFonts w:hint="eastAsia"/>
          <w:i w:val="0"/>
          <w:iCs w:val="0"/>
          <w:color w:val="auto"/>
          <w:sz w:val="21"/>
          <w:szCs w:val="21"/>
          <w:highlight w:val="none"/>
        </w:rPr>
        <w:t>车站区间排水图编辑功能</w:t>
      </w:r>
    </w:p>
    <w:p w14:paraId="56D127D2">
      <w:pPr>
        <w:pStyle w:val="142"/>
        <w:ind w:firstLine="420"/>
        <w:rPr>
          <w:rFonts w:hint="eastAsia"/>
          <w:i w:val="0"/>
          <w:iCs w:val="0"/>
          <w:color w:val="auto"/>
          <w:sz w:val="21"/>
          <w:szCs w:val="15"/>
          <w:highlight w:val="none"/>
        </w:rPr>
      </w:pPr>
      <w:r>
        <w:rPr>
          <w:rFonts w:hint="eastAsia"/>
          <w:i w:val="0"/>
          <w:iCs w:val="0"/>
          <w:color w:val="auto"/>
          <w:sz w:val="21"/>
          <w:szCs w:val="15"/>
          <w:highlight w:val="none"/>
        </w:rPr>
        <w:t>应支持车站用户在区间排水页面自定义编辑车站区间排水图，可编辑的范围应包括：</w:t>
      </w:r>
    </w:p>
    <w:p w14:paraId="56D127D3">
      <w:pPr>
        <w:pStyle w:val="8"/>
        <w:rPr>
          <w:i w:val="0"/>
          <w:iCs w:val="0"/>
          <w:color w:val="auto"/>
          <w:sz w:val="21"/>
          <w:szCs w:val="20"/>
          <w:highlight w:val="none"/>
        </w:rPr>
      </w:pPr>
      <w:r>
        <w:rPr>
          <w:rFonts w:hint="eastAsia"/>
          <w:i w:val="0"/>
          <w:iCs w:val="0"/>
          <w:color w:val="auto"/>
          <w:sz w:val="21"/>
          <w:szCs w:val="20"/>
          <w:highlight w:val="none"/>
        </w:rPr>
        <w:t>编辑区间防汛概况：</w:t>
      </w:r>
    </w:p>
    <w:p w14:paraId="56D127D4">
      <w:pPr>
        <w:pStyle w:val="142"/>
        <w:ind w:firstLine="420"/>
        <w:rPr>
          <w:rFonts w:hint="eastAsia"/>
          <w:i w:val="0"/>
          <w:iCs w:val="0"/>
          <w:color w:val="auto"/>
          <w:sz w:val="21"/>
          <w:szCs w:val="15"/>
          <w:highlight w:val="none"/>
        </w:rPr>
      </w:pPr>
      <w:r>
        <w:rPr>
          <w:rFonts w:hint="eastAsia"/>
          <w:i w:val="0"/>
          <w:iCs w:val="0"/>
          <w:color w:val="auto"/>
          <w:sz w:val="21"/>
          <w:szCs w:val="15"/>
          <w:highlight w:val="none"/>
        </w:rPr>
        <w:t>系统应支持用户对区间防汛的概况信息进行编辑修改，支持将区间标记“本区间为线路防洪关注点”。区间防汛概况编辑内容包括区间水泵（组）数量、区间摄像机数量（</w:t>
      </w:r>
      <w:r>
        <w:rPr>
          <w:rFonts w:hint="eastAsia"/>
          <w:i w:val="0"/>
          <w:iCs w:val="0"/>
          <w:color w:val="auto"/>
          <w:sz w:val="21"/>
          <w:szCs w:val="15"/>
          <w:highlight w:val="none"/>
          <w:lang w:val="en-US"/>
        </w:rPr>
        <w:t>若有</w:t>
      </w:r>
      <w:r>
        <w:rPr>
          <w:rFonts w:hint="eastAsia"/>
          <w:i w:val="0"/>
          <w:iCs w:val="0"/>
          <w:color w:val="auto"/>
          <w:sz w:val="21"/>
          <w:szCs w:val="15"/>
          <w:highlight w:val="none"/>
        </w:rPr>
        <w:t>）等信息。</w:t>
      </w:r>
    </w:p>
    <w:p w14:paraId="56D127D5">
      <w:pPr>
        <w:pStyle w:val="8"/>
        <w:rPr>
          <w:i w:val="0"/>
          <w:iCs w:val="0"/>
          <w:color w:val="auto"/>
          <w:sz w:val="21"/>
          <w:szCs w:val="20"/>
          <w:highlight w:val="none"/>
        </w:rPr>
      </w:pPr>
      <w:r>
        <w:rPr>
          <w:rFonts w:hint="eastAsia"/>
          <w:i w:val="0"/>
          <w:iCs w:val="0"/>
          <w:color w:val="auto"/>
          <w:sz w:val="21"/>
          <w:szCs w:val="20"/>
          <w:highlight w:val="none"/>
        </w:rPr>
        <w:t>上传区间排水图底图：</w:t>
      </w:r>
    </w:p>
    <w:p w14:paraId="56D127D6">
      <w:pPr>
        <w:pStyle w:val="142"/>
        <w:ind w:firstLine="420"/>
        <w:rPr>
          <w:rFonts w:hint="eastAsia"/>
          <w:i w:val="0"/>
          <w:iCs w:val="0"/>
          <w:color w:val="auto"/>
          <w:sz w:val="21"/>
          <w:szCs w:val="15"/>
          <w:highlight w:val="none"/>
        </w:rPr>
      </w:pPr>
      <w:r>
        <w:rPr>
          <w:rFonts w:hint="eastAsia"/>
          <w:i w:val="0"/>
          <w:iCs w:val="0"/>
          <w:color w:val="auto"/>
          <w:sz w:val="21"/>
          <w:szCs w:val="15"/>
          <w:highlight w:val="none"/>
        </w:rPr>
        <w:t>系统应支持车站用户从本地上传区间排水图的底图。</w:t>
      </w:r>
    </w:p>
    <w:p w14:paraId="56D127D7">
      <w:pPr>
        <w:pStyle w:val="8"/>
        <w:rPr>
          <w:i w:val="0"/>
          <w:iCs w:val="0"/>
          <w:color w:val="auto"/>
          <w:sz w:val="21"/>
          <w:szCs w:val="20"/>
          <w:highlight w:val="none"/>
        </w:rPr>
      </w:pPr>
      <w:r>
        <w:rPr>
          <w:rFonts w:hint="eastAsia"/>
          <w:i w:val="0"/>
          <w:iCs w:val="0"/>
          <w:color w:val="auto"/>
          <w:sz w:val="21"/>
          <w:szCs w:val="20"/>
          <w:highlight w:val="none"/>
        </w:rPr>
        <w:t>区间</w:t>
      </w:r>
      <w:r>
        <w:rPr>
          <w:rFonts w:hint="eastAsia"/>
          <w:i w:val="0"/>
          <w:iCs w:val="0"/>
          <w:color w:val="auto"/>
          <w:sz w:val="21"/>
          <w:szCs w:val="20"/>
          <w:highlight w:val="none"/>
          <w:lang w:val="en-US" w:eastAsia="zh-CN"/>
        </w:rPr>
        <w:t>泵房的集水井</w:t>
      </w:r>
      <w:r>
        <w:rPr>
          <w:rFonts w:hint="eastAsia"/>
          <w:i w:val="0"/>
          <w:iCs w:val="0"/>
          <w:color w:val="auto"/>
          <w:sz w:val="21"/>
          <w:szCs w:val="20"/>
          <w:highlight w:val="none"/>
        </w:rPr>
        <w:t>水位传感器上图：</w:t>
      </w:r>
    </w:p>
    <w:p w14:paraId="56D127D8">
      <w:pPr>
        <w:pStyle w:val="142"/>
        <w:ind w:firstLine="420"/>
        <w:rPr>
          <w:rFonts w:hint="eastAsia"/>
          <w:i w:val="0"/>
          <w:iCs w:val="0"/>
          <w:color w:val="auto"/>
          <w:sz w:val="21"/>
          <w:szCs w:val="15"/>
          <w:highlight w:val="none"/>
        </w:rPr>
      </w:pPr>
      <w:r>
        <w:rPr>
          <w:rFonts w:hint="eastAsia"/>
          <w:i w:val="0"/>
          <w:iCs w:val="0"/>
          <w:color w:val="auto"/>
          <w:sz w:val="21"/>
          <w:szCs w:val="15"/>
          <w:highlight w:val="none"/>
        </w:rPr>
        <w:t>应支持用户从区间</w:t>
      </w:r>
      <w:r>
        <w:rPr>
          <w:rFonts w:hint="eastAsia"/>
          <w:i w:val="0"/>
          <w:iCs w:val="0"/>
          <w:color w:val="auto"/>
          <w:sz w:val="21"/>
          <w:szCs w:val="15"/>
          <w:highlight w:val="none"/>
          <w:lang w:val="en-US" w:eastAsia="zh-CN"/>
        </w:rPr>
        <w:t>泵房的集水井</w:t>
      </w:r>
      <w:r>
        <w:rPr>
          <w:rFonts w:hint="eastAsia"/>
          <w:i w:val="0"/>
          <w:iCs w:val="0"/>
          <w:color w:val="auto"/>
          <w:sz w:val="21"/>
          <w:szCs w:val="15"/>
          <w:highlight w:val="none"/>
        </w:rPr>
        <w:t>水位传感器目录通过拖拉拽的方式在排水图上标记。</w:t>
      </w:r>
    </w:p>
    <w:p w14:paraId="56D127D9">
      <w:pPr>
        <w:pStyle w:val="8"/>
        <w:rPr>
          <w:i w:val="0"/>
          <w:iCs w:val="0"/>
          <w:color w:val="auto"/>
          <w:sz w:val="21"/>
          <w:szCs w:val="20"/>
          <w:highlight w:val="none"/>
        </w:rPr>
      </w:pPr>
      <w:r>
        <w:rPr>
          <w:rFonts w:hint="eastAsia"/>
          <w:i w:val="0"/>
          <w:iCs w:val="0"/>
          <w:color w:val="auto"/>
          <w:sz w:val="21"/>
          <w:szCs w:val="20"/>
          <w:highlight w:val="none"/>
        </w:rPr>
        <w:t>查询展示应急疏散路线：</w:t>
      </w:r>
    </w:p>
    <w:p w14:paraId="56D127D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基于系统自动描绘的轨道路线作为疏散路线，在目录中显示应急疏散路线。</w:t>
      </w:r>
    </w:p>
    <w:p w14:paraId="56D127DB">
      <w:pPr>
        <w:pStyle w:val="8"/>
        <w:rPr>
          <w:i w:val="0"/>
          <w:iCs w:val="0"/>
          <w:color w:val="auto"/>
          <w:sz w:val="21"/>
          <w:szCs w:val="20"/>
          <w:highlight w:val="none"/>
        </w:rPr>
      </w:pPr>
      <w:r>
        <w:rPr>
          <w:rFonts w:hint="eastAsia"/>
          <w:i w:val="0"/>
          <w:iCs w:val="0"/>
          <w:color w:val="auto"/>
          <w:sz w:val="21"/>
          <w:szCs w:val="20"/>
          <w:highlight w:val="none"/>
        </w:rPr>
        <w:t>区间摄像机上图：</w:t>
      </w:r>
    </w:p>
    <w:p w14:paraId="56D127D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应支持用户从区间摄像机（若有）目录通过拖拉拽的方式在排水图上标记。</w:t>
      </w:r>
    </w:p>
    <w:p w14:paraId="56D127DD">
      <w:pPr>
        <w:pStyle w:val="8"/>
        <w:rPr>
          <w:i w:val="0"/>
          <w:iCs w:val="0"/>
          <w:color w:val="auto"/>
          <w:sz w:val="21"/>
          <w:szCs w:val="20"/>
          <w:highlight w:val="none"/>
        </w:rPr>
      </w:pPr>
      <w:r>
        <w:rPr>
          <w:rFonts w:hint="eastAsia"/>
          <w:i w:val="0"/>
          <w:iCs w:val="0"/>
          <w:color w:val="auto"/>
          <w:sz w:val="21"/>
          <w:szCs w:val="20"/>
          <w:highlight w:val="none"/>
        </w:rPr>
        <w:t>防淹门上图：</w:t>
      </w:r>
    </w:p>
    <w:p w14:paraId="56D127D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应支持用户从防淹门目录通过拖拉拽的方式在排水图上标记。</w:t>
      </w:r>
    </w:p>
    <w:p w14:paraId="56D127DF">
      <w:pPr>
        <w:pStyle w:val="6"/>
        <w:ind w:left="0"/>
        <w:rPr>
          <w:i w:val="0"/>
          <w:iCs w:val="0"/>
          <w:color w:val="auto"/>
          <w:sz w:val="21"/>
          <w:szCs w:val="21"/>
          <w:highlight w:val="none"/>
        </w:rPr>
      </w:pPr>
      <w:r>
        <w:rPr>
          <w:rFonts w:hint="eastAsia"/>
          <w:i w:val="0"/>
          <w:iCs w:val="0"/>
          <w:color w:val="auto"/>
          <w:sz w:val="21"/>
          <w:szCs w:val="21"/>
          <w:highlight w:val="none"/>
        </w:rPr>
        <w:t>车站排水图功能</w:t>
      </w:r>
    </w:p>
    <w:p w14:paraId="56D127E0">
      <w:pPr>
        <w:pStyle w:val="7"/>
        <w:rPr>
          <w:rFonts w:hint="eastAsia"/>
          <w:i w:val="0"/>
          <w:iCs w:val="0"/>
          <w:color w:val="auto"/>
          <w:highlight w:val="none"/>
        </w:rPr>
      </w:pPr>
      <w:r>
        <w:rPr>
          <w:rFonts w:hint="eastAsia" w:ascii="Times New Roman" w:hAnsi="Times New Roman"/>
          <w:bCs w:val="0"/>
          <w:i w:val="0"/>
          <w:iCs w:val="0"/>
          <w:color w:val="auto"/>
          <w:sz w:val="21"/>
          <w:szCs w:val="15"/>
          <w:highlight w:val="none"/>
        </w:rPr>
        <w:t>显示车站卫星地图</w:t>
      </w:r>
      <w:r>
        <w:rPr>
          <w:rFonts w:ascii="Times New Roman" w:hAnsi="Times New Roman"/>
          <w:bCs w:val="0"/>
          <w:i w:val="0"/>
          <w:iCs w:val="0"/>
          <w:color w:val="auto"/>
          <w:sz w:val="21"/>
          <w:szCs w:val="15"/>
          <w:highlight w:val="none"/>
        </w:rPr>
        <w:t>GIS</w:t>
      </w:r>
      <w:r>
        <w:rPr>
          <w:rFonts w:hint="eastAsia" w:ascii="Times New Roman" w:hAnsi="Times New Roman"/>
          <w:bCs w:val="0"/>
          <w:i w:val="0"/>
          <w:iCs w:val="0"/>
          <w:color w:val="auto"/>
          <w:sz w:val="21"/>
          <w:szCs w:val="15"/>
          <w:highlight w:val="none"/>
        </w:rPr>
        <w:t>图层信息</w:t>
      </w:r>
    </w:p>
    <w:p w14:paraId="56D127E1">
      <w:pPr>
        <w:pStyle w:val="142"/>
        <w:ind w:firstLine="420"/>
        <w:rPr>
          <w:i w:val="0"/>
          <w:iCs w:val="0"/>
          <w:color w:val="auto"/>
          <w:sz w:val="21"/>
          <w:szCs w:val="15"/>
          <w:highlight w:val="none"/>
        </w:rPr>
      </w:pPr>
      <w:r>
        <w:rPr>
          <w:rFonts w:hint="eastAsia"/>
          <w:i w:val="0"/>
          <w:iCs w:val="0"/>
          <w:color w:val="auto"/>
          <w:sz w:val="21"/>
          <w:szCs w:val="15"/>
          <w:highlight w:val="none"/>
        </w:rPr>
        <w:t>系统应支持用户查看车站卫星地图，卫星地图还应显示</w:t>
      </w:r>
      <w:r>
        <w:rPr>
          <w:rFonts w:hint="eastAsia"/>
          <w:i w:val="0"/>
          <w:iCs w:val="0"/>
          <w:color w:val="auto"/>
          <w:sz w:val="21"/>
          <w:szCs w:val="15"/>
          <w:highlight w:val="none"/>
          <w:lang w:val="en-US" w:eastAsia="zh-CN"/>
        </w:rPr>
        <w:t>污水井</w:t>
      </w:r>
      <w:r>
        <w:rPr>
          <w:rFonts w:hint="eastAsia"/>
          <w:i w:val="0"/>
          <w:iCs w:val="0"/>
          <w:color w:val="auto"/>
          <w:sz w:val="21"/>
          <w:szCs w:val="15"/>
          <w:highlight w:val="none"/>
        </w:rPr>
        <w:t>、检查井、DN300mm</w:t>
      </w:r>
      <w:r>
        <w:rPr>
          <w:rFonts w:hint="eastAsia"/>
          <w:i w:val="0"/>
          <w:iCs w:val="0"/>
          <w:color w:val="auto"/>
          <w:sz w:val="21"/>
          <w:szCs w:val="15"/>
          <w:highlight w:val="none"/>
          <w:lang w:val="en-US" w:eastAsia="zh-CN"/>
        </w:rPr>
        <w:t>排水管</w:t>
      </w:r>
      <w:r>
        <w:rPr>
          <w:rFonts w:hint="eastAsia"/>
          <w:i w:val="0"/>
          <w:iCs w:val="0"/>
          <w:color w:val="auto"/>
          <w:sz w:val="21"/>
          <w:szCs w:val="15"/>
          <w:highlight w:val="none"/>
        </w:rPr>
        <w:t>、DN400mm</w:t>
      </w:r>
      <w:r>
        <w:rPr>
          <w:rFonts w:hint="eastAsia"/>
          <w:i w:val="0"/>
          <w:iCs w:val="0"/>
          <w:color w:val="auto"/>
          <w:sz w:val="21"/>
          <w:szCs w:val="15"/>
          <w:highlight w:val="none"/>
          <w:lang w:val="en-US" w:eastAsia="zh-CN"/>
        </w:rPr>
        <w:t>排水管</w:t>
      </w:r>
      <w:r>
        <w:rPr>
          <w:rFonts w:hint="eastAsia"/>
          <w:i w:val="0"/>
          <w:iCs w:val="0"/>
          <w:color w:val="auto"/>
          <w:sz w:val="21"/>
          <w:szCs w:val="15"/>
          <w:highlight w:val="none"/>
        </w:rPr>
        <w:t>、压力消能井和市政井等信息。</w:t>
      </w:r>
    </w:p>
    <w:p w14:paraId="56D127E2">
      <w:pPr>
        <w:pStyle w:val="7"/>
        <w:rPr>
          <w:rFonts w:hint="eastAsia"/>
          <w:i w:val="0"/>
          <w:iCs w:val="0"/>
          <w:color w:val="auto"/>
          <w:highlight w:val="none"/>
        </w:rPr>
      </w:pPr>
      <w:r>
        <w:rPr>
          <w:rFonts w:hint="eastAsia" w:ascii="Times New Roman" w:hAnsi="Times New Roman"/>
          <w:bCs w:val="0"/>
          <w:i w:val="0"/>
          <w:iCs w:val="0"/>
          <w:color w:val="auto"/>
          <w:sz w:val="21"/>
          <w:szCs w:val="15"/>
          <w:highlight w:val="none"/>
        </w:rPr>
        <w:t>编辑车站卫星图</w:t>
      </w:r>
      <w:r>
        <w:rPr>
          <w:rFonts w:ascii="Times New Roman" w:hAnsi="Times New Roman"/>
          <w:bCs w:val="0"/>
          <w:i w:val="0"/>
          <w:iCs w:val="0"/>
          <w:color w:val="auto"/>
          <w:sz w:val="21"/>
          <w:szCs w:val="15"/>
          <w:highlight w:val="none"/>
        </w:rPr>
        <w:t>GIS</w:t>
      </w:r>
      <w:r>
        <w:rPr>
          <w:rFonts w:hint="eastAsia" w:ascii="Times New Roman" w:hAnsi="Times New Roman"/>
          <w:bCs w:val="0"/>
          <w:i w:val="0"/>
          <w:iCs w:val="0"/>
          <w:color w:val="auto"/>
          <w:sz w:val="21"/>
          <w:szCs w:val="15"/>
          <w:highlight w:val="none"/>
        </w:rPr>
        <w:t>图层信息</w:t>
      </w:r>
    </w:p>
    <w:p w14:paraId="56D127E3">
      <w:pPr>
        <w:pStyle w:val="142"/>
        <w:ind w:firstLine="420"/>
        <w:rPr>
          <w:i w:val="0"/>
          <w:iCs w:val="0"/>
          <w:color w:val="auto"/>
          <w:sz w:val="21"/>
          <w:szCs w:val="15"/>
          <w:highlight w:val="none"/>
        </w:rPr>
      </w:pPr>
      <w:r>
        <w:rPr>
          <w:rFonts w:hint="eastAsia"/>
          <w:i w:val="0"/>
          <w:iCs w:val="0"/>
          <w:color w:val="auto"/>
          <w:sz w:val="21"/>
          <w:szCs w:val="15"/>
          <w:highlight w:val="none"/>
        </w:rPr>
        <w:t>系统应支持用户对</w:t>
      </w:r>
      <w:r>
        <w:rPr>
          <w:rFonts w:hint="eastAsia"/>
          <w:i w:val="0"/>
          <w:iCs w:val="0"/>
          <w:color w:val="auto"/>
          <w:sz w:val="21"/>
          <w:szCs w:val="15"/>
          <w:highlight w:val="none"/>
          <w:lang w:val="en-US" w:eastAsia="zh-CN"/>
        </w:rPr>
        <w:t>污水井</w:t>
      </w:r>
      <w:r>
        <w:rPr>
          <w:rFonts w:hint="eastAsia"/>
          <w:i w:val="0"/>
          <w:iCs w:val="0"/>
          <w:color w:val="auto"/>
          <w:sz w:val="21"/>
          <w:szCs w:val="15"/>
          <w:highlight w:val="none"/>
        </w:rPr>
        <w:t>、检查井、DN300mm</w:t>
      </w:r>
      <w:r>
        <w:rPr>
          <w:rFonts w:hint="eastAsia"/>
          <w:i w:val="0"/>
          <w:iCs w:val="0"/>
          <w:color w:val="auto"/>
          <w:sz w:val="21"/>
          <w:szCs w:val="15"/>
          <w:highlight w:val="none"/>
          <w:lang w:val="en-US" w:eastAsia="zh-CN"/>
        </w:rPr>
        <w:t>排水管</w:t>
      </w:r>
      <w:r>
        <w:rPr>
          <w:rFonts w:hint="eastAsia"/>
          <w:i w:val="0"/>
          <w:iCs w:val="0"/>
          <w:color w:val="auto"/>
          <w:sz w:val="21"/>
          <w:szCs w:val="15"/>
          <w:highlight w:val="none"/>
        </w:rPr>
        <w:t>、DN400mm</w:t>
      </w:r>
      <w:r>
        <w:rPr>
          <w:rFonts w:hint="eastAsia"/>
          <w:i w:val="0"/>
          <w:iCs w:val="0"/>
          <w:color w:val="auto"/>
          <w:sz w:val="21"/>
          <w:szCs w:val="15"/>
          <w:highlight w:val="none"/>
          <w:lang w:val="en-US" w:eastAsia="zh-CN"/>
        </w:rPr>
        <w:t>排水管</w:t>
      </w:r>
      <w:r>
        <w:rPr>
          <w:rFonts w:hint="eastAsia"/>
          <w:i w:val="0"/>
          <w:iCs w:val="0"/>
          <w:color w:val="auto"/>
          <w:sz w:val="21"/>
          <w:szCs w:val="15"/>
          <w:highlight w:val="none"/>
        </w:rPr>
        <w:t>、压力消能井、市政井进行编辑，也可以通过拾色器变换作图工具颜色。</w:t>
      </w:r>
    </w:p>
    <w:p w14:paraId="56D127E4">
      <w:pPr>
        <w:pStyle w:val="6"/>
        <w:ind w:left="0"/>
        <w:rPr>
          <w:i w:val="0"/>
          <w:iCs w:val="0"/>
          <w:color w:val="auto"/>
          <w:sz w:val="21"/>
          <w:szCs w:val="21"/>
          <w:highlight w:val="none"/>
        </w:rPr>
      </w:pPr>
      <w:r>
        <w:rPr>
          <w:rFonts w:hint="eastAsia"/>
          <w:i w:val="0"/>
          <w:iCs w:val="0"/>
          <w:color w:val="auto"/>
          <w:sz w:val="21"/>
          <w:szCs w:val="21"/>
          <w:highlight w:val="none"/>
        </w:rPr>
        <w:t>车站街区图功能</w:t>
      </w:r>
    </w:p>
    <w:p w14:paraId="56D127E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面向车站用户，系统提供车站街区示意图功能。</w:t>
      </w:r>
    </w:p>
    <w:p w14:paraId="56D127E6">
      <w:pPr>
        <w:pStyle w:val="7"/>
        <w:rPr>
          <w:rFonts w:hint="eastAsia"/>
          <w:i w:val="0"/>
          <w:iCs w:val="0"/>
          <w:color w:val="auto"/>
          <w:sz w:val="21"/>
          <w:szCs w:val="21"/>
          <w:highlight w:val="none"/>
        </w:rPr>
      </w:pPr>
      <w:r>
        <w:rPr>
          <w:rFonts w:hint="eastAsia"/>
          <w:i w:val="0"/>
          <w:iCs w:val="0"/>
          <w:color w:val="auto"/>
          <w:sz w:val="21"/>
          <w:szCs w:val="21"/>
          <w:highlight w:val="none"/>
        </w:rPr>
        <w:t>显示车站街区地图GIS图层信息</w:t>
      </w:r>
    </w:p>
    <w:p w14:paraId="56D127E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支持展示当前车站街景的概况信息，方便用户了解车站周边情况。显示信息包含集水井、风亭口部、车站出入口等。允许用户查看任一风亭口部的详细信息，包括风亭口部名称、口部离地高度和实际高程等。</w:t>
      </w:r>
    </w:p>
    <w:p w14:paraId="56D127E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首次进入车站街区图时，系统应展示样例信息，帮助用户理解功能用途。街区示意图还应支持查询显示河流地图窗口和描述信息：车站用户可以查看当前车站周围的河流底图以及跟河流相关的信息，有助于评估河流对车站防汛的影响。河流相关信息包括河流的方位和与车站的距离。</w:t>
      </w:r>
    </w:p>
    <w:p w14:paraId="56D127E9">
      <w:pPr>
        <w:pStyle w:val="7"/>
        <w:rPr>
          <w:rFonts w:hint="eastAsia"/>
          <w:i w:val="0"/>
          <w:iCs w:val="0"/>
          <w:color w:val="auto"/>
          <w:sz w:val="21"/>
          <w:szCs w:val="21"/>
          <w:highlight w:val="none"/>
        </w:rPr>
      </w:pPr>
      <w:r>
        <w:rPr>
          <w:rFonts w:hint="eastAsia"/>
          <w:i w:val="0"/>
          <w:iCs w:val="0"/>
          <w:color w:val="auto"/>
          <w:sz w:val="21"/>
          <w:szCs w:val="21"/>
          <w:highlight w:val="none"/>
        </w:rPr>
        <w:t>车站街区编辑</w:t>
      </w:r>
    </w:p>
    <w:p w14:paraId="56D127E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系统应支持车站用户对车站街区示意图进行编辑。</w:t>
      </w:r>
    </w:p>
    <w:p w14:paraId="56D127EB">
      <w:pPr>
        <w:pStyle w:val="8"/>
        <w:rPr>
          <w:i w:val="0"/>
          <w:iCs w:val="0"/>
          <w:color w:val="auto"/>
          <w:sz w:val="21"/>
          <w:szCs w:val="20"/>
          <w:highlight w:val="none"/>
        </w:rPr>
      </w:pPr>
      <w:r>
        <w:rPr>
          <w:rFonts w:hint="eastAsia"/>
          <w:i w:val="0"/>
          <w:iCs w:val="0"/>
          <w:color w:val="auto"/>
          <w:sz w:val="21"/>
          <w:szCs w:val="20"/>
          <w:highlight w:val="none"/>
        </w:rPr>
        <w:t>新建风亭口部：</w:t>
      </w:r>
    </w:p>
    <w:p w14:paraId="56D127E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系统应支持用户在街区图上创建风亭口部，编辑其信息及图上位置。</w:t>
      </w:r>
    </w:p>
    <w:p w14:paraId="56D127ED">
      <w:pPr>
        <w:pStyle w:val="8"/>
        <w:rPr>
          <w:i w:val="0"/>
          <w:iCs w:val="0"/>
          <w:color w:val="auto"/>
          <w:sz w:val="21"/>
          <w:szCs w:val="20"/>
          <w:highlight w:val="none"/>
        </w:rPr>
      </w:pPr>
      <w:r>
        <w:rPr>
          <w:i w:val="0"/>
          <w:iCs w:val="0"/>
          <w:color w:val="auto"/>
          <w:sz w:val="21"/>
          <w:szCs w:val="20"/>
          <w:highlight w:val="none"/>
        </w:rPr>
        <w:t>GIS</w:t>
      </w:r>
      <w:r>
        <w:rPr>
          <w:rFonts w:hint="eastAsia"/>
          <w:i w:val="0"/>
          <w:iCs w:val="0"/>
          <w:color w:val="auto"/>
          <w:sz w:val="21"/>
          <w:szCs w:val="20"/>
          <w:highlight w:val="none"/>
        </w:rPr>
        <w:t>图层编辑工具：</w:t>
      </w:r>
    </w:p>
    <w:p w14:paraId="56D127E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系统应支持用户使用圆、矩形、箭头线段、普通线段、文本和橡皮擦对街区图进行编辑。通过拾色器变换作图工具颜色。</w:t>
      </w:r>
    </w:p>
    <w:p w14:paraId="56D127EF">
      <w:pPr>
        <w:pStyle w:val="8"/>
        <w:rPr>
          <w:i w:val="0"/>
          <w:iCs w:val="0"/>
          <w:color w:val="auto"/>
          <w:sz w:val="21"/>
          <w:szCs w:val="20"/>
          <w:highlight w:val="none"/>
        </w:rPr>
      </w:pPr>
      <w:r>
        <w:rPr>
          <w:rFonts w:hint="eastAsia"/>
          <w:i w:val="0"/>
          <w:iCs w:val="0"/>
          <w:color w:val="auto"/>
          <w:sz w:val="21"/>
          <w:szCs w:val="20"/>
          <w:highlight w:val="none"/>
        </w:rPr>
        <w:t>编辑河流地图窗口：</w:t>
      </w:r>
    </w:p>
    <w:p w14:paraId="56D127F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系统应支持用户编辑或删除车站附近河流地图信息，同时支持新增河流地图窗口（最多三个），方便用户随时调整河流信息。</w:t>
      </w:r>
    </w:p>
    <w:p w14:paraId="56D127F1">
      <w:pPr>
        <w:pStyle w:val="5"/>
        <w:ind w:left="0"/>
        <w:rPr>
          <w:i w:val="0"/>
          <w:iCs w:val="0"/>
          <w:color w:val="auto"/>
          <w:sz w:val="22"/>
          <w:szCs w:val="22"/>
          <w:highlight w:val="none"/>
        </w:rPr>
      </w:pPr>
      <w:bookmarkStart w:id="11" w:name="_Toc10131"/>
      <w:r>
        <w:rPr>
          <w:rFonts w:hint="eastAsia"/>
          <w:i w:val="0"/>
          <w:iCs w:val="0"/>
          <w:color w:val="auto"/>
          <w:sz w:val="22"/>
          <w:szCs w:val="22"/>
          <w:highlight w:val="none"/>
        </w:rPr>
        <w:t>防汛联动处置</w:t>
      </w:r>
      <w:bookmarkEnd w:id="11"/>
    </w:p>
    <w:p w14:paraId="56D127F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系统自动监测到车站汛情预警信息时，在管控平台提示车站用户启动防洪防汛预案进行处置，同时提示线路OCC协同应急处置调度。</w:t>
      </w:r>
    </w:p>
    <w:p w14:paraId="56D127F3">
      <w:pPr>
        <w:pStyle w:val="6"/>
        <w:ind w:left="0"/>
        <w:rPr>
          <w:i w:val="0"/>
          <w:iCs w:val="0"/>
          <w:color w:val="auto"/>
          <w:sz w:val="21"/>
          <w:szCs w:val="21"/>
          <w:highlight w:val="none"/>
        </w:rPr>
      </w:pPr>
      <w:r>
        <w:rPr>
          <w:rFonts w:hint="eastAsia"/>
          <w:i w:val="0"/>
          <w:iCs w:val="0"/>
          <w:color w:val="auto"/>
          <w:sz w:val="21"/>
          <w:szCs w:val="21"/>
          <w:highlight w:val="none"/>
        </w:rPr>
        <w:t>车站防汛联动处置</w:t>
      </w:r>
    </w:p>
    <w:p w14:paraId="56D127F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系统应支持车站人员针对车站汛情场景进行应急处置。</w:t>
      </w:r>
    </w:p>
    <w:p w14:paraId="56D127F5">
      <w:pPr>
        <w:pStyle w:val="7"/>
        <w:rPr>
          <w:rFonts w:hint="eastAsia"/>
          <w:i w:val="0"/>
          <w:iCs w:val="0"/>
          <w:color w:val="auto"/>
          <w:sz w:val="21"/>
          <w:szCs w:val="21"/>
          <w:highlight w:val="none"/>
        </w:rPr>
      </w:pPr>
      <w:r>
        <w:rPr>
          <w:rFonts w:hint="eastAsia"/>
          <w:i w:val="0"/>
          <w:iCs w:val="0"/>
          <w:color w:val="auto"/>
          <w:sz w:val="21"/>
          <w:szCs w:val="21"/>
          <w:highlight w:val="none"/>
        </w:rPr>
        <w:t>应急处置模块</w:t>
      </w:r>
    </w:p>
    <w:p w14:paraId="56D127F6">
      <w:pPr>
        <w:pStyle w:val="8"/>
        <w:rPr>
          <w:i w:val="0"/>
          <w:iCs w:val="0"/>
          <w:color w:val="auto"/>
          <w:sz w:val="21"/>
          <w:szCs w:val="20"/>
          <w:highlight w:val="none"/>
        </w:rPr>
      </w:pPr>
      <w:r>
        <w:rPr>
          <w:rFonts w:hint="eastAsia"/>
          <w:i w:val="0"/>
          <w:iCs w:val="0"/>
          <w:color w:val="auto"/>
          <w:sz w:val="21"/>
          <w:szCs w:val="20"/>
          <w:highlight w:val="none"/>
        </w:rPr>
        <w:t>处置过程信息记录：</w:t>
      </w:r>
    </w:p>
    <w:p w14:paraId="56D127F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车站系统应提供车站防汛处置功能，基于后台配置的防汛专题处置预案的电子化内容，为用户提供对应的操作指引：</w:t>
      </w:r>
    </w:p>
    <w:p w14:paraId="56D127F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一级处置，启动三级应急响应预警，水位达到出入口一级踏步，提醒运维人员到岗，现场确认汛情，清查防汛物资位置并核实防汛装置状态；</w:t>
      </w:r>
    </w:p>
    <w:p w14:paraId="56D127F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二级处置，启动三级应急响应预警，水位到达出入口二级踏步，提醒运维人员调配防汛沙袋至对应出入口，并测试防汛装置；</w:t>
      </w:r>
    </w:p>
    <w:p w14:paraId="56D127F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三级处置，启动三级应急响应，水位到达出入口三级踏步，在出入口设置防洪挡板（半边）与沙袋构筑防线，提醒乘客进入车站，疏导站内乘客。</w:t>
      </w:r>
    </w:p>
    <w:p w14:paraId="5A93785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四级处置，启动二级应急响应，在出入口设置防洪挡板（全部）与沙袋构筑防线，关闭入口卷帘。</w:t>
      </w:r>
    </w:p>
    <w:p w14:paraId="5DF8633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五级处置，启动一级应急响应，在出入口通道内构筑第二道防线，关闭通道人防门，封堵缝隙，牺牲出入口的机电设备。关闭整个车站，组织列车越站运行。</w:t>
      </w:r>
    </w:p>
    <w:p w14:paraId="53F270F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具体分级标准与对应策略在设计联络阶段，结合既有运营管理办法，协商确认。</w:t>
      </w:r>
    </w:p>
    <w:p w14:paraId="56D127FB">
      <w:pPr>
        <w:pStyle w:val="8"/>
        <w:rPr>
          <w:i w:val="0"/>
          <w:iCs w:val="0"/>
          <w:color w:val="auto"/>
          <w:sz w:val="21"/>
          <w:szCs w:val="20"/>
          <w:highlight w:val="none"/>
        </w:rPr>
      </w:pPr>
      <w:r>
        <w:rPr>
          <w:rFonts w:hint="eastAsia"/>
          <w:i w:val="0"/>
          <w:iCs w:val="0"/>
          <w:color w:val="auto"/>
          <w:sz w:val="21"/>
          <w:szCs w:val="20"/>
          <w:highlight w:val="none"/>
        </w:rPr>
        <w:t>应急响应记录信息化：</w:t>
      </w:r>
    </w:p>
    <w:p w14:paraId="56D127F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支持用户在管控平台中记录各响应单位到达时间，为应急处置报告提供数据支撑。</w:t>
      </w:r>
    </w:p>
    <w:p w14:paraId="56D127F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可记录的救援类型包括110、120、119、维修维修人员、专业救援力量、中心站领导、综合维修部领导、安全技术部领导、公司级领导等。</w:t>
      </w:r>
    </w:p>
    <w:p w14:paraId="56D12800">
      <w:pPr>
        <w:pStyle w:val="8"/>
        <w:rPr>
          <w:i w:val="0"/>
          <w:iCs w:val="0"/>
          <w:color w:val="auto"/>
          <w:sz w:val="21"/>
          <w:szCs w:val="20"/>
          <w:highlight w:val="none"/>
        </w:rPr>
      </w:pPr>
      <w:r>
        <w:rPr>
          <w:rFonts w:hint="eastAsia"/>
          <w:i w:val="0"/>
          <w:iCs w:val="0"/>
          <w:color w:val="auto"/>
          <w:sz w:val="21"/>
          <w:szCs w:val="20"/>
          <w:highlight w:val="none"/>
        </w:rPr>
        <w:t>信息通报：</w:t>
      </w:r>
    </w:p>
    <w:p w14:paraId="56D1280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系统能够根据每个不同防汛场景，提示车站管理人员、OCC将通报信息发送至对应分组人员。分组人员名单提前录入编制。同时系统还应记录本次汛情应急处置车站所有的信息通报记录。</w:t>
      </w:r>
    </w:p>
    <w:p w14:paraId="56D12802">
      <w:pPr>
        <w:pStyle w:val="8"/>
        <w:rPr>
          <w:i w:val="0"/>
          <w:iCs w:val="0"/>
          <w:color w:val="auto"/>
          <w:sz w:val="21"/>
          <w:szCs w:val="20"/>
          <w:highlight w:val="none"/>
        </w:rPr>
      </w:pPr>
      <w:r>
        <w:rPr>
          <w:rFonts w:hint="eastAsia"/>
          <w:i w:val="0"/>
          <w:iCs w:val="0"/>
          <w:color w:val="auto"/>
          <w:sz w:val="21"/>
          <w:szCs w:val="20"/>
          <w:highlight w:val="none"/>
        </w:rPr>
        <w:t>现场防汛态势感知：</w:t>
      </w:r>
    </w:p>
    <w:p w14:paraId="56D1280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应支持通过CCTV联动查看车站汛情现场视频，当站外出入口水位监测出现告警信息，在告警弹窗中同时打开对应出入口CCTV实时画面。</w:t>
      </w:r>
    </w:p>
    <w:p w14:paraId="56D12804">
      <w:pPr>
        <w:pStyle w:val="8"/>
        <w:rPr>
          <w:i w:val="0"/>
          <w:iCs w:val="0"/>
          <w:color w:val="auto"/>
          <w:sz w:val="21"/>
          <w:szCs w:val="20"/>
          <w:highlight w:val="none"/>
        </w:rPr>
      </w:pPr>
      <w:r>
        <w:rPr>
          <w:rFonts w:hint="eastAsia"/>
          <w:i w:val="0"/>
          <w:iCs w:val="0"/>
          <w:color w:val="auto"/>
          <w:sz w:val="21"/>
          <w:szCs w:val="20"/>
          <w:highlight w:val="none"/>
        </w:rPr>
        <w:t>应急物资</w:t>
      </w:r>
      <w:r>
        <w:rPr>
          <w:rFonts w:hint="eastAsia"/>
          <w:i w:val="0"/>
          <w:iCs w:val="0"/>
          <w:color w:val="auto"/>
          <w:sz w:val="21"/>
          <w:szCs w:val="20"/>
          <w:highlight w:val="none"/>
          <w:lang w:val="en-US" w:eastAsia="zh-CN"/>
        </w:rPr>
        <w:t>台账</w:t>
      </w:r>
      <w:r>
        <w:rPr>
          <w:rFonts w:hint="eastAsia"/>
          <w:i w:val="0"/>
          <w:iCs w:val="0"/>
          <w:color w:val="auto"/>
          <w:sz w:val="21"/>
          <w:szCs w:val="20"/>
          <w:highlight w:val="none"/>
        </w:rPr>
        <w:t>：</w:t>
      </w:r>
    </w:p>
    <w:p w14:paraId="56D1280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基于防汛专题预案内容，应为车站用户提供防汛预案处置所需的应急物资电子台账。</w:t>
      </w:r>
    </w:p>
    <w:p w14:paraId="56D12806">
      <w:pPr>
        <w:pStyle w:val="8"/>
        <w:rPr>
          <w:i w:val="0"/>
          <w:iCs w:val="0"/>
          <w:color w:val="auto"/>
          <w:sz w:val="21"/>
          <w:szCs w:val="20"/>
          <w:highlight w:val="none"/>
        </w:rPr>
      </w:pPr>
      <w:r>
        <w:rPr>
          <w:rFonts w:hint="eastAsia"/>
          <w:i w:val="0"/>
          <w:iCs w:val="0"/>
          <w:color w:val="auto"/>
          <w:sz w:val="21"/>
          <w:szCs w:val="20"/>
          <w:highlight w:val="none"/>
        </w:rPr>
        <w:t>水位超警戒线自动告警：</w:t>
      </w:r>
    </w:p>
    <w:p w14:paraId="05D9B9D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根据车站出入口水位“一级应急响应预警”、“二级应急响应预警”、“三级应急响应预警”标准设置告警阈值，当出入口电子水尺反馈的水位数据达到不同阈值时，应实现弹窗提醒现场处置人员。现场处置人员可根据不同级别告警信息调用对应车站出入口视频进行研判，同时系统应提供不同告警级别对应的应急预案，提供应急处置决策的辅助信息。三个级别的告警分别对应的不同处置预案内容在设计联络阶段明确。</w:t>
      </w:r>
    </w:p>
    <w:p w14:paraId="56D12808">
      <w:pPr>
        <w:pStyle w:val="7"/>
        <w:rPr>
          <w:rFonts w:hint="eastAsia"/>
          <w:i w:val="0"/>
          <w:iCs w:val="0"/>
          <w:color w:val="auto"/>
          <w:sz w:val="21"/>
          <w:szCs w:val="21"/>
          <w:highlight w:val="none"/>
        </w:rPr>
      </w:pPr>
      <w:r>
        <w:rPr>
          <w:rFonts w:hint="eastAsia"/>
          <w:i w:val="0"/>
          <w:iCs w:val="0"/>
          <w:color w:val="auto"/>
          <w:sz w:val="21"/>
          <w:szCs w:val="21"/>
          <w:highlight w:val="none"/>
        </w:rPr>
        <w:t>车站防汛监测模块</w:t>
      </w:r>
    </w:p>
    <w:p w14:paraId="56D12809">
      <w:pPr>
        <w:pStyle w:val="142"/>
        <w:ind w:firstLine="420"/>
        <w:rPr>
          <w:i w:val="0"/>
          <w:iCs w:val="0"/>
          <w:color w:val="auto"/>
          <w:sz w:val="21"/>
          <w:szCs w:val="15"/>
          <w:highlight w:val="none"/>
        </w:rPr>
      </w:pPr>
      <w:r>
        <w:rPr>
          <w:rFonts w:hint="eastAsia"/>
          <w:i w:val="0"/>
          <w:iCs w:val="0"/>
          <w:color w:val="auto"/>
          <w:sz w:val="21"/>
          <w:szCs w:val="15"/>
          <w:highlight w:val="none"/>
          <w:lang w:val="en-US" w:eastAsia="zh-CN"/>
        </w:rPr>
        <w:t>车站防汛实时监测功能模块实时监测本车站出入口水位情况，可随时调取车站出入口视频画面进行确认。</w:t>
      </w:r>
    </w:p>
    <w:p w14:paraId="56D1280A">
      <w:pPr>
        <w:pStyle w:val="7"/>
        <w:rPr>
          <w:rFonts w:hint="eastAsia"/>
          <w:i w:val="0"/>
          <w:iCs w:val="0"/>
          <w:color w:val="auto"/>
          <w:sz w:val="21"/>
          <w:szCs w:val="21"/>
          <w:highlight w:val="none"/>
        </w:rPr>
      </w:pPr>
      <w:r>
        <w:rPr>
          <w:rFonts w:hint="eastAsia"/>
          <w:i w:val="0"/>
          <w:iCs w:val="0"/>
          <w:color w:val="auto"/>
          <w:sz w:val="21"/>
          <w:szCs w:val="21"/>
          <w:highlight w:val="none"/>
        </w:rPr>
        <w:t>车站处置报告模板</w:t>
      </w:r>
    </w:p>
    <w:p w14:paraId="56D1280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系统提供预设报告模板，用户以填空方式完成应急处置报告，具备下载导出功能。</w:t>
      </w:r>
    </w:p>
    <w:p w14:paraId="56D1280C">
      <w:pPr>
        <w:pStyle w:val="7"/>
        <w:rPr>
          <w:rFonts w:hint="eastAsia"/>
          <w:i w:val="0"/>
          <w:iCs w:val="0"/>
          <w:color w:val="auto"/>
          <w:sz w:val="21"/>
          <w:szCs w:val="21"/>
          <w:highlight w:val="none"/>
        </w:rPr>
      </w:pPr>
      <w:r>
        <w:rPr>
          <w:rFonts w:hint="eastAsia"/>
          <w:i w:val="0"/>
          <w:iCs w:val="0"/>
          <w:color w:val="auto"/>
          <w:sz w:val="21"/>
          <w:szCs w:val="21"/>
          <w:highlight w:val="none"/>
        </w:rPr>
        <w:t>应急示意图</w:t>
      </w:r>
    </w:p>
    <w:p w14:paraId="56D1280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当车站处置人员决策启动其他应急处置时，系统应能够提供相关示意图（如启动车站疏散，提供本车站对应的疏散示意图）。</w:t>
      </w:r>
    </w:p>
    <w:p w14:paraId="56D1280E">
      <w:pPr>
        <w:pStyle w:val="6"/>
        <w:ind w:left="0"/>
        <w:rPr>
          <w:i w:val="0"/>
          <w:iCs w:val="0"/>
          <w:color w:val="auto"/>
          <w:sz w:val="21"/>
          <w:szCs w:val="21"/>
          <w:highlight w:val="none"/>
        </w:rPr>
      </w:pPr>
      <w:r>
        <w:rPr>
          <w:rFonts w:hint="eastAsia"/>
          <w:i w:val="0"/>
          <w:iCs w:val="0"/>
          <w:color w:val="auto"/>
          <w:sz w:val="21"/>
          <w:szCs w:val="21"/>
          <w:highlight w:val="none"/>
        </w:rPr>
        <w:t>线路防汛联动处置</w:t>
      </w:r>
    </w:p>
    <w:p w14:paraId="56D1280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系统应支持OCC调度针对线路汛情场景进行应急处置。</w:t>
      </w:r>
    </w:p>
    <w:p w14:paraId="56D12810">
      <w:pPr>
        <w:pStyle w:val="7"/>
        <w:rPr>
          <w:rFonts w:hint="eastAsia"/>
          <w:i w:val="0"/>
          <w:iCs w:val="0"/>
          <w:color w:val="auto"/>
          <w:sz w:val="21"/>
          <w:szCs w:val="21"/>
          <w:highlight w:val="none"/>
        </w:rPr>
      </w:pPr>
      <w:r>
        <w:rPr>
          <w:rFonts w:hint="eastAsia"/>
          <w:i w:val="0"/>
          <w:iCs w:val="0"/>
          <w:color w:val="auto"/>
          <w:sz w:val="21"/>
          <w:szCs w:val="21"/>
          <w:highlight w:val="none"/>
        </w:rPr>
        <w:t>应急处置模块</w:t>
      </w:r>
    </w:p>
    <w:p w14:paraId="56D12811">
      <w:pPr>
        <w:pStyle w:val="8"/>
        <w:rPr>
          <w:i w:val="0"/>
          <w:iCs w:val="0"/>
          <w:color w:val="auto"/>
          <w:sz w:val="21"/>
          <w:szCs w:val="20"/>
          <w:highlight w:val="none"/>
        </w:rPr>
      </w:pPr>
      <w:r>
        <w:rPr>
          <w:rFonts w:hint="eastAsia"/>
          <w:i w:val="0"/>
          <w:iCs w:val="0"/>
          <w:color w:val="auto"/>
          <w:sz w:val="21"/>
          <w:szCs w:val="20"/>
          <w:highlight w:val="none"/>
        </w:rPr>
        <w:t>处置过程信息记录</w:t>
      </w:r>
    </w:p>
    <w:p w14:paraId="56D1281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面向OCC调度，系统应提供车站防汛线路级处置功能界面，基于后台配置的防汛专题处置预案的电子化内容，为用户提供对应的操作指引，同时系统还需要支持用户记录各要点的完成时间。</w:t>
      </w:r>
    </w:p>
    <w:p w14:paraId="56D12813">
      <w:pPr>
        <w:pStyle w:val="8"/>
        <w:rPr>
          <w:i w:val="0"/>
          <w:iCs w:val="0"/>
          <w:color w:val="auto"/>
          <w:sz w:val="21"/>
          <w:szCs w:val="20"/>
          <w:highlight w:val="none"/>
        </w:rPr>
      </w:pPr>
      <w:r>
        <w:rPr>
          <w:rFonts w:hint="eastAsia"/>
          <w:i w:val="0"/>
          <w:iCs w:val="0"/>
          <w:color w:val="auto"/>
          <w:sz w:val="21"/>
          <w:szCs w:val="20"/>
          <w:highlight w:val="none"/>
        </w:rPr>
        <w:t>现场视频感知</w:t>
      </w:r>
    </w:p>
    <w:p w14:paraId="56D1281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应支持通过CCTV联动调阅发生汛情的车站现场视频画面。</w:t>
      </w:r>
    </w:p>
    <w:p w14:paraId="56D12815">
      <w:pPr>
        <w:pStyle w:val="8"/>
        <w:rPr>
          <w:i w:val="0"/>
          <w:iCs w:val="0"/>
          <w:color w:val="auto"/>
          <w:sz w:val="21"/>
          <w:szCs w:val="20"/>
          <w:highlight w:val="none"/>
        </w:rPr>
      </w:pPr>
      <w:r>
        <w:rPr>
          <w:rFonts w:hint="eastAsia"/>
          <w:i w:val="0"/>
          <w:iCs w:val="0"/>
          <w:color w:val="auto"/>
          <w:sz w:val="21"/>
          <w:szCs w:val="20"/>
          <w:highlight w:val="none"/>
        </w:rPr>
        <w:t>防汛应急物资调配</w:t>
      </w:r>
    </w:p>
    <w:p w14:paraId="56D1281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OCC具备直接查看各车站防汛物资电子台账的功能，以此为依据提出物资调配指令。</w:t>
      </w:r>
    </w:p>
    <w:p w14:paraId="56D12817">
      <w:pPr>
        <w:pStyle w:val="8"/>
        <w:rPr>
          <w:i w:val="0"/>
          <w:iCs w:val="0"/>
          <w:color w:val="auto"/>
          <w:sz w:val="21"/>
          <w:szCs w:val="20"/>
          <w:highlight w:val="none"/>
        </w:rPr>
      </w:pPr>
      <w:r>
        <w:rPr>
          <w:rFonts w:hint="eastAsia"/>
          <w:i w:val="0"/>
          <w:iCs w:val="0"/>
          <w:color w:val="auto"/>
          <w:sz w:val="21"/>
          <w:szCs w:val="20"/>
          <w:highlight w:val="none"/>
        </w:rPr>
        <w:t>水位超警戒线自动告警</w:t>
      </w:r>
    </w:p>
    <w:p w14:paraId="56D1281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当事发车站触发下一处置阶段时，系统应能提醒OCC管理人员，提供不同告警级别对应的应急预案指引。</w:t>
      </w:r>
    </w:p>
    <w:p w14:paraId="56D1281B">
      <w:pPr>
        <w:pStyle w:val="7"/>
        <w:rPr>
          <w:rFonts w:hint="eastAsia"/>
          <w:i w:val="0"/>
          <w:iCs w:val="0"/>
          <w:color w:val="auto"/>
          <w:sz w:val="21"/>
          <w:szCs w:val="21"/>
          <w:highlight w:val="none"/>
        </w:rPr>
      </w:pPr>
      <w:r>
        <w:rPr>
          <w:rFonts w:hint="eastAsia"/>
          <w:i w:val="0"/>
          <w:iCs w:val="0"/>
          <w:color w:val="auto"/>
          <w:sz w:val="21"/>
          <w:szCs w:val="21"/>
          <w:highlight w:val="none"/>
        </w:rPr>
        <w:t>信息通报通讯录</w:t>
      </w:r>
    </w:p>
    <w:p w14:paraId="56D1281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系统应提供防汛应急处置过程中对应的分组人员联系方式。</w:t>
      </w:r>
    </w:p>
    <w:p w14:paraId="56D1281D">
      <w:pPr>
        <w:pStyle w:val="7"/>
        <w:rPr>
          <w:rFonts w:hint="eastAsia"/>
          <w:i w:val="0"/>
          <w:iCs w:val="0"/>
          <w:color w:val="auto"/>
          <w:sz w:val="21"/>
          <w:szCs w:val="21"/>
          <w:highlight w:val="none"/>
        </w:rPr>
      </w:pPr>
      <w:r>
        <w:rPr>
          <w:rFonts w:hint="eastAsia"/>
          <w:i w:val="0"/>
          <w:iCs w:val="0"/>
          <w:color w:val="auto"/>
          <w:sz w:val="21"/>
          <w:szCs w:val="21"/>
          <w:highlight w:val="none"/>
        </w:rPr>
        <w:t>线路处置报告</w:t>
      </w:r>
    </w:p>
    <w:p w14:paraId="56D1281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系统根据各车站系统提交的处置报告，应自动汇总生成处置报告初稿，由OCC修改后完成，具备用户查看及下载功能。</w:t>
      </w:r>
    </w:p>
    <w:p w14:paraId="56D1281F">
      <w:pPr>
        <w:pStyle w:val="7"/>
        <w:rPr>
          <w:rFonts w:hint="eastAsia"/>
          <w:i w:val="0"/>
          <w:iCs w:val="0"/>
          <w:color w:val="auto"/>
          <w:sz w:val="21"/>
          <w:szCs w:val="21"/>
          <w:highlight w:val="none"/>
        </w:rPr>
      </w:pPr>
      <w:r>
        <w:rPr>
          <w:rFonts w:hint="eastAsia"/>
          <w:i w:val="0"/>
          <w:iCs w:val="0"/>
          <w:color w:val="auto"/>
          <w:sz w:val="21"/>
          <w:szCs w:val="21"/>
          <w:highlight w:val="none"/>
        </w:rPr>
        <w:t>应急示意图</w:t>
      </w:r>
    </w:p>
    <w:p w14:paraId="56D1282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当OCC环调决策启动其他应急处置时，系统应能够提供相关示意图（如启动区间疏散，提供本对应的疏散示意图）。</w:t>
      </w:r>
    </w:p>
    <w:p w14:paraId="56D1282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专题一：站外出入口水位监测告警及应急预案联动处置功能内容应以模式表形式实现，</w:t>
      </w:r>
      <w:bookmarkStart w:id="12" w:name="_Hlk168586651"/>
      <w:r>
        <w:rPr>
          <w:rFonts w:hint="eastAsia"/>
          <w:i w:val="0"/>
          <w:iCs w:val="0"/>
          <w:color w:val="auto"/>
          <w:sz w:val="21"/>
          <w:szCs w:val="15"/>
          <w:highlight w:val="none"/>
          <w:lang w:val="en-US" w:eastAsia="zh-CN"/>
        </w:rPr>
        <w:t>投</w:t>
      </w:r>
      <w:bookmarkEnd w:id="12"/>
      <w:r>
        <w:rPr>
          <w:rFonts w:hint="eastAsia"/>
          <w:i w:val="0"/>
          <w:iCs w:val="0"/>
          <w:color w:val="auto"/>
          <w:sz w:val="21"/>
          <w:szCs w:val="15"/>
          <w:highlight w:val="none"/>
          <w:lang w:val="en-US" w:eastAsia="zh-CN"/>
        </w:rPr>
        <w:t>标人应对模式表功能和实现方式及其措施在投标文件中给予详细描述，并在设计联络阶段将具体方案交由招标人确认，满足招标人需求。</w:t>
      </w:r>
    </w:p>
    <w:p w14:paraId="56D12822">
      <w:pPr>
        <w:pStyle w:val="4"/>
        <w:rPr>
          <w:i w:val="0"/>
          <w:iCs w:val="0"/>
          <w:color w:val="auto"/>
          <w:sz w:val="24"/>
          <w:szCs w:val="21"/>
          <w:highlight w:val="none"/>
        </w:rPr>
      </w:pPr>
      <w:bookmarkStart w:id="13" w:name="_Toc8847"/>
      <w:r>
        <w:rPr>
          <w:rFonts w:hint="eastAsia"/>
          <w:i w:val="0"/>
          <w:iCs w:val="0"/>
          <w:color w:val="auto"/>
          <w:sz w:val="24"/>
          <w:szCs w:val="21"/>
          <w:highlight w:val="none"/>
        </w:rPr>
        <w:t>系统接口</w:t>
      </w:r>
      <w:bookmarkEnd w:id="13"/>
    </w:p>
    <w:p w14:paraId="56D1282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防汛系统终端设备接入既有BAS系统，并借用ISCS网络物理链路，将数据上传至智慧地铁管控平台，实现相关功能。</w:t>
      </w:r>
    </w:p>
    <w:p w14:paraId="56D1282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drawing>
          <wp:anchor distT="0" distB="0" distL="114300" distR="114300" simplePos="0" relativeHeight="251660288" behindDoc="0" locked="0" layoutInCell="1" allowOverlap="1">
            <wp:simplePos x="0" y="0"/>
            <wp:positionH relativeFrom="column">
              <wp:posOffset>267335</wp:posOffset>
            </wp:positionH>
            <wp:positionV relativeFrom="paragraph">
              <wp:posOffset>532130</wp:posOffset>
            </wp:positionV>
            <wp:extent cx="4450080" cy="2369820"/>
            <wp:effectExtent l="0" t="0" r="7620" b="0"/>
            <wp:wrapTopAndBottom/>
            <wp:docPr id="1301410531"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10531" name="图片 6" descr="图示&#10;&#10;AI 生成的内容可能不正确。"/>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450080" cy="2369820"/>
                    </a:xfrm>
                    <a:prstGeom prst="rect">
                      <a:avLst/>
                    </a:prstGeom>
                    <a:noFill/>
                    <a:ln>
                      <a:noFill/>
                    </a:ln>
                  </pic:spPr>
                </pic:pic>
              </a:graphicData>
            </a:graphic>
          </wp:anchor>
        </w:drawing>
      </w:r>
      <w:r>
        <w:rPr>
          <w:rFonts w:hint="eastAsia"/>
          <w:i w:val="0"/>
          <w:iCs w:val="0"/>
          <w:color w:val="auto"/>
          <w:sz w:val="21"/>
          <w:szCs w:val="15"/>
          <w:highlight w:val="none"/>
          <w:lang w:val="en-US" w:eastAsia="zh-CN"/>
        </w:rPr>
        <w:t>电子水尺与BAS、智慧地铁管控平台接口划分示意图：</w:t>
      </w:r>
    </w:p>
    <w:p w14:paraId="56D1282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接口分界：BAS系统模块箱。</w:t>
      </w:r>
    </w:p>
    <w:p w14:paraId="56D1282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接口类型：硬线接口，AI模拟量信号。</w:t>
      </w:r>
    </w:p>
    <w:p w14:paraId="56D1282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接口方责任：防洪防汛系统负责设备安装及管线敷设，并在BAS模块箱内安装AI模块；BAS系统负责将相关数据转至ISCS网络。</w:t>
      </w:r>
    </w:p>
    <w:p w14:paraId="56D1282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本系统在既有ISCS和BAS系统上进行功能开发，投标人应充分考虑对既有系统运行影响，在实施中制定相应措施，以便将系统调试对</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一期工程的正常运营产生的影响降到最小。涉及到对一期工程的改造费用包含在总价中。</w:t>
      </w:r>
    </w:p>
    <w:p w14:paraId="56D12829">
      <w:pPr>
        <w:pStyle w:val="4"/>
        <w:rPr>
          <w:i w:val="0"/>
          <w:iCs w:val="0"/>
          <w:color w:val="auto"/>
          <w:sz w:val="24"/>
          <w:szCs w:val="21"/>
          <w:highlight w:val="none"/>
        </w:rPr>
      </w:pPr>
      <w:bookmarkStart w:id="14" w:name="_Toc28272"/>
      <w:r>
        <w:rPr>
          <w:rFonts w:hint="eastAsia"/>
          <w:i w:val="0"/>
          <w:iCs w:val="0"/>
          <w:color w:val="auto"/>
          <w:sz w:val="24"/>
          <w:szCs w:val="21"/>
          <w:highlight w:val="none"/>
        </w:rPr>
        <w:t>软件后台要求</w:t>
      </w:r>
      <w:bookmarkEnd w:id="14"/>
    </w:p>
    <w:p w14:paraId="56D1282A">
      <w:pPr>
        <w:pStyle w:val="5"/>
        <w:ind w:left="0"/>
        <w:rPr>
          <w:i w:val="0"/>
          <w:iCs w:val="0"/>
          <w:color w:val="auto"/>
          <w:sz w:val="22"/>
          <w:szCs w:val="22"/>
          <w:highlight w:val="none"/>
          <w:lang w:val="en-US"/>
        </w:rPr>
      </w:pPr>
      <w:bookmarkStart w:id="15" w:name="_Toc29375"/>
      <w:bookmarkStart w:id="16" w:name="_Toc200964709"/>
      <w:r>
        <w:rPr>
          <w:rFonts w:hint="eastAsia"/>
          <w:i w:val="0"/>
          <w:iCs w:val="0"/>
          <w:color w:val="auto"/>
          <w:sz w:val="22"/>
          <w:szCs w:val="22"/>
          <w:highlight w:val="none"/>
          <w:lang w:val="en-US"/>
        </w:rPr>
        <w:t>软件性能</w:t>
      </w:r>
      <w:bookmarkEnd w:id="15"/>
      <w:bookmarkEnd w:id="16"/>
    </w:p>
    <w:p w14:paraId="56D1282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防洪防汛应急处置业务应用部署在智慧地铁管控平台，软件性能沿用既有管控平台系统性能。</w:t>
      </w:r>
    </w:p>
    <w:p w14:paraId="56D1282C">
      <w:pPr>
        <w:pStyle w:val="5"/>
        <w:ind w:left="0"/>
        <w:rPr>
          <w:i w:val="0"/>
          <w:iCs w:val="0"/>
          <w:color w:val="auto"/>
          <w:sz w:val="22"/>
          <w:szCs w:val="22"/>
          <w:highlight w:val="none"/>
          <w:lang w:val="en-US"/>
        </w:rPr>
      </w:pPr>
      <w:bookmarkStart w:id="17" w:name="_Toc4780"/>
      <w:r>
        <w:rPr>
          <w:rFonts w:hint="eastAsia"/>
          <w:i w:val="0"/>
          <w:iCs w:val="0"/>
          <w:color w:val="auto"/>
          <w:sz w:val="22"/>
          <w:szCs w:val="22"/>
          <w:highlight w:val="none"/>
          <w:lang w:val="en-US"/>
        </w:rPr>
        <w:t>系统接口能力</w:t>
      </w:r>
      <w:bookmarkEnd w:id="17"/>
    </w:p>
    <w:p w14:paraId="56D1282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防洪防汛应急处置业务应用部署在智慧地铁管控平台，接口能力沿用既有管控平台系统性能。</w:t>
      </w:r>
    </w:p>
    <w:p w14:paraId="56D1282E">
      <w:pPr>
        <w:pStyle w:val="5"/>
        <w:ind w:left="0"/>
        <w:rPr>
          <w:i w:val="0"/>
          <w:iCs w:val="0"/>
          <w:color w:val="auto"/>
          <w:sz w:val="22"/>
          <w:szCs w:val="22"/>
          <w:highlight w:val="none"/>
          <w:lang w:val="en-US"/>
        </w:rPr>
      </w:pPr>
      <w:bookmarkStart w:id="18" w:name="_Toc15939"/>
      <w:r>
        <w:rPr>
          <w:rFonts w:hint="eastAsia"/>
          <w:i w:val="0"/>
          <w:iCs w:val="0"/>
          <w:color w:val="auto"/>
          <w:sz w:val="22"/>
          <w:szCs w:val="22"/>
          <w:highlight w:val="none"/>
          <w:lang w:val="en-US"/>
        </w:rPr>
        <w:t>系统管理能力</w:t>
      </w:r>
      <w:bookmarkEnd w:id="18"/>
    </w:p>
    <w:p w14:paraId="56D1282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防洪防汛应急处置业务应用部署在智慧地铁管控平台，系统管理能力沿用既有管控平台系统性能。</w:t>
      </w:r>
    </w:p>
    <w:p w14:paraId="56D1283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投标人应承诺保证功能拓展时，系统在线增加任何硬件、软件等，对系统没有任何影响。应能在线修改数据、创建画面。</w:t>
      </w:r>
    </w:p>
    <w:p w14:paraId="56D12831">
      <w:pPr>
        <w:pStyle w:val="3"/>
        <w:rPr>
          <w:i w:val="0"/>
          <w:iCs w:val="0"/>
          <w:color w:val="auto"/>
          <w:sz w:val="24"/>
          <w:szCs w:val="32"/>
          <w:highlight w:val="none"/>
        </w:rPr>
      </w:pPr>
      <w:bookmarkStart w:id="19" w:name="_Toc196783762"/>
      <w:bookmarkStart w:id="20" w:name="_Toc9113"/>
      <w:r>
        <w:rPr>
          <w:i w:val="0"/>
          <w:iCs w:val="0"/>
          <w:color w:val="auto"/>
          <w:sz w:val="24"/>
          <w:szCs w:val="32"/>
          <w:highlight w:val="none"/>
        </w:rPr>
        <w:t>车站视频智能分析系统</w:t>
      </w:r>
      <w:bookmarkEnd w:id="19"/>
      <w:bookmarkEnd w:id="20"/>
      <w:r>
        <w:rPr>
          <w:rFonts w:hint="eastAsia" w:ascii="宋体" w:hAnsi="宋体" w:cs="宋体"/>
          <w:szCs w:val="21"/>
          <w:highlight w:val="none"/>
        </w:rPr>
        <w:t>★</w:t>
      </w:r>
    </w:p>
    <w:p w14:paraId="56D12832">
      <w:pPr>
        <w:pStyle w:val="4"/>
        <w:rPr>
          <w:i w:val="0"/>
          <w:iCs w:val="0"/>
          <w:color w:val="auto"/>
          <w:sz w:val="24"/>
          <w:szCs w:val="21"/>
          <w:highlight w:val="none"/>
        </w:rPr>
      </w:pPr>
      <w:bookmarkStart w:id="21" w:name="bookmark44"/>
      <w:bookmarkEnd w:id="21"/>
      <w:bookmarkStart w:id="22" w:name="_Toc196783763"/>
      <w:bookmarkStart w:id="23" w:name="_Toc23739"/>
      <w:r>
        <w:rPr>
          <w:i w:val="0"/>
          <w:iCs w:val="0"/>
          <w:color w:val="auto"/>
          <w:sz w:val="24"/>
          <w:szCs w:val="21"/>
          <w:highlight w:val="none"/>
        </w:rPr>
        <w:t>建设期已完成内容</w:t>
      </w:r>
      <w:bookmarkEnd w:id="22"/>
      <w:bookmarkEnd w:id="23"/>
    </w:p>
    <w:p w14:paraId="56D1283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在建设期全线34车站实现客流热力密度、电梯（扶梯）异常监测等视频分析功能，在部分站点实现入侵监测、可疑物监测、客流统计、人员逗留监测、人员打架剧烈运动监测等视频分析；具体算法部署站点可在设计联络阶段提供。</w:t>
      </w:r>
    </w:p>
    <w:p w14:paraId="56D12834">
      <w:pPr>
        <w:pStyle w:val="4"/>
        <w:rPr>
          <w:i w:val="0"/>
          <w:iCs w:val="0"/>
          <w:color w:val="auto"/>
          <w:sz w:val="24"/>
          <w:szCs w:val="21"/>
          <w:highlight w:val="none"/>
        </w:rPr>
      </w:pPr>
      <w:bookmarkStart w:id="24" w:name="bookmark45"/>
      <w:bookmarkEnd w:id="24"/>
      <w:bookmarkStart w:id="25" w:name="_Toc20891"/>
      <w:bookmarkStart w:id="26" w:name="_Toc196783764"/>
      <w:r>
        <w:rPr>
          <w:i w:val="0"/>
          <w:iCs w:val="0"/>
          <w:color w:val="auto"/>
          <w:sz w:val="24"/>
          <w:szCs w:val="21"/>
          <w:highlight w:val="none"/>
        </w:rPr>
        <w:t>运营期建设内容</w:t>
      </w:r>
      <w:bookmarkEnd w:id="25"/>
      <w:bookmarkEnd w:id="26"/>
    </w:p>
    <w:p w14:paraId="56D1283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结合车站运营的安全需求，本期拟对车站视频分析应用进行提升。</w:t>
      </w:r>
    </w:p>
    <w:p w14:paraId="56D1283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为进一步防范不法人员逃避安检，通过隔栏递物的方式将危险物品带入地铁站内，造成安全事件，以及对安检人员疏忽而导致的安全隐患，提升整体安全性；本期在全线34个车站出站闸机处新增隔栏递物、在全线34个车站91个安检点进行安检人员值岗状态监测视频分析场景。</w:t>
      </w:r>
    </w:p>
    <w:p w14:paraId="56D1283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围绕运营安全需求，在全线34个车站进行扶梯人员摔倒监测，提高工作人员的响应速度，从而迅速进行救援，减少乘客受伤风险。</w:t>
      </w:r>
    </w:p>
    <w:p w14:paraId="56D1283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围绕运营工作效率提升，在全线34个车站新增智能开关站、车站巡检相关AI智能分析辅助场景检测，辅助提升工作效率。</w:t>
      </w:r>
    </w:p>
    <w:p w14:paraId="56D12839">
      <w:pPr>
        <w:pStyle w:val="4"/>
        <w:rPr>
          <w:i w:val="0"/>
          <w:iCs w:val="0"/>
          <w:color w:val="auto"/>
          <w:sz w:val="24"/>
          <w:szCs w:val="21"/>
          <w:highlight w:val="none"/>
        </w:rPr>
      </w:pPr>
      <w:bookmarkStart w:id="27" w:name="_Toc196783765"/>
      <w:bookmarkStart w:id="28" w:name="_Toc16150"/>
      <w:r>
        <w:rPr>
          <w:i w:val="0"/>
          <w:iCs w:val="0"/>
          <w:color w:val="auto"/>
          <w:sz w:val="24"/>
          <w:szCs w:val="21"/>
          <w:highlight w:val="none"/>
        </w:rPr>
        <w:t>基本功能要求</w:t>
      </w:r>
      <w:bookmarkEnd w:id="27"/>
      <w:bookmarkEnd w:id="28"/>
    </w:p>
    <w:p w14:paraId="56D1283A">
      <w:pPr>
        <w:pStyle w:val="142"/>
        <w:ind w:firstLine="420"/>
        <w:rPr>
          <w:rFonts w:hint="eastAsia"/>
          <w:i w:val="0"/>
          <w:iCs w:val="0"/>
          <w:color w:val="auto"/>
          <w:sz w:val="21"/>
          <w:szCs w:val="15"/>
          <w:highlight w:val="none"/>
          <w:lang w:val="en-US" w:eastAsia="zh-CN"/>
        </w:rPr>
      </w:pPr>
      <w:bookmarkStart w:id="29" w:name="bookmark47"/>
      <w:bookmarkEnd w:id="29"/>
      <w:r>
        <w:rPr>
          <w:rFonts w:hint="eastAsia"/>
          <w:i w:val="0"/>
          <w:iCs w:val="0"/>
          <w:color w:val="auto"/>
          <w:sz w:val="21"/>
          <w:szCs w:val="15"/>
          <w:highlight w:val="none"/>
          <w:lang w:val="en-US" w:eastAsia="zh-CN"/>
        </w:rPr>
        <w:t>应支持H.264、H.265格式高清视频图像分析，对指定区域设置的摄像机（无摄像机覆盖区域增设摄像机）采集的图像进行智能分析，报警时支持在工作站上弹出告警信息，并对报警数据进行存储，数据存储时长设计联络确定。</w:t>
      </w:r>
    </w:p>
    <w:p w14:paraId="56D1283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智能视频分析功能应易于启动和停止，布防和撤防的操作简便，并支持根据时间设定进行布防和撤防操作。应支持单路视频的多层防区设置和多个目标实时跟踪分析。告警产生的同时，视频内容分析进程不受报警触发的影响而中断。</w:t>
      </w:r>
    </w:p>
    <w:p w14:paraId="56D1283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为保证视频分析功能实现的灵活性，进行视频分析功能的摄像机要求能根据使用需要灵活选择配置，即支持通过管理系统人机界面灵活调整任意一路摄像机进行视频分析。</w:t>
      </w:r>
    </w:p>
    <w:p w14:paraId="56D1283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为更高效的利用算力资源及覆盖更广的车站分析场景区域，应支持可基于时间、任务触发等设置轮巡视频分析策略，如正常时段算力围绕车站重点区域的运行监测各算法任务，早间、晚间开关站时可自动释放部分算力分析辅助开关站的相关场景分析，当执行完后自动释放任务回归原有状态分析。可通过配置日常巡检线路前端分组，按巡检周期通过智慧管控平台联动开展巡检任务。</w:t>
      </w:r>
    </w:p>
    <w:p w14:paraId="56D1283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系统应提供对已生成的调度任务进行灵活监控级管理，支持监控算法运行状态，包括算法运行状态、调度任务是否有异常。支持查看任务下算法运行情况，包括算法名称、监控时段、视频类型、运行状态等信息。</w:t>
      </w:r>
    </w:p>
    <w:p w14:paraId="56D1283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支持视频分析任务基本信息配置、算法配置等功能，支持配置任务名称、关联设备、场所以及算力地址等信息，支持对算法通用参数、特定参数、核验配置进行修改，任务创建后，算法对任务下的设备视频进行告警。</w:t>
      </w:r>
    </w:p>
    <w:p w14:paraId="56D1284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具备对智能开关站场景应用进行多重校验功能，如扶梯检测是否有人，针对同一区域，可通过不同的前端摄像机的检测结果进行业务规则校验复核，同时具备分析的结果进行大模型复核检测进行校验。</w:t>
      </w:r>
    </w:p>
    <w:p w14:paraId="27A6DD8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在车辆段设置2至3套工作站，实现对所有视频分析异常结果的回放和查看；系统应具备特殊事件记录功能，对视频分析异常事件前后视频进行存储；具体安装位置在设计联络阶段确定。</w:t>
      </w:r>
    </w:p>
    <w:p w14:paraId="56D12841">
      <w:pPr>
        <w:pStyle w:val="4"/>
        <w:rPr>
          <w:i w:val="0"/>
          <w:iCs w:val="0"/>
          <w:color w:val="auto"/>
          <w:sz w:val="24"/>
          <w:szCs w:val="21"/>
          <w:highlight w:val="none"/>
        </w:rPr>
      </w:pPr>
      <w:bookmarkStart w:id="30" w:name="_Toc19327"/>
      <w:r>
        <w:rPr>
          <w:i w:val="0"/>
          <w:iCs w:val="0"/>
          <w:color w:val="auto"/>
          <w:sz w:val="24"/>
          <w:szCs w:val="21"/>
          <w:highlight w:val="none"/>
        </w:rPr>
        <w:t>车站智能视频分析算法功能需求</w:t>
      </w:r>
      <w:bookmarkEnd w:id="30"/>
    </w:p>
    <w:p w14:paraId="56D12842">
      <w:pPr>
        <w:pStyle w:val="5"/>
        <w:ind w:left="0"/>
        <w:rPr>
          <w:i w:val="0"/>
          <w:iCs w:val="0"/>
          <w:color w:val="auto"/>
          <w:sz w:val="22"/>
          <w:szCs w:val="22"/>
          <w:highlight w:val="none"/>
        </w:rPr>
      </w:pPr>
      <w:bookmarkStart w:id="31" w:name="bookmark48"/>
      <w:bookmarkEnd w:id="31"/>
      <w:bookmarkStart w:id="32" w:name="_Toc15399"/>
      <w:bookmarkStart w:id="33" w:name="_Toc196783767"/>
      <w:r>
        <w:rPr>
          <w:i w:val="0"/>
          <w:iCs w:val="0"/>
          <w:color w:val="auto"/>
          <w:sz w:val="22"/>
          <w:szCs w:val="22"/>
          <w:highlight w:val="none"/>
        </w:rPr>
        <w:t>隔栏递物</w:t>
      </w:r>
      <w:bookmarkEnd w:id="32"/>
      <w:bookmarkEnd w:id="33"/>
    </w:p>
    <w:p w14:paraId="56D12843">
      <w:pPr>
        <w:pStyle w:val="142"/>
        <w:ind w:firstLine="420"/>
        <w:rPr>
          <w:rFonts w:hint="eastAsia"/>
          <w:i w:val="0"/>
          <w:iCs w:val="0"/>
          <w:color w:val="auto"/>
          <w:sz w:val="21"/>
          <w:szCs w:val="15"/>
          <w:highlight w:val="none"/>
          <w:lang w:val="en-US" w:eastAsia="zh-CN"/>
        </w:rPr>
      </w:pPr>
      <w:bookmarkStart w:id="34" w:name="bookmark49"/>
      <w:bookmarkEnd w:id="34"/>
      <w:r>
        <w:rPr>
          <w:rFonts w:hint="eastAsia"/>
          <w:i w:val="0"/>
          <w:iCs w:val="0"/>
          <w:color w:val="auto"/>
          <w:sz w:val="21"/>
          <w:szCs w:val="15"/>
          <w:highlight w:val="none"/>
          <w:lang w:val="en-US" w:eastAsia="zh-CN"/>
        </w:rPr>
        <w:t>在全线34个车站的出闸端位置对人员传递物品的行为进行监测。当有人员在监测区域有传物行为时，需及时向车站工作人员进行告警并提示及时处理事件。</w:t>
      </w:r>
    </w:p>
    <w:p w14:paraId="56D1284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运营时段内，隔栏递物监测应用应针对出闸机两侧边缘区域（即车站付费区与非付费区段）进行实时监测，当监测到存在两个人员在监测区域内进行递物（含行李箱、包裹、背包、纸箱等）时，系统应将报警信息并推送至管控平台，管控平台应同步生成监测预警消息并弹窗提示，预警消息包括监测时间、事发所在位置、对应视频画面及画面截图等内容。</w:t>
      </w:r>
    </w:p>
    <w:p w14:paraId="56D1284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视频分析实现对各站的出闸端位置存在单人将物体通过非付费区传递至付费区进行实时监测，当监测到此类行为进行实时预警提醒车控室人员、警务室人员、安检人员进行第一时间处理。隔栏递物准确率需达到95%以上，有效防范安全隐患事件发生。</w:t>
      </w:r>
    </w:p>
    <w:p w14:paraId="56D12846">
      <w:pPr>
        <w:pStyle w:val="5"/>
        <w:ind w:left="0"/>
        <w:rPr>
          <w:i w:val="0"/>
          <w:iCs w:val="0"/>
          <w:color w:val="auto"/>
          <w:sz w:val="22"/>
          <w:szCs w:val="22"/>
          <w:highlight w:val="none"/>
        </w:rPr>
      </w:pPr>
      <w:bookmarkStart w:id="35" w:name="_Toc196783768"/>
      <w:bookmarkStart w:id="36" w:name="_Toc11068"/>
      <w:r>
        <w:rPr>
          <w:i w:val="0"/>
          <w:iCs w:val="0"/>
          <w:color w:val="auto"/>
          <w:sz w:val="22"/>
          <w:szCs w:val="22"/>
          <w:highlight w:val="none"/>
        </w:rPr>
        <w:t>安检人员考核</w:t>
      </w:r>
      <w:bookmarkEnd w:id="35"/>
      <w:bookmarkEnd w:id="36"/>
    </w:p>
    <w:p w14:paraId="56D12847">
      <w:pPr>
        <w:pStyle w:val="6"/>
        <w:ind w:left="0"/>
        <w:rPr>
          <w:i w:val="0"/>
          <w:iCs w:val="0"/>
          <w:color w:val="auto"/>
          <w:sz w:val="21"/>
          <w:szCs w:val="21"/>
          <w:highlight w:val="none"/>
        </w:rPr>
      </w:pPr>
      <w:r>
        <w:rPr>
          <w:i w:val="0"/>
          <w:iCs w:val="0"/>
          <w:color w:val="auto"/>
          <w:sz w:val="21"/>
          <w:szCs w:val="21"/>
          <w:highlight w:val="none"/>
        </w:rPr>
        <w:t>值岗玩手机监视</w:t>
      </w:r>
    </w:p>
    <w:p w14:paraId="56D1284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通过视频分析技术，对地铁安检人员的值岗状态进行实时监控，一旦发现安检人员值岗时玩手机不规范行为，立即通过告警终端进行报警。</w:t>
      </w:r>
    </w:p>
    <w:p w14:paraId="56D1284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运营时段内，通过接入覆盖安检区域的高清摄像头，基于视频分析算法对安检人员值岗玩手机等不规范行为进行实时视频分析监控和预警。当检测到安检人员值岗玩手机行为时，系统自动生成监测预警消息，预警消息包括监测时间、事发所在位置、对应视频画面及画面截图等内容。</w:t>
      </w:r>
    </w:p>
    <w:p w14:paraId="56D1284A">
      <w:pPr>
        <w:pStyle w:val="6"/>
        <w:ind w:left="0"/>
        <w:rPr>
          <w:i w:val="0"/>
          <w:iCs w:val="0"/>
          <w:color w:val="auto"/>
          <w:sz w:val="21"/>
          <w:szCs w:val="21"/>
          <w:highlight w:val="none"/>
        </w:rPr>
      </w:pPr>
      <w:r>
        <w:rPr>
          <w:i w:val="0"/>
          <w:iCs w:val="0"/>
          <w:color w:val="auto"/>
          <w:sz w:val="21"/>
          <w:szCs w:val="21"/>
          <w:highlight w:val="none"/>
        </w:rPr>
        <w:t>值岗打瞌睡监视</w:t>
      </w:r>
    </w:p>
    <w:p w14:paraId="56D1284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在运营时段内，接入覆盖安检区域的高清摄像头，当检测到安检人员出现打瞌睡等不规范行为时，系统自动生成监测预警消息，预警消息包括监测时间、事发所在位置、对应视频画面及画面截图等内容。</w:t>
      </w:r>
    </w:p>
    <w:p w14:paraId="56D1284D">
      <w:pPr>
        <w:pStyle w:val="5"/>
        <w:ind w:left="0"/>
        <w:rPr>
          <w:i w:val="0"/>
          <w:iCs w:val="0"/>
          <w:color w:val="auto"/>
          <w:sz w:val="22"/>
          <w:szCs w:val="22"/>
          <w:highlight w:val="none"/>
        </w:rPr>
      </w:pPr>
      <w:bookmarkStart w:id="37" w:name="_Toc21189"/>
      <w:bookmarkStart w:id="38" w:name="_Toc194078539"/>
      <w:bookmarkStart w:id="39" w:name="_Toc196783769"/>
      <w:r>
        <w:rPr>
          <w:i w:val="0"/>
          <w:iCs w:val="0"/>
          <w:color w:val="auto"/>
          <w:sz w:val="22"/>
          <w:szCs w:val="22"/>
          <w:highlight w:val="none"/>
        </w:rPr>
        <w:t>扶梯人员摔倒监测</w:t>
      </w:r>
      <w:bookmarkEnd w:id="37"/>
      <w:bookmarkEnd w:id="38"/>
      <w:bookmarkEnd w:id="39"/>
    </w:p>
    <w:p w14:paraId="56D1284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运营时段内，通过接入扶梯上方或两侧的高清摄像头，以确保能够全面覆盖扶梯区域，捕捉到人员的行为。基于智能视频分析算法对扶梯上人员的姿态、关键点（如头部、四肢等）以及关键点之间的相对位置关系进行判别人员是否摔倒，当监测人员摔倒时，系统应将报警信息推送至管控平台，管控平台应同步生成监测预警消息并弹窗提示，预警消息包括监测时间、事发所在位置、对应视频画面及画面截图等内容。</w:t>
      </w:r>
    </w:p>
    <w:p w14:paraId="56D12850">
      <w:pPr>
        <w:pStyle w:val="5"/>
        <w:ind w:left="0"/>
        <w:rPr>
          <w:i w:val="0"/>
          <w:iCs w:val="0"/>
          <w:color w:val="auto"/>
          <w:sz w:val="22"/>
          <w:szCs w:val="22"/>
          <w:highlight w:val="none"/>
        </w:rPr>
      </w:pPr>
      <w:bookmarkStart w:id="40" w:name="_Toc5633"/>
      <w:bookmarkStart w:id="41" w:name="_Toc196783770"/>
      <w:r>
        <w:rPr>
          <w:i w:val="0"/>
          <w:iCs w:val="0"/>
          <w:color w:val="auto"/>
          <w:sz w:val="22"/>
          <w:szCs w:val="22"/>
          <w:highlight w:val="none"/>
        </w:rPr>
        <w:t>扶梯有人检测</w:t>
      </w:r>
      <w:bookmarkEnd w:id="40"/>
      <w:bookmarkEnd w:id="41"/>
    </w:p>
    <w:p w14:paraId="56D1285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当晚间关站、早间开站，通过智慧地铁管控平台的应用联动任务触发视频分析任务，通过智能分析实时检测出入口上下行扶梯、站厅站台上下行扶梯、换乘区域上下行扶梯是否有人，当监测到扶梯有人时触发报警，并将检测结果推送至智慧地铁管控平台，并在界面中提示用户。</w:t>
      </w:r>
    </w:p>
    <w:p w14:paraId="56D12852">
      <w:pPr>
        <w:pStyle w:val="5"/>
        <w:ind w:left="0"/>
        <w:rPr>
          <w:i w:val="0"/>
          <w:iCs w:val="0"/>
          <w:color w:val="auto"/>
          <w:sz w:val="22"/>
          <w:szCs w:val="22"/>
          <w:highlight w:val="none"/>
        </w:rPr>
      </w:pPr>
      <w:bookmarkStart w:id="42" w:name="_Toc196783771"/>
      <w:bookmarkStart w:id="43" w:name="_Toc5687"/>
      <w:r>
        <w:rPr>
          <w:i w:val="0"/>
          <w:iCs w:val="0"/>
          <w:color w:val="auto"/>
          <w:sz w:val="22"/>
          <w:szCs w:val="22"/>
          <w:highlight w:val="none"/>
        </w:rPr>
        <w:t>直梯有人检测</w:t>
      </w:r>
      <w:bookmarkEnd w:id="42"/>
      <w:bookmarkEnd w:id="43"/>
    </w:p>
    <w:p w14:paraId="56D1285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当晚间关站，通过智慧地铁管控平台的应用联动任务触发视频分析任务，通过智能分析实时检测直梯内是否有人，当监测到直梯有人时触发报警，并将检测结果推送至智慧地铁管控平台，并在界面中提示用户。</w:t>
      </w:r>
    </w:p>
    <w:p w14:paraId="56D12856">
      <w:pPr>
        <w:pStyle w:val="5"/>
        <w:ind w:left="0"/>
        <w:rPr>
          <w:i w:val="0"/>
          <w:iCs w:val="0"/>
          <w:color w:val="auto"/>
          <w:sz w:val="22"/>
          <w:szCs w:val="22"/>
          <w:highlight w:val="none"/>
        </w:rPr>
      </w:pPr>
      <w:bookmarkStart w:id="44" w:name="_Toc196783773"/>
      <w:bookmarkStart w:id="45" w:name="_Toc4485"/>
      <w:r>
        <w:rPr>
          <w:i w:val="0"/>
          <w:iCs w:val="0"/>
          <w:color w:val="auto"/>
          <w:sz w:val="22"/>
          <w:szCs w:val="22"/>
          <w:highlight w:val="none"/>
        </w:rPr>
        <w:t>车站巡检检测场景</w:t>
      </w:r>
      <w:bookmarkEnd w:id="44"/>
      <w:bookmarkEnd w:id="45"/>
    </w:p>
    <w:p w14:paraId="56D12857">
      <w:pPr>
        <w:pStyle w:val="142"/>
        <w:ind w:firstLine="420"/>
        <w:rPr>
          <w:rFonts w:hint="eastAsia"/>
          <w:i w:val="0"/>
          <w:iCs w:val="0"/>
          <w:color w:val="auto"/>
          <w:sz w:val="21"/>
          <w:szCs w:val="15"/>
          <w:highlight w:val="none"/>
          <w:lang w:val="en-US" w:eastAsia="zh-CN"/>
        </w:rPr>
      </w:pPr>
      <w:bookmarkStart w:id="46" w:name="bookmark51"/>
      <w:bookmarkEnd w:id="46"/>
      <w:r>
        <w:rPr>
          <w:rFonts w:hint="eastAsia"/>
          <w:i w:val="0"/>
          <w:iCs w:val="0"/>
          <w:color w:val="auto"/>
          <w:sz w:val="21"/>
          <w:szCs w:val="15"/>
          <w:highlight w:val="none"/>
          <w:lang w:val="en-US" w:eastAsia="zh-CN"/>
        </w:rPr>
        <w:t>智慧地铁管控平台已经实现按照指定的视频巡检路线，完成对车站的视频巡检，实现自动化巡检功能。支持路径规划、一键巡检、巡检设置。</w:t>
      </w:r>
    </w:p>
    <w:p w14:paraId="56D1285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结合车站运营对本功能智慧化的需求，对智能巡检功能进行升级改造，本期结合视频分析能力，提升车站运营过程中运营检查的智能化程度。</w:t>
      </w:r>
    </w:p>
    <w:p w14:paraId="56D1285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通过智慧地铁管控平台对接，同步巡站线路视频，当每次巡站应用联动任务触发视频分析任务，实现9种智能监测算法（包括但不限于以下算法逻辑，具体算法种类在设计联络阶段确定）：</w:t>
      </w:r>
    </w:p>
    <w:p w14:paraId="56D1285A">
      <w:pPr>
        <w:pStyle w:val="142"/>
        <w:numPr>
          <w:ilvl w:val="0"/>
          <w:numId w:val="30"/>
        </w:numPr>
        <w:ind w:firstLineChars="0"/>
        <w:rPr>
          <w:i w:val="0"/>
          <w:iCs w:val="0"/>
          <w:color w:val="auto"/>
          <w:sz w:val="21"/>
          <w:szCs w:val="15"/>
          <w:highlight w:val="none"/>
        </w:rPr>
      </w:pPr>
      <w:r>
        <w:rPr>
          <w:i w:val="0"/>
          <w:iCs w:val="0"/>
          <w:color w:val="auto"/>
          <w:sz w:val="21"/>
          <w:szCs w:val="15"/>
          <w:highlight w:val="none"/>
        </w:rPr>
        <w:t>消火栓门/消防器门状态检测</w:t>
      </w:r>
    </w:p>
    <w:p w14:paraId="56D1285B">
      <w:pPr>
        <w:pStyle w:val="142"/>
        <w:numPr>
          <w:ilvl w:val="0"/>
          <w:numId w:val="30"/>
        </w:numPr>
        <w:ind w:firstLineChars="0"/>
        <w:rPr>
          <w:i w:val="0"/>
          <w:iCs w:val="0"/>
          <w:color w:val="auto"/>
          <w:sz w:val="21"/>
          <w:szCs w:val="15"/>
          <w:highlight w:val="none"/>
        </w:rPr>
      </w:pPr>
      <w:r>
        <w:rPr>
          <w:i w:val="0"/>
          <w:iCs w:val="0"/>
          <w:color w:val="auto"/>
          <w:sz w:val="21"/>
          <w:szCs w:val="15"/>
          <w:highlight w:val="none"/>
        </w:rPr>
        <w:t>地面</w:t>
      </w:r>
      <w:r>
        <w:rPr>
          <w:rFonts w:hint="eastAsia"/>
          <w:i w:val="0"/>
          <w:iCs w:val="0"/>
          <w:color w:val="auto"/>
          <w:sz w:val="21"/>
          <w:szCs w:val="15"/>
          <w:highlight w:val="none"/>
          <w:lang w:val="en-US" w:eastAsia="zh-CN"/>
        </w:rPr>
        <w:t>大量</w:t>
      </w:r>
      <w:r>
        <w:rPr>
          <w:i w:val="0"/>
          <w:iCs w:val="0"/>
          <w:color w:val="auto"/>
          <w:sz w:val="21"/>
          <w:szCs w:val="15"/>
          <w:highlight w:val="none"/>
        </w:rPr>
        <w:t>积水</w:t>
      </w:r>
    </w:p>
    <w:p w14:paraId="56D1285C">
      <w:pPr>
        <w:pStyle w:val="142"/>
        <w:numPr>
          <w:ilvl w:val="0"/>
          <w:numId w:val="30"/>
        </w:numPr>
        <w:ind w:firstLineChars="0"/>
        <w:rPr>
          <w:i w:val="0"/>
          <w:iCs w:val="0"/>
          <w:color w:val="auto"/>
          <w:sz w:val="21"/>
          <w:szCs w:val="15"/>
          <w:highlight w:val="none"/>
        </w:rPr>
      </w:pPr>
      <w:r>
        <w:rPr>
          <w:i w:val="0"/>
          <w:iCs w:val="0"/>
          <w:color w:val="auto"/>
          <w:sz w:val="21"/>
          <w:szCs w:val="15"/>
          <w:highlight w:val="none"/>
        </w:rPr>
        <w:t>信息显示屏是否黑屏检测</w:t>
      </w:r>
    </w:p>
    <w:p w14:paraId="56D1285D">
      <w:pPr>
        <w:pStyle w:val="142"/>
        <w:numPr>
          <w:ilvl w:val="0"/>
          <w:numId w:val="30"/>
        </w:numPr>
        <w:ind w:firstLineChars="0"/>
        <w:rPr>
          <w:i w:val="0"/>
          <w:iCs w:val="0"/>
          <w:color w:val="auto"/>
          <w:sz w:val="21"/>
          <w:szCs w:val="15"/>
          <w:highlight w:val="none"/>
        </w:rPr>
      </w:pPr>
      <w:r>
        <w:rPr>
          <w:i w:val="0"/>
          <w:iCs w:val="0"/>
          <w:color w:val="auto"/>
          <w:sz w:val="21"/>
          <w:szCs w:val="15"/>
          <w:highlight w:val="none"/>
        </w:rPr>
        <w:t>风亭漫水</w:t>
      </w:r>
    </w:p>
    <w:p w14:paraId="56D1285E">
      <w:pPr>
        <w:pStyle w:val="142"/>
        <w:numPr>
          <w:ilvl w:val="0"/>
          <w:numId w:val="30"/>
        </w:numPr>
        <w:ind w:firstLineChars="0"/>
        <w:rPr>
          <w:i w:val="0"/>
          <w:iCs w:val="0"/>
          <w:color w:val="auto"/>
          <w:sz w:val="21"/>
          <w:szCs w:val="15"/>
          <w:highlight w:val="none"/>
        </w:rPr>
      </w:pPr>
      <w:r>
        <w:rPr>
          <w:i w:val="0"/>
          <w:iCs w:val="0"/>
          <w:color w:val="auto"/>
          <w:sz w:val="21"/>
          <w:szCs w:val="15"/>
          <w:highlight w:val="none"/>
        </w:rPr>
        <w:t>人员摔倒</w:t>
      </w:r>
    </w:p>
    <w:p w14:paraId="56D1285F">
      <w:pPr>
        <w:pStyle w:val="142"/>
        <w:numPr>
          <w:ilvl w:val="0"/>
          <w:numId w:val="30"/>
        </w:numPr>
        <w:ind w:firstLineChars="0"/>
        <w:rPr>
          <w:i w:val="0"/>
          <w:iCs w:val="0"/>
          <w:color w:val="auto"/>
          <w:sz w:val="21"/>
          <w:szCs w:val="15"/>
          <w:highlight w:val="none"/>
        </w:rPr>
      </w:pPr>
      <w:r>
        <w:rPr>
          <w:i w:val="0"/>
          <w:iCs w:val="0"/>
          <w:color w:val="auto"/>
          <w:sz w:val="21"/>
          <w:szCs w:val="15"/>
          <w:highlight w:val="none"/>
        </w:rPr>
        <w:t>烟火检测</w:t>
      </w:r>
    </w:p>
    <w:p w14:paraId="56D12860">
      <w:pPr>
        <w:pStyle w:val="142"/>
        <w:numPr>
          <w:ilvl w:val="0"/>
          <w:numId w:val="30"/>
        </w:numPr>
        <w:ind w:firstLineChars="0"/>
        <w:rPr>
          <w:i w:val="0"/>
          <w:iCs w:val="0"/>
          <w:color w:val="auto"/>
          <w:sz w:val="21"/>
          <w:szCs w:val="15"/>
          <w:highlight w:val="none"/>
        </w:rPr>
      </w:pPr>
      <w:r>
        <w:rPr>
          <w:i w:val="0"/>
          <w:iCs w:val="0"/>
          <w:color w:val="auto"/>
          <w:sz w:val="21"/>
          <w:szCs w:val="15"/>
          <w:highlight w:val="none"/>
        </w:rPr>
        <w:t>轮椅检测</w:t>
      </w:r>
    </w:p>
    <w:p w14:paraId="56D1286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在启动智能巡检功能后，视频分析同时启动，并对各种异常行为/情况进行检查，如有异常生成监测预警消息，预警消息包括监测时间、事发所在位置、对应画面截图等内容，并实时推送至智慧地铁管控平台。</w:t>
      </w:r>
    </w:p>
    <w:p w14:paraId="56D12862">
      <w:pPr>
        <w:pStyle w:val="4"/>
        <w:rPr>
          <w:i w:val="0"/>
          <w:iCs w:val="0"/>
          <w:color w:val="auto"/>
          <w:sz w:val="24"/>
          <w:szCs w:val="21"/>
          <w:highlight w:val="none"/>
        </w:rPr>
      </w:pPr>
      <w:bookmarkStart w:id="47" w:name="_Toc24250"/>
      <w:bookmarkStart w:id="48" w:name="_Toc196783774"/>
      <w:r>
        <w:rPr>
          <w:i w:val="0"/>
          <w:iCs w:val="0"/>
          <w:color w:val="auto"/>
          <w:sz w:val="24"/>
          <w:szCs w:val="21"/>
          <w:highlight w:val="none"/>
        </w:rPr>
        <w:t>车站智能视频分析系统构成</w:t>
      </w:r>
      <w:bookmarkEnd w:id="47"/>
    </w:p>
    <w:p w14:paraId="56D12863">
      <w:pPr>
        <w:pStyle w:val="142"/>
        <w:ind w:firstLine="420"/>
        <w:rPr>
          <w:rFonts w:hint="eastAsia"/>
          <w:i w:val="0"/>
          <w:iCs w:val="0"/>
          <w:color w:val="auto"/>
          <w:sz w:val="21"/>
          <w:szCs w:val="15"/>
          <w:highlight w:val="none"/>
          <w:lang w:val="en-US" w:eastAsia="zh-CN"/>
        </w:rPr>
      </w:pPr>
      <w:bookmarkStart w:id="49" w:name="_Hlk196333230"/>
      <w:r>
        <w:rPr>
          <w:rFonts w:hint="eastAsia"/>
          <w:i w:val="0"/>
          <w:iCs w:val="0"/>
          <w:color w:val="auto"/>
          <w:sz w:val="21"/>
          <w:szCs w:val="15"/>
          <w:highlight w:val="none"/>
          <w:lang w:val="en-US" w:eastAsia="zh-CN"/>
        </w:rPr>
        <w:drawing>
          <wp:anchor distT="0" distB="0" distL="114300" distR="114300" simplePos="0" relativeHeight="251661312" behindDoc="0" locked="0" layoutInCell="1" allowOverlap="1">
            <wp:simplePos x="0" y="0"/>
            <wp:positionH relativeFrom="margin">
              <wp:posOffset>38735</wp:posOffset>
            </wp:positionH>
            <wp:positionV relativeFrom="paragraph">
              <wp:posOffset>785495</wp:posOffset>
            </wp:positionV>
            <wp:extent cx="5276850" cy="3281680"/>
            <wp:effectExtent l="0" t="0" r="0" b="0"/>
            <wp:wrapTopAndBottom/>
            <wp:docPr id="204816630"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16630" name="图片 7" descr="图片包含 图形用户界面&#10;&#10;AI 生成的内容可能不正确。"/>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6850" cy="3281680"/>
                    </a:xfrm>
                    <a:prstGeom prst="rect">
                      <a:avLst/>
                    </a:prstGeom>
                    <a:noFill/>
                    <a:ln>
                      <a:noFill/>
                    </a:ln>
                  </pic:spPr>
                </pic:pic>
              </a:graphicData>
            </a:graphic>
          </wp:anchor>
        </w:drawing>
      </w:r>
      <w:r>
        <w:rPr>
          <w:rFonts w:hint="eastAsia"/>
          <w:i w:val="0"/>
          <w:iCs w:val="0"/>
          <w:color w:val="auto"/>
          <w:sz w:val="21"/>
          <w:szCs w:val="15"/>
          <w:highlight w:val="none"/>
          <w:lang w:val="en-US" w:eastAsia="zh-CN"/>
        </w:rPr>
        <w:t>车站智能视频分析系统由部署于车站通信设备室的视频分析设备、防火墙，部署于公安值班室的显示终端组成。</w:t>
      </w:r>
    </w:p>
    <w:p w14:paraId="56D12864">
      <w:pPr>
        <w:pStyle w:val="142"/>
        <w:ind w:firstLine="420"/>
        <w:rPr>
          <w:i w:val="0"/>
          <w:iCs w:val="0"/>
          <w:color w:val="auto"/>
          <w:sz w:val="21"/>
          <w:szCs w:val="15"/>
          <w:highlight w:val="none"/>
        </w:rPr>
      </w:pPr>
    </w:p>
    <w:p w14:paraId="56D12865">
      <w:pPr>
        <w:pStyle w:val="5"/>
        <w:ind w:left="0"/>
        <w:rPr>
          <w:i w:val="0"/>
          <w:iCs w:val="0"/>
          <w:color w:val="auto"/>
          <w:sz w:val="22"/>
          <w:szCs w:val="22"/>
          <w:highlight w:val="none"/>
        </w:rPr>
      </w:pPr>
      <w:bookmarkStart w:id="50" w:name="_Toc24811"/>
      <w:r>
        <w:rPr>
          <w:rFonts w:hint="eastAsia"/>
          <w:i w:val="0"/>
          <w:iCs w:val="0"/>
          <w:color w:val="auto"/>
          <w:sz w:val="22"/>
          <w:szCs w:val="22"/>
          <w:highlight w:val="none"/>
        </w:rPr>
        <w:t>视频分析设备</w:t>
      </w:r>
      <w:bookmarkEnd w:id="50"/>
    </w:p>
    <w:p w14:paraId="56D1286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在全线各车站分别部署一套视频分析设备部署于车站的通信设备室，通过车站CCTV汇聚交换机接入到现有的</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CCTV系统</w:t>
      </w:r>
      <w:bookmarkEnd w:id="49"/>
      <w:r>
        <w:rPr>
          <w:rFonts w:hint="eastAsia"/>
          <w:i w:val="0"/>
          <w:iCs w:val="0"/>
          <w:color w:val="auto"/>
          <w:sz w:val="21"/>
          <w:szCs w:val="15"/>
          <w:highlight w:val="none"/>
          <w:lang w:val="en-US" w:eastAsia="zh-CN"/>
        </w:rPr>
        <w:t>。投标人应确保所投视频分析设备可接入既有CCTV系统，为满足系统兼容性而进行的调整，相关费用均包含在本项目总价内，投标方不得另行提出相关费用。</w:t>
      </w:r>
    </w:p>
    <w:p w14:paraId="56D12867">
      <w:pPr>
        <w:pStyle w:val="6"/>
        <w:ind w:left="0"/>
        <w:rPr>
          <w:i w:val="0"/>
          <w:iCs w:val="0"/>
          <w:color w:val="auto"/>
          <w:sz w:val="21"/>
          <w:szCs w:val="21"/>
          <w:highlight w:val="none"/>
        </w:rPr>
      </w:pPr>
      <w:r>
        <w:rPr>
          <w:rFonts w:hint="eastAsia"/>
          <w:i w:val="0"/>
          <w:iCs w:val="0"/>
          <w:color w:val="auto"/>
          <w:sz w:val="21"/>
          <w:szCs w:val="21"/>
          <w:highlight w:val="none"/>
        </w:rPr>
        <w:t>视频分析资源需求</w:t>
      </w:r>
    </w:p>
    <w:p w14:paraId="56D1286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隔栏递物监视区域覆盖出闸机两侧边界位置，不含已摆设铁马栏杆隔离区域，每个站均按2个摄像机，每个摄像头视频分别运行双侧递物检测跟单侧递物检测2个业务场景监测，每站考虑配置4-5路视频分析资源，全线34个车站分析资源不超过164路。</w:t>
      </w:r>
    </w:p>
    <w:p w14:paraId="56D1286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安检人员值岗状态监测按每个车站2路摄像头，每个摄像头视频同时运行值班人员打瞌睡、玩手机共2个业务场景监测分析，每站考虑配置4路视频分析资源，全线34个车站的所有安检区，视频分析资源不超过140路。</w:t>
      </w:r>
    </w:p>
    <w:p w14:paraId="56D1286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扶梯人员摔倒检测，按照各车站扶梯对应的监测摄像头，每个摄像头对应1个扶梯人员摔倒检测业务场景占用1路视频分析资源。全线34个车站，并按照大站40路（14个站）、中站26路（9个站）、小站26路（11个站）来配置视频分析资源。</w:t>
      </w:r>
    </w:p>
    <w:p w14:paraId="56D1286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专题二：投标人应充分了解建设期视频分析内容，采用分时复用等技术，与运营期视频分析设备进行统筹，投标人应在投标文件中详细描述对既有视频分析设备的利用方案，并在设计联络阶段将具体方案交由招标人确认。</w:t>
      </w:r>
    </w:p>
    <w:p w14:paraId="56D1286C">
      <w:pPr>
        <w:pStyle w:val="6"/>
        <w:ind w:left="0"/>
        <w:rPr>
          <w:i w:val="0"/>
          <w:iCs w:val="0"/>
          <w:color w:val="auto"/>
          <w:sz w:val="21"/>
          <w:szCs w:val="15"/>
          <w:highlight w:val="none"/>
        </w:rPr>
      </w:pPr>
      <w:r>
        <w:rPr>
          <w:rFonts w:hint="eastAsia"/>
          <w:i w:val="0"/>
          <w:iCs w:val="0"/>
          <w:color w:val="auto"/>
          <w:sz w:val="21"/>
          <w:szCs w:val="15"/>
          <w:highlight w:val="none"/>
        </w:rPr>
        <w:t>视频分析设备配置</w:t>
      </w:r>
    </w:p>
    <w:p w14:paraId="56D1286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视频分析设备部署于各车站通信设备室CCTV机柜内，接入既有CCTV系统，通过既有CCTV系统网络，获取前端摄像机图像数据。</w:t>
      </w:r>
    </w:p>
    <w:p w14:paraId="56D1286E">
      <w:pPr>
        <w:pStyle w:val="5"/>
        <w:ind w:left="0"/>
        <w:rPr>
          <w:i w:val="0"/>
          <w:iCs w:val="0"/>
          <w:color w:val="auto"/>
          <w:sz w:val="22"/>
          <w:szCs w:val="22"/>
          <w:highlight w:val="none"/>
        </w:rPr>
      </w:pPr>
      <w:bookmarkStart w:id="51" w:name="_Toc26458"/>
      <w:r>
        <w:rPr>
          <w:rFonts w:hint="eastAsia"/>
          <w:i w:val="0"/>
          <w:iCs w:val="0"/>
          <w:color w:val="auto"/>
          <w:sz w:val="22"/>
          <w:szCs w:val="22"/>
          <w:highlight w:val="none"/>
        </w:rPr>
        <w:t>警务终端设备</w:t>
      </w:r>
      <w:bookmarkEnd w:id="51"/>
    </w:p>
    <w:p w14:paraId="56D1286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在各车站公安警务室（具体设置位置设计联络阶段协商确定）新增终端，通过在车站直接访问车站视频分析设备界面实现告警信息调看与提醒。</w:t>
      </w:r>
    </w:p>
    <w:p w14:paraId="56D1287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各车站控制室，利用既有管控平台终端实现告警信息调看与提醒。</w:t>
      </w:r>
    </w:p>
    <w:p w14:paraId="56D12871">
      <w:pPr>
        <w:pStyle w:val="5"/>
        <w:ind w:left="0"/>
        <w:rPr>
          <w:i w:val="0"/>
          <w:iCs w:val="0"/>
          <w:color w:val="auto"/>
          <w:sz w:val="22"/>
          <w:szCs w:val="22"/>
          <w:highlight w:val="none"/>
        </w:rPr>
      </w:pPr>
      <w:bookmarkStart w:id="52" w:name="_Toc3516"/>
      <w:r>
        <w:rPr>
          <w:rFonts w:hint="eastAsia"/>
          <w:i w:val="0"/>
          <w:iCs w:val="0"/>
          <w:color w:val="auto"/>
          <w:sz w:val="22"/>
          <w:szCs w:val="22"/>
          <w:highlight w:val="none"/>
        </w:rPr>
        <w:t>防火墙</w:t>
      </w:r>
      <w:bookmarkEnd w:id="52"/>
    </w:p>
    <w:p w14:paraId="56D1287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各车站安检终端，在控制中心新增防火墙实现综合监控网络与安检网络联通，实现各车站的安检执机处终端可接收管控平台推送的报警信息，如当存在隔栏递物事件时，基于权限对应车站安检终端可显示告警信息。投标人应制定完善的系统接入及应急处置方案，确保新增接口不影响既有系统运行，并落实监管主题，保证系统兼容性和完整性。</w:t>
      </w:r>
    </w:p>
    <w:p w14:paraId="56D12873">
      <w:pPr>
        <w:pStyle w:val="5"/>
        <w:ind w:left="0"/>
        <w:rPr>
          <w:i w:val="0"/>
          <w:iCs w:val="0"/>
          <w:color w:val="auto"/>
          <w:sz w:val="22"/>
          <w:szCs w:val="22"/>
          <w:highlight w:val="none"/>
        </w:rPr>
      </w:pPr>
      <w:bookmarkStart w:id="53" w:name="_Toc2937"/>
      <w:r>
        <w:rPr>
          <w:rFonts w:hint="eastAsia"/>
          <w:i w:val="0"/>
          <w:iCs w:val="0"/>
          <w:color w:val="auto"/>
          <w:sz w:val="22"/>
          <w:szCs w:val="22"/>
          <w:highlight w:val="none"/>
        </w:rPr>
        <w:t>摄像机</w:t>
      </w:r>
      <w:bookmarkEnd w:id="53"/>
    </w:p>
    <w:p w14:paraId="56D1287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以下统计为初步统计，投标人应基于自身视频分析算法对前端设备调用方案进行优化，并在投标文件中详细描述，同时满足本项目视频分析功能需求；最终优化方案应在设计联络阶段提交业主确认。</w:t>
      </w:r>
    </w:p>
    <w:p w14:paraId="56D12875">
      <w:pPr>
        <w:pStyle w:val="142"/>
        <w:ind w:firstLine="420"/>
        <w:rPr>
          <w:i w:val="0"/>
          <w:iCs w:val="0"/>
          <w:color w:val="auto"/>
          <w:sz w:val="21"/>
          <w:szCs w:val="15"/>
          <w:highlight w:val="none"/>
          <w:lang w:val="en-US"/>
        </w:rPr>
      </w:pPr>
    </w:p>
    <w:p w14:paraId="56D12876">
      <w:pPr>
        <w:pStyle w:val="6"/>
        <w:ind w:left="0"/>
        <w:rPr>
          <w:i w:val="0"/>
          <w:iCs w:val="0"/>
          <w:color w:val="auto"/>
          <w:sz w:val="21"/>
          <w:szCs w:val="21"/>
          <w:highlight w:val="none"/>
        </w:rPr>
      </w:pPr>
      <w:bookmarkStart w:id="54" w:name="_Toc196783781"/>
      <w:r>
        <w:rPr>
          <w:i w:val="0"/>
          <w:iCs w:val="0"/>
          <w:color w:val="auto"/>
          <w:sz w:val="21"/>
          <w:szCs w:val="21"/>
          <w:highlight w:val="none"/>
        </w:rPr>
        <w:t>扶梯区域</w:t>
      </w:r>
      <w:bookmarkEnd w:id="54"/>
      <w:r>
        <w:rPr>
          <w:rFonts w:hint="eastAsia"/>
          <w:i w:val="0"/>
          <w:iCs w:val="0"/>
          <w:color w:val="auto"/>
          <w:sz w:val="21"/>
          <w:szCs w:val="21"/>
          <w:highlight w:val="none"/>
        </w:rPr>
        <w:t>视频分析统计</w:t>
      </w:r>
    </w:p>
    <w:p w14:paraId="56D1287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扶梯人员摔倒检测范围覆盖出入口扶梯、站厅至站台扶梯检测区域，各站扶梯摄像机头数量如下：</w:t>
      </w:r>
    </w:p>
    <w:tbl>
      <w:tblPr>
        <w:tblStyle w:val="88"/>
        <w:tblW w:w="612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66"/>
        <w:gridCol w:w="1304"/>
        <w:gridCol w:w="1584"/>
        <w:gridCol w:w="1672"/>
      </w:tblGrid>
      <w:tr w14:paraId="56D1287C">
        <w:tblPrEx>
          <w:tblCellMar>
            <w:top w:w="0" w:type="dxa"/>
            <w:left w:w="108" w:type="dxa"/>
            <w:bottom w:w="0" w:type="dxa"/>
            <w:right w:w="108" w:type="dxa"/>
          </w:tblCellMar>
        </w:tblPrEx>
        <w:trPr>
          <w:trHeight w:val="348" w:hRule="atLeast"/>
          <w:jc w:val="center"/>
        </w:trPr>
        <w:tc>
          <w:tcPr>
            <w:tcW w:w="1566" w:type="dxa"/>
            <w:tcBorders>
              <w:tl2br w:val="nil"/>
              <w:tr2bl w:val="nil"/>
            </w:tcBorders>
            <w:noWrap/>
            <w:vAlign w:val="center"/>
          </w:tcPr>
          <w:p w14:paraId="56D1287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站名</w:t>
            </w:r>
          </w:p>
        </w:tc>
        <w:tc>
          <w:tcPr>
            <w:tcW w:w="1304" w:type="dxa"/>
            <w:tcBorders>
              <w:tl2br w:val="nil"/>
              <w:tr2bl w:val="nil"/>
            </w:tcBorders>
            <w:noWrap/>
            <w:vAlign w:val="center"/>
          </w:tcPr>
          <w:p w14:paraId="56D1287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等级</w:t>
            </w:r>
          </w:p>
        </w:tc>
        <w:tc>
          <w:tcPr>
            <w:tcW w:w="1584" w:type="dxa"/>
            <w:tcBorders>
              <w:tl2br w:val="nil"/>
              <w:tr2bl w:val="nil"/>
            </w:tcBorders>
            <w:noWrap/>
            <w:vAlign w:val="center"/>
          </w:tcPr>
          <w:p w14:paraId="56D1287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特征</w:t>
            </w:r>
          </w:p>
        </w:tc>
        <w:tc>
          <w:tcPr>
            <w:tcW w:w="1672" w:type="dxa"/>
            <w:tcBorders>
              <w:tl2br w:val="nil"/>
              <w:tr2bl w:val="nil"/>
            </w:tcBorders>
            <w:vAlign w:val="center"/>
          </w:tcPr>
          <w:p w14:paraId="56D1287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扶梯摄像头总数</w:t>
            </w:r>
          </w:p>
        </w:tc>
      </w:tr>
      <w:tr w14:paraId="56D128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7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湘雅医院</w:t>
            </w:r>
          </w:p>
        </w:tc>
        <w:tc>
          <w:tcPr>
            <w:tcW w:w="1304" w:type="dxa"/>
            <w:tcBorders>
              <w:tl2br w:val="nil"/>
              <w:tr2bl w:val="nil"/>
            </w:tcBorders>
            <w:noWrap/>
            <w:vAlign w:val="center"/>
          </w:tcPr>
          <w:p w14:paraId="56D1287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7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医院</w:t>
            </w:r>
          </w:p>
        </w:tc>
        <w:tc>
          <w:tcPr>
            <w:tcW w:w="1672" w:type="dxa"/>
            <w:tcBorders>
              <w:tl2br w:val="nil"/>
              <w:tr2bl w:val="nil"/>
            </w:tcBorders>
            <w:noWrap/>
            <w:vAlign w:val="center"/>
          </w:tcPr>
          <w:p w14:paraId="56D1288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8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8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窑岭湘雅二医院</w:t>
            </w:r>
          </w:p>
        </w:tc>
        <w:tc>
          <w:tcPr>
            <w:tcW w:w="1304" w:type="dxa"/>
            <w:tcBorders>
              <w:tl2br w:val="nil"/>
              <w:tr2bl w:val="nil"/>
            </w:tcBorders>
            <w:noWrap/>
            <w:vAlign w:val="center"/>
          </w:tcPr>
          <w:p w14:paraId="56D1288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8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医院</w:t>
            </w:r>
          </w:p>
        </w:tc>
        <w:tc>
          <w:tcPr>
            <w:tcW w:w="1672" w:type="dxa"/>
            <w:tcBorders>
              <w:tl2br w:val="nil"/>
              <w:tr2bl w:val="nil"/>
            </w:tcBorders>
            <w:noWrap/>
            <w:vAlign w:val="center"/>
          </w:tcPr>
          <w:p w14:paraId="56D1288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8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白鸽咀</w:t>
            </w:r>
          </w:p>
        </w:tc>
        <w:tc>
          <w:tcPr>
            <w:tcW w:w="1304" w:type="dxa"/>
            <w:tcBorders>
              <w:tl2br w:val="nil"/>
              <w:tr2bl w:val="nil"/>
            </w:tcBorders>
            <w:noWrap/>
            <w:vAlign w:val="center"/>
          </w:tcPr>
          <w:p w14:paraId="56D1288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8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医院、商业</w:t>
            </w:r>
          </w:p>
        </w:tc>
        <w:tc>
          <w:tcPr>
            <w:tcW w:w="1672" w:type="dxa"/>
            <w:tcBorders>
              <w:tl2br w:val="nil"/>
              <w:tr2bl w:val="nil"/>
            </w:tcBorders>
            <w:noWrap/>
            <w:vAlign w:val="center"/>
          </w:tcPr>
          <w:p w14:paraId="56D1288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8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8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长丰</w:t>
            </w:r>
          </w:p>
        </w:tc>
        <w:tc>
          <w:tcPr>
            <w:tcW w:w="1304" w:type="dxa"/>
            <w:tcBorders>
              <w:tl2br w:val="nil"/>
              <w:tr2bl w:val="nil"/>
            </w:tcBorders>
            <w:noWrap/>
            <w:vAlign w:val="center"/>
          </w:tcPr>
          <w:p w14:paraId="56D1288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8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672" w:type="dxa"/>
            <w:tcBorders>
              <w:tl2br w:val="nil"/>
              <w:tr2bl w:val="nil"/>
            </w:tcBorders>
            <w:noWrap/>
            <w:vAlign w:val="center"/>
          </w:tcPr>
          <w:p w14:paraId="56D1288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r>
      <w:tr w14:paraId="56D128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9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涧塘</w:t>
            </w:r>
          </w:p>
        </w:tc>
        <w:tc>
          <w:tcPr>
            <w:tcW w:w="1304" w:type="dxa"/>
            <w:tcBorders>
              <w:tl2br w:val="nil"/>
              <w:tr2bl w:val="nil"/>
            </w:tcBorders>
            <w:noWrap/>
            <w:vAlign w:val="center"/>
          </w:tcPr>
          <w:p w14:paraId="56D1289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9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672" w:type="dxa"/>
            <w:tcBorders>
              <w:tl2br w:val="nil"/>
              <w:tr2bl w:val="nil"/>
            </w:tcBorders>
            <w:noWrap/>
            <w:vAlign w:val="center"/>
          </w:tcPr>
          <w:p w14:paraId="56D1289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18</w:t>
            </w:r>
          </w:p>
        </w:tc>
      </w:tr>
      <w:tr w14:paraId="56D128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9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长庆</w:t>
            </w:r>
          </w:p>
        </w:tc>
        <w:tc>
          <w:tcPr>
            <w:tcW w:w="1304" w:type="dxa"/>
            <w:tcBorders>
              <w:tl2br w:val="nil"/>
              <w:tr2bl w:val="nil"/>
            </w:tcBorders>
            <w:noWrap/>
            <w:vAlign w:val="center"/>
          </w:tcPr>
          <w:p w14:paraId="56D1289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9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商业</w:t>
            </w:r>
          </w:p>
        </w:tc>
        <w:tc>
          <w:tcPr>
            <w:tcW w:w="1672" w:type="dxa"/>
            <w:tcBorders>
              <w:tl2br w:val="nil"/>
              <w:tr2bl w:val="nil"/>
            </w:tcBorders>
            <w:noWrap/>
            <w:vAlign w:val="center"/>
          </w:tcPr>
          <w:p w14:paraId="56D1289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r>
      <w:tr w14:paraId="56D128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9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和馨园</w:t>
            </w:r>
          </w:p>
        </w:tc>
        <w:tc>
          <w:tcPr>
            <w:tcW w:w="1304" w:type="dxa"/>
            <w:tcBorders>
              <w:tl2br w:val="nil"/>
              <w:tr2bl w:val="nil"/>
            </w:tcBorders>
            <w:noWrap/>
            <w:vAlign w:val="center"/>
          </w:tcPr>
          <w:p w14:paraId="56D1289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9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672" w:type="dxa"/>
            <w:tcBorders>
              <w:tl2br w:val="nil"/>
              <w:tr2bl w:val="nil"/>
            </w:tcBorders>
            <w:noWrap/>
            <w:vAlign w:val="center"/>
          </w:tcPr>
          <w:p w14:paraId="56D1289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8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A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龙华</w:t>
            </w:r>
          </w:p>
        </w:tc>
        <w:tc>
          <w:tcPr>
            <w:tcW w:w="1304" w:type="dxa"/>
            <w:tcBorders>
              <w:tl2br w:val="nil"/>
              <w:tr2bl w:val="nil"/>
            </w:tcBorders>
            <w:noWrap/>
            <w:vAlign w:val="center"/>
          </w:tcPr>
          <w:p w14:paraId="56D128A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A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672" w:type="dxa"/>
            <w:tcBorders>
              <w:tl2br w:val="nil"/>
              <w:tr2bl w:val="nil"/>
            </w:tcBorders>
            <w:noWrap/>
            <w:vAlign w:val="center"/>
          </w:tcPr>
          <w:p w14:paraId="56D128A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8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A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黄花机场T1T2</w:t>
            </w:r>
          </w:p>
        </w:tc>
        <w:tc>
          <w:tcPr>
            <w:tcW w:w="1304" w:type="dxa"/>
            <w:tcBorders>
              <w:tl2br w:val="nil"/>
              <w:tr2bl w:val="nil"/>
            </w:tcBorders>
            <w:noWrap/>
            <w:vAlign w:val="center"/>
          </w:tcPr>
          <w:p w14:paraId="56D128A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A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交通枢纽</w:t>
            </w:r>
          </w:p>
        </w:tc>
        <w:tc>
          <w:tcPr>
            <w:tcW w:w="1672" w:type="dxa"/>
            <w:tcBorders>
              <w:tl2br w:val="nil"/>
              <w:tr2bl w:val="nil"/>
            </w:tcBorders>
            <w:noWrap/>
            <w:vAlign w:val="center"/>
          </w:tcPr>
          <w:p w14:paraId="56D128A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8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A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农科院农大</w:t>
            </w:r>
          </w:p>
        </w:tc>
        <w:tc>
          <w:tcPr>
            <w:tcW w:w="1304" w:type="dxa"/>
            <w:tcBorders>
              <w:tl2br w:val="nil"/>
              <w:tr2bl w:val="nil"/>
            </w:tcBorders>
            <w:noWrap/>
            <w:vAlign w:val="center"/>
          </w:tcPr>
          <w:p w14:paraId="56D128A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A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大学</w:t>
            </w:r>
          </w:p>
        </w:tc>
        <w:tc>
          <w:tcPr>
            <w:tcW w:w="1672" w:type="dxa"/>
            <w:tcBorders>
              <w:tl2br w:val="nil"/>
              <w:tr2bl w:val="nil"/>
            </w:tcBorders>
            <w:noWrap/>
            <w:vAlign w:val="center"/>
          </w:tcPr>
          <w:p w14:paraId="56D128A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8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A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烈士公园南</w:t>
            </w:r>
          </w:p>
        </w:tc>
        <w:tc>
          <w:tcPr>
            <w:tcW w:w="1304" w:type="dxa"/>
            <w:tcBorders>
              <w:tl2br w:val="nil"/>
              <w:tr2bl w:val="nil"/>
            </w:tcBorders>
            <w:noWrap/>
            <w:vAlign w:val="center"/>
          </w:tcPr>
          <w:p w14:paraId="56D128B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B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公园</w:t>
            </w:r>
          </w:p>
        </w:tc>
        <w:tc>
          <w:tcPr>
            <w:tcW w:w="1672" w:type="dxa"/>
            <w:tcBorders>
              <w:tl2br w:val="nil"/>
              <w:tr2bl w:val="nil"/>
            </w:tcBorders>
            <w:noWrap/>
            <w:vAlign w:val="center"/>
          </w:tcPr>
          <w:p w14:paraId="56D128B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8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B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朝阳村</w:t>
            </w:r>
          </w:p>
        </w:tc>
        <w:tc>
          <w:tcPr>
            <w:tcW w:w="1304" w:type="dxa"/>
            <w:tcBorders>
              <w:tl2br w:val="nil"/>
              <w:tr2bl w:val="nil"/>
            </w:tcBorders>
            <w:noWrap/>
            <w:vAlign w:val="center"/>
          </w:tcPr>
          <w:p w14:paraId="56D128B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B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672" w:type="dxa"/>
            <w:tcBorders>
              <w:tl2br w:val="nil"/>
              <w:tr2bl w:val="nil"/>
            </w:tcBorders>
            <w:noWrap/>
            <w:vAlign w:val="center"/>
          </w:tcPr>
          <w:p w14:paraId="56D128B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B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湖南工商大学</w:t>
            </w:r>
          </w:p>
        </w:tc>
        <w:tc>
          <w:tcPr>
            <w:tcW w:w="1304" w:type="dxa"/>
            <w:tcBorders>
              <w:tl2br w:val="nil"/>
              <w:tr2bl w:val="nil"/>
            </w:tcBorders>
            <w:noWrap/>
            <w:vAlign w:val="center"/>
          </w:tcPr>
          <w:p w14:paraId="56D128B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B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大学</w:t>
            </w:r>
          </w:p>
        </w:tc>
        <w:tc>
          <w:tcPr>
            <w:tcW w:w="1672" w:type="dxa"/>
            <w:tcBorders>
              <w:tl2br w:val="nil"/>
              <w:tr2bl w:val="nil"/>
            </w:tcBorders>
            <w:noWrap/>
            <w:vAlign w:val="center"/>
          </w:tcPr>
          <w:p w14:paraId="56D128B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8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B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湘雅三医院</w:t>
            </w:r>
          </w:p>
        </w:tc>
        <w:tc>
          <w:tcPr>
            <w:tcW w:w="1304" w:type="dxa"/>
            <w:tcBorders>
              <w:tl2br w:val="nil"/>
              <w:tr2bl w:val="nil"/>
            </w:tcBorders>
            <w:noWrap/>
            <w:vAlign w:val="center"/>
          </w:tcPr>
          <w:p w14:paraId="56D128B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C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医院</w:t>
            </w:r>
          </w:p>
        </w:tc>
        <w:tc>
          <w:tcPr>
            <w:tcW w:w="1672" w:type="dxa"/>
            <w:tcBorders>
              <w:tl2br w:val="nil"/>
              <w:tr2bl w:val="nil"/>
            </w:tcBorders>
            <w:noWrap/>
            <w:vAlign w:val="center"/>
          </w:tcPr>
          <w:p w14:paraId="56D128C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r>
      <w:tr w14:paraId="56D128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C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文昌阁</w:t>
            </w:r>
          </w:p>
        </w:tc>
        <w:tc>
          <w:tcPr>
            <w:tcW w:w="1304" w:type="dxa"/>
            <w:tcBorders>
              <w:tl2br w:val="nil"/>
              <w:tr2bl w:val="nil"/>
            </w:tcBorders>
            <w:noWrap/>
            <w:vAlign w:val="center"/>
          </w:tcPr>
          <w:p w14:paraId="56D128C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C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672" w:type="dxa"/>
            <w:tcBorders>
              <w:tl2br w:val="nil"/>
              <w:tr2bl w:val="nil"/>
            </w:tcBorders>
            <w:noWrap/>
            <w:vAlign w:val="center"/>
          </w:tcPr>
          <w:p w14:paraId="56D128C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38</w:t>
            </w:r>
          </w:p>
        </w:tc>
      </w:tr>
      <w:tr w14:paraId="56D128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C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麓谷公园</w:t>
            </w:r>
          </w:p>
        </w:tc>
        <w:tc>
          <w:tcPr>
            <w:tcW w:w="1304" w:type="dxa"/>
            <w:tcBorders>
              <w:tl2br w:val="nil"/>
              <w:tr2bl w:val="nil"/>
            </w:tcBorders>
            <w:noWrap/>
            <w:vAlign w:val="center"/>
          </w:tcPr>
          <w:p w14:paraId="56D128C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C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672" w:type="dxa"/>
            <w:tcBorders>
              <w:tl2br w:val="nil"/>
              <w:tr2bl w:val="nil"/>
            </w:tcBorders>
            <w:noWrap/>
            <w:vAlign w:val="center"/>
          </w:tcPr>
          <w:p w14:paraId="56D128C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8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C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隆平水稻博物馆</w:t>
            </w:r>
          </w:p>
        </w:tc>
        <w:tc>
          <w:tcPr>
            <w:tcW w:w="1304" w:type="dxa"/>
            <w:tcBorders>
              <w:tl2br w:val="nil"/>
              <w:tr2bl w:val="nil"/>
            </w:tcBorders>
            <w:noWrap/>
            <w:vAlign w:val="center"/>
          </w:tcPr>
          <w:p w14:paraId="56D128C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C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672" w:type="dxa"/>
            <w:tcBorders>
              <w:tl2br w:val="nil"/>
              <w:tr2bl w:val="nil"/>
            </w:tcBorders>
            <w:noWrap/>
            <w:vAlign w:val="center"/>
          </w:tcPr>
          <w:p w14:paraId="56D128D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36</w:t>
            </w:r>
          </w:p>
        </w:tc>
      </w:tr>
      <w:tr w14:paraId="56D128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D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芙蓉区政府</w:t>
            </w:r>
          </w:p>
        </w:tc>
        <w:tc>
          <w:tcPr>
            <w:tcW w:w="1304" w:type="dxa"/>
            <w:tcBorders>
              <w:tl2br w:val="nil"/>
              <w:tr2bl w:val="nil"/>
            </w:tcBorders>
            <w:noWrap/>
            <w:vAlign w:val="center"/>
          </w:tcPr>
          <w:p w14:paraId="56D128D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D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672" w:type="dxa"/>
            <w:tcBorders>
              <w:tl2br w:val="nil"/>
              <w:tr2bl w:val="nil"/>
            </w:tcBorders>
            <w:noWrap/>
            <w:vAlign w:val="center"/>
          </w:tcPr>
          <w:p w14:paraId="56D128D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42</w:t>
            </w:r>
          </w:p>
        </w:tc>
      </w:tr>
      <w:tr w14:paraId="56D128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D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麓谷体育公园</w:t>
            </w:r>
          </w:p>
        </w:tc>
        <w:tc>
          <w:tcPr>
            <w:tcW w:w="1304" w:type="dxa"/>
            <w:tcBorders>
              <w:tl2br w:val="nil"/>
              <w:tr2bl w:val="nil"/>
            </w:tcBorders>
            <w:noWrap/>
            <w:vAlign w:val="center"/>
          </w:tcPr>
          <w:p w14:paraId="56D128D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D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672" w:type="dxa"/>
            <w:tcBorders>
              <w:tl2br w:val="nil"/>
              <w:tr2bl w:val="nil"/>
            </w:tcBorders>
            <w:noWrap/>
            <w:vAlign w:val="center"/>
          </w:tcPr>
          <w:p w14:paraId="56D128D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D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六沟垅</w:t>
            </w:r>
          </w:p>
        </w:tc>
        <w:tc>
          <w:tcPr>
            <w:tcW w:w="1304" w:type="dxa"/>
            <w:tcBorders>
              <w:tl2br w:val="nil"/>
              <w:tr2bl w:val="nil"/>
            </w:tcBorders>
            <w:noWrap/>
            <w:vAlign w:val="center"/>
          </w:tcPr>
          <w:p w14:paraId="56D128D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D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672" w:type="dxa"/>
            <w:tcBorders>
              <w:tl2br w:val="nil"/>
              <w:tr2bl w:val="nil"/>
            </w:tcBorders>
            <w:noWrap/>
            <w:vAlign w:val="center"/>
          </w:tcPr>
          <w:p w14:paraId="56D128D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45</w:t>
            </w:r>
          </w:p>
        </w:tc>
      </w:tr>
      <w:tr w14:paraId="56D128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E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一师范西校区</w:t>
            </w:r>
          </w:p>
        </w:tc>
        <w:tc>
          <w:tcPr>
            <w:tcW w:w="1304" w:type="dxa"/>
            <w:tcBorders>
              <w:tl2br w:val="nil"/>
              <w:tr2bl w:val="nil"/>
            </w:tcBorders>
            <w:noWrap/>
            <w:vAlign w:val="center"/>
          </w:tcPr>
          <w:p w14:paraId="56D128E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84" w:type="dxa"/>
            <w:tcBorders>
              <w:tl2br w:val="nil"/>
              <w:tr2bl w:val="nil"/>
            </w:tcBorders>
            <w:noWrap/>
            <w:vAlign w:val="center"/>
          </w:tcPr>
          <w:p w14:paraId="56D128E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大学</w:t>
            </w:r>
          </w:p>
        </w:tc>
        <w:tc>
          <w:tcPr>
            <w:tcW w:w="1672" w:type="dxa"/>
            <w:tcBorders>
              <w:tl2br w:val="nil"/>
              <w:tr2bl w:val="nil"/>
            </w:tcBorders>
            <w:noWrap/>
            <w:vAlign w:val="center"/>
          </w:tcPr>
          <w:p w14:paraId="56D128E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14</w:t>
            </w:r>
          </w:p>
        </w:tc>
      </w:tr>
      <w:tr w14:paraId="56D128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E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迎宾路口</w:t>
            </w:r>
          </w:p>
        </w:tc>
        <w:tc>
          <w:tcPr>
            <w:tcW w:w="1304" w:type="dxa"/>
            <w:tcBorders>
              <w:tl2br w:val="nil"/>
              <w:tr2bl w:val="nil"/>
            </w:tcBorders>
            <w:noWrap/>
            <w:vAlign w:val="center"/>
          </w:tcPr>
          <w:p w14:paraId="56D128E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E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672" w:type="dxa"/>
            <w:tcBorders>
              <w:tl2br w:val="nil"/>
              <w:tr2bl w:val="nil"/>
            </w:tcBorders>
            <w:noWrap/>
            <w:vAlign w:val="center"/>
          </w:tcPr>
          <w:p w14:paraId="56D128E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r>
      <w:tr w14:paraId="56D128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E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东湖</w:t>
            </w:r>
          </w:p>
        </w:tc>
        <w:tc>
          <w:tcPr>
            <w:tcW w:w="1304" w:type="dxa"/>
            <w:tcBorders>
              <w:tl2br w:val="nil"/>
              <w:tr2bl w:val="nil"/>
            </w:tcBorders>
            <w:noWrap/>
            <w:vAlign w:val="center"/>
          </w:tcPr>
          <w:p w14:paraId="56D128E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8ED">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8E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F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人民东路</w:t>
            </w:r>
          </w:p>
        </w:tc>
        <w:tc>
          <w:tcPr>
            <w:tcW w:w="1304" w:type="dxa"/>
            <w:tcBorders>
              <w:tl2br w:val="nil"/>
              <w:tr2bl w:val="nil"/>
            </w:tcBorders>
            <w:noWrap/>
            <w:vAlign w:val="center"/>
          </w:tcPr>
          <w:p w14:paraId="56D128F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84" w:type="dxa"/>
            <w:tcBorders>
              <w:tl2br w:val="nil"/>
              <w:tr2bl w:val="nil"/>
            </w:tcBorders>
            <w:noWrap/>
            <w:vAlign w:val="center"/>
          </w:tcPr>
          <w:p w14:paraId="56D128F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672" w:type="dxa"/>
            <w:tcBorders>
              <w:tl2br w:val="nil"/>
              <w:tr2bl w:val="nil"/>
            </w:tcBorders>
            <w:noWrap/>
            <w:vAlign w:val="center"/>
          </w:tcPr>
          <w:p w14:paraId="56D128F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8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F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花桥</w:t>
            </w:r>
          </w:p>
        </w:tc>
        <w:tc>
          <w:tcPr>
            <w:tcW w:w="1304" w:type="dxa"/>
            <w:tcBorders>
              <w:tl2br w:val="nil"/>
              <w:tr2bl w:val="nil"/>
            </w:tcBorders>
            <w:noWrap/>
            <w:vAlign w:val="center"/>
          </w:tcPr>
          <w:p w14:paraId="56D128F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8F7">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8F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8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F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韶光</w:t>
            </w:r>
          </w:p>
        </w:tc>
        <w:tc>
          <w:tcPr>
            <w:tcW w:w="1304" w:type="dxa"/>
            <w:tcBorders>
              <w:tl2br w:val="nil"/>
              <w:tr2bl w:val="nil"/>
            </w:tcBorders>
            <w:noWrap/>
            <w:vAlign w:val="center"/>
          </w:tcPr>
          <w:p w14:paraId="56D128F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8FC">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8F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24</w:t>
            </w:r>
          </w:p>
        </w:tc>
      </w:tr>
      <w:tr w14:paraId="56D129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8F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木马塅</w:t>
            </w:r>
          </w:p>
        </w:tc>
        <w:tc>
          <w:tcPr>
            <w:tcW w:w="1304" w:type="dxa"/>
            <w:tcBorders>
              <w:tl2br w:val="nil"/>
              <w:tr2bl w:val="nil"/>
            </w:tcBorders>
            <w:noWrap/>
            <w:vAlign w:val="center"/>
          </w:tcPr>
          <w:p w14:paraId="56D1290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901">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90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9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90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大路村</w:t>
            </w:r>
          </w:p>
        </w:tc>
        <w:tc>
          <w:tcPr>
            <w:tcW w:w="1304" w:type="dxa"/>
            <w:tcBorders>
              <w:tl2br w:val="nil"/>
              <w:tr2bl w:val="nil"/>
            </w:tcBorders>
            <w:noWrap/>
            <w:vAlign w:val="center"/>
          </w:tcPr>
          <w:p w14:paraId="56D1290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906">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90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9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90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檀木桥</w:t>
            </w:r>
          </w:p>
        </w:tc>
        <w:tc>
          <w:tcPr>
            <w:tcW w:w="1304" w:type="dxa"/>
            <w:tcBorders>
              <w:tl2br w:val="nil"/>
              <w:tr2bl w:val="nil"/>
            </w:tcBorders>
            <w:noWrap/>
            <w:vAlign w:val="center"/>
          </w:tcPr>
          <w:p w14:paraId="56D1290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90B">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90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9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90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象鼻窝</w:t>
            </w:r>
          </w:p>
        </w:tc>
        <w:tc>
          <w:tcPr>
            <w:tcW w:w="1304" w:type="dxa"/>
            <w:tcBorders>
              <w:tl2br w:val="nil"/>
              <w:tr2bl w:val="nil"/>
            </w:tcBorders>
            <w:noWrap/>
            <w:vAlign w:val="center"/>
          </w:tcPr>
          <w:p w14:paraId="56D1290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910">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91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9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91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龙峰</w:t>
            </w:r>
          </w:p>
        </w:tc>
        <w:tc>
          <w:tcPr>
            <w:tcW w:w="1304" w:type="dxa"/>
            <w:tcBorders>
              <w:tl2br w:val="nil"/>
              <w:tr2bl w:val="nil"/>
            </w:tcBorders>
            <w:noWrap/>
            <w:vAlign w:val="center"/>
          </w:tcPr>
          <w:p w14:paraId="56D1291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915">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91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9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91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中塘</w:t>
            </w:r>
          </w:p>
        </w:tc>
        <w:tc>
          <w:tcPr>
            <w:tcW w:w="1304" w:type="dxa"/>
            <w:tcBorders>
              <w:tl2br w:val="nil"/>
              <w:tr2bl w:val="nil"/>
            </w:tcBorders>
            <w:noWrap/>
            <w:vAlign w:val="center"/>
          </w:tcPr>
          <w:p w14:paraId="56D1291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91A">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91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18</w:t>
            </w:r>
          </w:p>
        </w:tc>
      </w:tr>
      <w:tr w14:paraId="56D129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91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曹家坪</w:t>
            </w:r>
          </w:p>
        </w:tc>
        <w:tc>
          <w:tcPr>
            <w:tcW w:w="1304" w:type="dxa"/>
            <w:tcBorders>
              <w:tl2br w:val="nil"/>
              <w:tr2bl w:val="nil"/>
            </w:tcBorders>
            <w:noWrap/>
            <w:vAlign w:val="center"/>
          </w:tcPr>
          <w:p w14:paraId="56D1291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91F">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92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r>
      <w:tr w14:paraId="56D129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566" w:type="dxa"/>
            <w:tcBorders>
              <w:tl2br w:val="nil"/>
              <w:tr2bl w:val="nil"/>
            </w:tcBorders>
            <w:noWrap/>
            <w:vAlign w:val="center"/>
          </w:tcPr>
          <w:p w14:paraId="56D1292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谢家桥</w:t>
            </w:r>
          </w:p>
        </w:tc>
        <w:tc>
          <w:tcPr>
            <w:tcW w:w="1304" w:type="dxa"/>
            <w:tcBorders>
              <w:tl2br w:val="nil"/>
              <w:tr2bl w:val="nil"/>
            </w:tcBorders>
            <w:noWrap/>
            <w:vAlign w:val="center"/>
          </w:tcPr>
          <w:p w14:paraId="56D1292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84" w:type="dxa"/>
            <w:tcBorders>
              <w:tl2br w:val="nil"/>
              <w:tr2bl w:val="nil"/>
            </w:tcBorders>
            <w:noWrap/>
            <w:vAlign w:val="center"/>
          </w:tcPr>
          <w:p w14:paraId="56D12924">
            <w:pPr>
              <w:widowControl/>
              <w:spacing w:line="276" w:lineRule="auto"/>
              <w:rPr>
                <w:rFonts w:hint="eastAsia" w:ascii="宋体" w:hAnsi="宋体" w:eastAsia="宋体"/>
                <w:i w:val="0"/>
                <w:iCs w:val="0"/>
                <w:color w:val="auto"/>
                <w:sz w:val="18"/>
                <w:szCs w:val="18"/>
                <w:highlight w:val="none"/>
              </w:rPr>
            </w:pPr>
          </w:p>
        </w:tc>
        <w:tc>
          <w:tcPr>
            <w:tcW w:w="1672" w:type="dxa"/>
            <w:tcBorders>
              <w:tl2br w:val="nil"/>
              <w:tr2bl w:val="nil"/>
            </w:tcBorders>
            <w:noWrap/>
            <w:vAlign w:val="center"/>
          </w:tcPr>
          <w:p w14:paraId="56D1292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10</w:t>
            </w:r>
          </w:p>
        </w:tc>
      </w:tr>
    </w:tbl>
    <w:p w14:paraId="56D12927">
      <w:pPr>
        <w:pStyle w:val="6"/>
        <w:ind w:left="0"/>
        <w:rPr>
          <w:i w:val="0"/>
          <w:iCs w:val="0"/>
          <w:color w:val="auto"/>
          <w:sz w:val="21"/>
          <w:szCs w:val="21"/>
          <w:highlight w:val="none"/>
        </w:rPr>
      </w:pPr>
      <w:bookmarkStart w:id="55" w:name="_Toc196783782"/>
      <w:r>
        <w:rPr>
          <w:i w:val="0"/>
          <w:iCs w:val="0"/>
          <w:color w:val="auto"/>
          <w:sz w:val="21"/>
          <w:szCs w:val="21"/>
          <w:highlight w:val="none"/>
        </w:rPr>
        <w:t>智能开关站场景</w:t>
      </w:r>
      <w:bookmarkEnd w:id="55"/>
      <w:r>
        <w:rPr>
          <w:rFonts w:hint="eastAsia"/>
          <w:i w:val="0"/>
          <w:iCs w:val="0"/>
          <w:color w:val="auto"/>
          <w:sz w:val="21"/>
          <w:szCs w:val="21"/>
          <w:highlight w:val="none"/>
        </w:rPr>
        <w:t>视频分析统计</w:t>
      </w:r>
    </w:p>
    <w:p w14:paraId="56D1292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智能开关站场景的智能视频分析应用，检测区域主要实现早间开站、晚间关站期间扶梯有人检测、扶梯有物检测、直梯有人检测，每个摄像头对应1路分析视频资源，各站分析摄像机数量如下：</w:t>
      </w:r>
    </w:p>
    <w:tbl>
      <w:tblPr>
        <w:tblStyle w:val="88"/>
        <w:tblW w:w="2647" w:type="pct"/>
        <w:jc w:val="center"/>
        <w:tblLayout w:type="autofit"/>
        <w:tblCellMar>
          <w:top w:w="0" w:type="dxa"/>
          <w:left w:w="108" w:type="dxa"/>
          <w:bottom w:w="0" w:type="dxa"/>
          <w:right w:w="108" w:type="dxa"/>
        </w:tblCellMar>
      </w:tblPr>
      <w:tblGrid>
        <w:gridCol w:w="1881"/>
        <w:gridCol w:w="1116"/>
        <w:gridCol w:w="1116"/>
        <w:gridCol w:w="576"/>
      </w:tblGrid>
      <w:tr w14:paraId="56D1292E">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2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站点</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2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扶梯摄像机</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2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直梯摄像机</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2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总计</w:t>
            </w:r>
          </w:p>
        </w:tc>
      </w:tr>
      <w:tr w14:paraId="56D12934">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2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01谢家桥站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3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10</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3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3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18</w:t>
            </w:r>
          </w:p>
        </w:tc>
      </w:tr>
      <w:tr w14:paraId="56D1293A">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3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02象鼻窝站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3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3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3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34</w:t>
            </w:r>
          </w:p>
        </w:tc>
      </w:tr>
      <w:tr w14:paraId="56D12940">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3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03中塘站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3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18</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3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3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946">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4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04一师范西校区站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4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14</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4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4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w:t>
            </w:r>
          </w:p>
        </w:tc>
      </w:tr>
      <w:tr w14:paraId="56D1294C">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4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05长庆站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4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4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4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31</w:t>
            </w:r>
          </w:p>
        </w:tc>
      </w:tr>
      <w:tr w14:paraId="56D12952">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4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06和馨园站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4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4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5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958">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5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07长丰站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5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5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5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31</w:t>
            </w:r>
          </w:p>
        </w:tc>
      </w:tr>
      <w:tr w14:paraId="56D1295E">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5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08麓谷体育公园站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5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5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5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964">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5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09麓谷公园站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6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6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6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39</w:t>
            </w:r>
          </w:p>
        </w:tc>
      </w:tr>
      <w:tr w14:paraId="56D1296A">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6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10涧塘站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6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18</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6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6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29</w:t>
            </w:r>
          </w:p>
        </w:tc>
      </w:tr>
      <w:tr w14:paraId="56D12970">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6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11湖南工商大学站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6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6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6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33</w:t>
            </w:r>
          </w:p>
        </w:tc>
      </w:tr>
      <w:tr w14:paraId="56D12976">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7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12白鸽咀站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7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7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7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45</w:t>
            </w:r>
          </w:p>
        </w:tc>
      </w:tr>
      <w:tr w14:paraId="56D1297C">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7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13湘雅三医院站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7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7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7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31</w:t>
            </w:r>
          </w:p>
        </w:tc>
      </w:tr>
      <w:tr w14:paraId="56D12982">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7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14六沟垅站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7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45</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7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8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60</w:t>
            </w:r>
          </w:p>
        </w:tc>
      </w:tr>
      <w:tr w14:paraId="56D12988">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8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15文昌阁站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8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38</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8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8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53</w:t>
            </w:r>
          </w:p>
        </w:tc>
      </w:tr>
      <w:tr w14:paraId="56D1298E">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8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16湘雅医院站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8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8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8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994">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8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17烈士公园南站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9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9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9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99A">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9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18迎宾路口站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9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9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9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30</w:t>
            </w:r>
          </w:p>
        </w:tc>
      </w:tr>
      <w:tr w14:paraId="56D129A0">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9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19窑岭湘雅二医院站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9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9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9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45</w:t>
            </w:r>
          </w:p>
        </w:tc>
      </w:tr>
      <w:tr w14:paraId="56D129A6">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A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20朝阳村站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A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A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A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9AC">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A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21芙蓉区政府站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A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A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5</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A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59</w:t>
            </w:r>
          </w:p>
        </w:tc>
      </w:tr>
      <w:tr w14:paraId="56D129B2">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A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22人民东路站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A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A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B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44</w:t>
            </w:r>
          </w:p>
        </w:tc>
      </w:tr>
      <w:tr w14:paraId="56D129B8">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B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23花桥站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B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B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B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37</w:t>
            </w:r>
          </w:p>
        </w:tc>
      </w:tr>
      <w:tr w14:paraId="56D129BE">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B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24隆平水稻博物馆站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B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36</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B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B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49</w:t>
            </w:r>
          </w:p>
        </w:tc>
      </w:tr>
      <w:tr w14:paraId="56D129C4">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B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25农科院农大站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C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C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C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35</w:t>
            </w:r>
          </w:p>
        </w:tc>
      </w:tr>
      <w:tr w14:paraId="56D129CA">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C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26东湖站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C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C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C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36</w:t>
            </w:r>
          </w:p>
        </w:tc>
      </w:tr>
      <w:tr w14:paraId="56D129D0">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C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27韶光站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C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24</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C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C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35</w:t>
            </w:r>
          </w:p>
        </w:tc>
      </w:tr>
      <w:tr w14:paraId="56D129D6">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D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28龙华站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D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D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D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44</w:t>
            </w:r>
          </w:p>
        </w:tc>
      </w:tr>
      <w:tr w14:paraId="56D129DC">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D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29檀木桥站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D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D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D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36</w:t>
            </w:r>
          </w:p>
        </w:tc>
      </w:tr>
      <w:tr w14:paraId="56D129E2">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D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30曹家坪站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D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20</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D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E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30</w:t>
            </w:r>
          </w:p>
        </w:tc>
      </w:tr>
      <w:tr w14:paraId="56D129E8">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E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31龙峰站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E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E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E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33</w:t>
            </w:r>
          </w:p>
        </w:tc>
      </w:tr>
      <w:tr w14:paraId="56D129EE">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E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32大路村站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E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E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E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33</w:t>
            </w:r>
          </w:p>
        </w:tc>
      </w:tr>
      <w:tr w14:paraId="56D129F4">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E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33木马塅站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F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F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F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33</w:t>
            </w:r>
          </w:p>
        </w:tc>
      </w:tr>
      <w:tr w14:paraId="56D129FA">
        <w:tblPrEx>
          <w:tblCellMar>
            <w:top w:w="0" w:type="dxa"/>
            <w:left w:w="108" w:type="dxa"/>
            <w:bottom w:w="0" w:type="dxa"/>
            <w:right w:w="108" w:type="dxa"/>
          </w:tblCellMar>
        </w:tblPrEx>
        <w:trPr>
          <w:trHeight w:val="277" w:hRule="atLeast"/>
          <w:jc w:val="center"/>
        </w:trPr>
        <w:tc>
          <w:tcPr>
            <w:tcW w:w="2005" w:type="pct"/>
            <w:tcBorders>
              <w:top w:val="single" w:color="000000" w:sz="4" w:space="0"/>
              <w:left w:val="single" w:color="000000" w:sz="4" w:space="0"/>
              <w:bottom w:val="single" w:color="000000" w:sz="4" w:space="0"/>
              <w:right w:val="single" w:color="000000" w:sz="4" w:space="0"/>
            </w:tcBorders>
            <w:noWrap/>
            <w:vAlign w:val="center"/>
          </w:tcPr>
          <w:p w14:paraId="56D129F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34黄花机场TIT2站</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F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c>
          <w:tcPr>
            <w:tcW w:w="1190" w:type="pct"/>
            <w:tcBorders>
              <w:top w:val="single" w:color="000000" w:sz="4" w:space="0"/>
              <w:left w:val="single" w:color="000000" w:sz="4" w:space="0"/>
              <w:bottom w:val="single" w:color="000000" w:sz="4" w:space="0"/>
              <w:right w:val="single" w:color="000000" w:sz="4" w:space="0"/>
            </w:tcBorders>
            <w:noWrap/>
            <w:vAlign w:val="center"/>
          </w:tcPr>
          <w:p w14:paraId="56D129F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8</w:t>
            </w:r>
          </w:p>
        </w:tc>
        <w:tc>
          <w:tcPr>
            <w:tcW w:w="614" w:type="pct"/>
            <w:tcBorders>
              <w:top w:val="single" w:color="000000" w:sz="4" w:space="0"/>
              <w:left w:val="single" w:color="000000" w:sz="4" w:space="0"/>
              <w:bottom w:val="single" w:color="000000" w:sz="4" w:space="0"/>
              <w:right w:val="single" w:color="000000" w:sz="4" w:space="0"/>
            </w:tcBorders>
            <w:noWrap/>
            <w:vAlign w:val="center"/>
          </w:tcPr>
          <w:p w14:paraId="56D129F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50</w:t>
            </w:r>
          </w:p>
        </w:tc>
      </w:tr>
    </w:tbl>
    <w:p w14:paraId="56D129FB">
      <w:pPr>
        <w:pStyle w:val="6"/>
        <w:ind w:left="0"/>
        <w:rPr>
          <w:i w:val="0"/>
          <w:iCs w:val="0"/>
          <w:color w:val="auto"/>
          <w:sz w:val="21"/>
          <w:szCs w:val="21"/>
          <w:highlight w:val="none"/>
        </w:rPr>
      </w:pPr>
      <w:bookmarkStart w:id="56" w:name="_Toc196783783"/>
      <w:r>
        <w:rPr>
          <w:i w:val="0"/>
          <w:iCs w:val="0"/>
          <w:color w:val="auto"/>
          <w:sz w:val="21"/>
          <w:szCs w:val="21"/>
          <w:highlight w:val="none"/>
        </w:rPr>
        <w:t>车站巡检场景</w:t>
      </w:r>
      <w:bookmarkEnd w:id="56"/>
      <w:r>
        <w:rPr>
          <w:rFonts w:hint="eastAsia"/>
          <w:i w:val="0"/>
          <w:iCs w:val="0"/>
          <w:color w:val="auto"/>
          <w:sz w:val="21"/>
          <w:szCs w:val="21"/>
          <w:highlight w:val="none"/>
        </w:rPr>
        <w:t>视频分析统计</w:t>
      </w:r>
    </w:p>
    <w:p w14:paraId="56D129F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车站巡检场景智能视频分析应用，主要实现消火栓门/消防器的门状态检测、地面积水、信息显示屏是否黑屏检测、风亭漫水等场景检测。系统采用视频分析算力复用轮巡机制，同时为确保轮巡切换时视频取流的延迟，保证检测实时性，每次巡检同时启用巡检线路上相邻5个（重点站）/3个（普通站）摄像头作为一组，分组进行实时视频分析，每个摄像头同时进行9个业务场景检测算法的分析任务，共需实时检测算力资源为45路（重点站）/27路（普通站）。各车站已配置巡检路线的摄像头数量如下：</w:t>
      </w:r>
    </w:p>
    <w:tbl>
      <w:tblPr>
        <w:tblStyle w:val="88"/>
        <w:tblW w:w="627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82"/>
        <w:gridCol w:w="1056"/>
        <w:gridCol w:w="1520"/>
        <w:gridCol w:w="1912"/>
      </w:tblGrid>
      <w:tr w14:paraId="56D12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6" w:hRule="atLeast"/>
          <w:jc w:val="center"/>
        </w:trPr>
        <w:tc>
          <w:tcPr>
            <w:tcW w:w="1782" w:type="dxa"/>
            <w:tcBorders>
              <w:tl2br w:val="nil"/>
              <w:tr2bl w:val="nil"/>
            </w:tcBorders>
            <w:noWrap/>
            <w:vAlign w:val="center"/>
          </w:tcPr>
          <w:p w14:paraId="56D129FD">
            <w:pPr>
              <w:widowControl/>
              <w:spacing w:line="276" w:lineRule="auto"/>
              <w:rPr>
                <w:rFonts w:hint="eastAsia" w:ascii="宋体" w:hAnsi="宋体" w:eastAsia="宋体"/>
                <w:i w:val="0"/>
                <w:iCs w:val="0"/>
                <w:color w:val="auto"/>
                <w:sz w:val="18"/>
                <w:szCs w:val="18"/>
                <w:highlight w:val="none"/>
              </w:rPr>
            </w:pPr>
            <w:bookmarkStart w:id="57" w:name="bookmark55"/>
            <w:bookmarkEnd w:id="57"/>
            <w:r>
              <w:rPr>
                <w:rFonts w:hint="eastAsia" w:ascii="宋体" w:hAnsi="宋体" w:eastAsia="宋体"/>
                <w:i w:val="0"/>
                <w:iCs w:val="0"/>
                <w:color w:val="auto"/>
                <w:sz w:val="18"/>
                <w:szCs w:val="18"/>
                <w:highlight w:val="none"/>
              </w:rPr>
              <w:t>站名</w:t>
            </w:r>
          </w:p>
        </w:tc>
        <w:tc>
          <w:tcPr>
            <w:tcW w:w="1056" w:type="dxa"/>
            <w:tcBorders>
              <w:tl2br w:val="nil"/>
              <w:tr2bl w:val="nil"/>
            </w:tcBorders>
            <w:noWrap/>
            <w:vAlign w:val="center"/>
          </w:tcPr>
          <w:p w14:paraId="56D129F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等级</w:t>
            </w:r>
          </w:p>
        </w:tc>
        <w:tc>
          <w:tcPr>
            <w:tcW w:w="1520" w:type="dxa"/>
            <w:tcBorders>
              <w:tl2br w:val="nil"/>
              <w:tr2bl w:val="nil"/>
            </w:tcBorders>
            <w:noWrap/>
            <w:vAlign w:val="center"/>
          </w:tcPr>
          <w:p w14:paraId="56D129F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特征</w:t>
            </w:r>
          </w:p>
        </w:tc>
        <w:tc>
          <w:tcPr>
            <w:tcW w:w="1912" w:type="dxa"/>
            <w:tcBorders>
              <w:tl2br w:val="nil"/>
              <w:tr2bl w:val="nil"/>
            </w:tcBorders>
            <w:vAlign w:val="center"/>
          </w:tcPr>
          <w:p w14:paraId="56D12A0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站务巡检摄像头总数</w:t>
            </w:r>
          </w:p>
        </w:tc>
      </w:tr>
      <w:tr w14:paraId="56D12A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0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湘雅医院</w:t>
            </w:r>
          </w:p>
        </w:tc>
        <w:tc>
          <w:tcPr>
            <w:tcW w:w="1056" w:type="dxa"/>
            <w:tcBorders>
              <w:tl2br w:val="nil"/>
              <w:tr2bl w:val="nil"/>
            </w:tcBorders>
            <w:noWrap/>
            <w:vAlign w:val="center"/>
          </w:tcPr>
          <w:p w14:paraId="56D12A0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0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医院</w:t>
            </w:r>
          </w:p>
        </w:tc>
        <w:tc>
          <w:tcPr>
            <w:tcW w:w="1912" w:type="dxa"/>
            <w:tcBorders>
              <w:tl2br w:val="nil"/>
              <w:tr2bl w:val="nil"/>
            </w:tcBorders>
            <w:noWrap/>
            <w:vAlign w:val="center"/>
          </w:tcPr>
          <w:p w14:paraId="56D12A0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w:t>
            </w:r>
          </w:p>
        </w:tc>
      </w:tr>
      <w:tr w14:paraId="56D12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0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窑岭湘雅二医院</w:t>
            </w:r>
          </w:p>
        </w:tc>
        <w:tc>
          <w:tcPr>
            <w:tcW w:w="1056" w:type="dxa"/>
            <w:tcBorders>
              <w:tl2br w:val="nil"/>
              <w:tr2bl w:val="nil"/>
            </w:tcBorders>
            <w:noWrap/>
            <w:vAlign w:val="center"/>
          </w:tcPr>
          <w:p w14:paraId="56D12A0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0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医院</w:t>
            </w:r>
          </w:p>
        </w:tc>
        <w:tc>
          <w:tcPr>
            <w:tcW w:w="1912" w:type="dxa"/>
            <w:tcBorders>
              <w:tl2br w:val="nil"/>
              <w:tr2bl w:val="nil"/>
            </w:tcBorders>
            <w:noWrap/>
            <w:vAlign w:val="center"/>
          </w:tcPr>
          <w:p w14:paraId="56D12A0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A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0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白鸽咀</w:t>
            </w:r>
          </w:p>
        </w:tc>
        <w:tc>
          <w:tcPr>
            <w:tcW w:w="1056" w:type="dxa"/>
            <w:tcBorders>
              <w:tl2br w:val="nil"/>
              <w:tr2bl w:val="nil"/>
            </w:tcBorders>
            <w:noWrap/>
            <w:vAlign w:val="center"/>
          </w:tcPr>
          <w:p w14:paraId="56D12A0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0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医院、商业</w:t>
            </w:r>
          </w:p>
        </w:tc>
        <w:tc>
          <w:tcPr>
            <w:tcW w:w="1912" w:type="dxa"/>
            <w:tcBorders>
              <w:tl2br w:val="nil"/>
              <w:tr2bl w:val="nil"/>
            </w:tcBorders>
            <w:noWrap/>
            <w:vAlign w:val="center"/>
          </w:tcPr>
          <w:p w14:paraId="56D12A0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w:t>
            </w:r>
          </w:p>
        </w:tc>
      </w:tr>
      <w:tr w14:paraId="56D12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1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长丰</w:t>
            </w:r>
          </w:p>
        </w:tc>
        <w:tc>
          <w:tcPr>
            <w:tcW w:w="1056" w:type="dxa"/>
            <w:tcBorders>
              <w:tl2br w:val="nil"/>
              <w:tr2bl w:val="nil"/>
            </w:tcBorders>
            <w:noWrap/>
            <w:vAlign w:val="center"/>
          </w:tcPr>
          <w:p w14:paraId="56D12A1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1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912" w:type="dxa"/>
            <w:tcBorders>
              <w:tl2br w:val="nil"/>
              <w:tr2bl w:val="nil"/>
            </w:tcBorders>
            <w:noWrap/>
            <w:vAlign w:val="center"/>
          </w:tcPr>
          <w:p w14:paraId="56D12A1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A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1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涧塘</w:t>
            </w:r>
          </w:p>
        </w:tc>
        <w:tc>
          <w:tcPr>
            <w:tcW w:w="1056" w:type="dxa"/>
            <w:tcBorders>
              <w:tl2br w:val="nil"/>
              <w:tr2bl w:val="nil"/>
            </w:tcBorders>
            <w:noWrap/>
            <w:vAlign w:val="center"/>
          </w:tcPr>
          <w:p w14:paraId="56D12A1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1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912" w:type="dxa"/>
            <w:tcBorders>
              <w:tl2br w:val="nil"/>
              <w:tr2bl w:val="nil"/>
            </w:tcBorders>
            <w:noWrap/>
            <w:vAlign w:val="center"/>
          </w:tcPr>
          <w:p w14:paraId="56D12A1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A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1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长庆</w:t>
            </w:r>
          </w:p>
        </w:tc>
        <w:tc>
          <w:tcPr>
            <w:tcW w:w="1056" w:type="dxa"/>
            <w:tcBorders>
              <w:tl2br w:val="nil"/>
              <w:tr2bl w:val="nil"/>
            </w:tcBorders>
            <w:noWrap/>
            <w:vAlign w:val="center"/>
          </w:tcPr>
          <w:p w14:paraId="56D12A1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1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商业</w:t>
            </w:r>
          </w:p>
        </w:tc>
        <w:tc>
          <w:tcPr>
            <w:tcW w:w="1912" w:type="dxa"/>
            <w:tcBorders>
              <w:tl2br w:val="nil"/>
              <w:tr2bl w:val="nil"/>
            </w:tcBorders>
            <w:noWrap/>
            <w:vAlign w:val="center"/>
          </w:tcPr>
          <w:p w14:paraId="56D12A1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w:t>
            </w:r>
          </w:p>
        </w:tc>
      </w:tr>
      <w:tr w14:paraId="56D12A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2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和馨园</w:t>
            </w:r>
          </w:p>
        </w:tc>
        <w:tc>
          <w:tcPr>
            <w:tcW w:w="1056" w:type="dxa"/>
            <w:tcBorders>
              <w:tl2br w:val="nil"/>
              <w:tr2bl w:val="nil"/>
            </w:tcBorders>
            <w:noWrap/>
            <w:vAlign w:val="center"/>
          </w:tcPr>
          <w:p w14:paraId="56D12A2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20" w:type="dxa"/>
            <w:tcBorders>
              <w:tl2br w:val="nil"/>
              <w:tr2bl w:val="nil"/>
            </w:tcBorders>
            <w:noWrap/>
            <w:vAlign w:val="center"/>
          </w:tcPr>
          <w:p w14:paraId="56D12A2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912" w:type="dxa"/>
            <w:tcBorders>
              <w:tl2br w:val="nil"/>
              <w:tr2bl w:val="nil"/>
            </w:tcBorders>
            <w:noWrap/>
            <w:vAlign w:val="center"/>
          </w:tcPr>
          <w:p w14:paraId="56D12A2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6</w:t>
            </w:r>
          </w:p>
        </w:tc>
      </w:tr>
      <w:tr w14:paraId="56D12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2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龙华</w:t>
            </w:r>
          </w:p>
        </w:tc>
        <w:tc>
          <w:tcPr>
            <w:tcW w:w="1056" w:type="dxa"/>
            <w:tcBorders>
              <w:tl2br w:val="nil"/>
              <w:tr2bl w:val="nil"/>
            </w:tcBorders>
            <w:noWrap/>
            <w:vAlign w:val="center"/>
          </w:tcPr>
          <w:p w14:paraId="56D12A2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20" w:type="dxa"/>
            <w:tcBorders>
              <w:tl2br w:val="nil"/>
              <w:tr2bl w:val="nil"/>
            </w:tcBorders>
            <w:noWrap/>
            <w:vAlign w:val="center"/>
          </w:tcPr>
          <w:p w14:paraId="56D12A2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912" w:type="dxa"/>
            <w:tcBorders>
              <w:tl2br w:val="nil"/>
              <w:tr2bl w:val="nil"/>
            </w:tcBorders>
            <w:noWrap/>
            <w:vAlign w:val="center"/>
          </w:tcPr>
          <w:p w14:paraId="56D12A2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18</w:t>
            </w:r>
          </w:p>
        </w:tc>
      </w:tr>
      <w:tr w14:paraId="56D12A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2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黄花机场T1T2</w:t>
            </w:r>
          </w:p>
        </w:tc>
        <w:tc>
          <w:tcPr>
            <w:tcW w:w="1056" w:type="dxa"/>
            <w:tcBorders>
              <w:tl2br w:val="nil"/>
              <w:tr2bl w:val="nil"/>
            </w:tcBorders>
            <w:noWrap/>
            <w:vAlign w:val="center"/>
          </w:tcPr>
          <w:p w14:paraId="56D12A2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2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交通枢纽</w:t>
            </w:r>
          </w:p>
        </w:tc>
        <w:tc>
          <w:tcPr>
            <w:tcW w:w="1912" w:type="dxa"/>
            <w:tcBorders>
              <w:tl2br w:val="nil"/>
              <w:tr2bl w:val="nil"/>
            </w:tcBorders>
            <w:noWrap/>
            <w:vAlign w:val="center"/>
          </w:tcPr>
          <w:p w14:paraId="56D12A2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29</w:t>
            </w:r>
          </w:p>
        </w:tc>
      </w:tr>
      <w:tr w14:paraId="56D12A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2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农科院农大</w:t>
            </w:r>
          </w:p>
        </w:tc>
        <w:tc>
          <w:tcPr>
            <w:tcW w:w="1056" w:type="dxa"/>
            <w:tcBorders>
              <w:tl2br w:val="nil"/>
              <w:tr2bl w:val="nil"/>
            </w:tcBorders>
            <w:noWrap/>
            <w:vAlign w:val="center"/>
          </w:tcPr>
          <w:p w14:paraId="56D12A3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20" w:type="dxa"/>
            <w:tcBorders>
              <w:tl2br w:val="nil"/>
              <w:tr2bl w:val="nil"/>
            </w:tcBorders>
            <w:noWrap/>
            <w:vAlign w:val="center"/>
          </w:tcPr>
          <w:p w14:paraId="56D12A3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大学</w:t>
            </w:r>
          </w:p>
        </w:tc>
        <w:tc>
          <w:tcPr>
            <w:tcW w:w="1912" w:type="dxa"/>
            <w:tcBorders>
              <w:tl2br w:val="nil"/>
              <w:tr2bl w:val="nil"/>
            </w:tcBorders>
            <w:noWrap/>
            <w:vAlign w:val="center"/>
          </w:tcPr>
          <w:p w14:paraId="56D12A3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A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3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烈士公园南</w:t>
            </w:r>
          </w:p>
        </w:tc>
        <w:tc>
          <w:tcPr>
            <w:tcW w:w="1056" w:type="dxa"/>
            <w:tcBorders>
              <w:tl2br w:val="nil"/>
              <w:tr2bl w:val="nil"/>
            </w:tcBorders>
            <w:noWrap/>
            <w:vAlign w:val="center"/>
          </w:tcPr>
          <w:p w14:paraId="56D12A3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3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公园</w:t>
            </w:r>
          </w:p>
        </w:tc>
        <w:tc>
          <w:tcPr>
            <w:tcW w:w="1912" w:type="dxa"/>
            <w:tcBorders>
              <w:tl2br w:val="nil"/>
              <w:tr2bl w:val="nil"/>
            </w:tcBorders>
            <w:noWrap/>
            <w:vAlign w:val="center"/>
          </w:tcPr>
          <w:p w14:paraId="56D12A3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27</w:t>
            </w:r>
          </w:p>
        </w:tc>
      </w:tr>
      <w:tr w14:paraId="56D12A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3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朝阳村</w:t>
            </w:r>
          </w:p>
        </w:tc>
        <w:tc>
          <w:tcPr>
            <w:tcW w:w="1056" w:type="dxa"/>
            <w:tcBorders>
              <w:tl2br w:val="nil"/>
              <w:tr2bl w:val="nil"/>
            </w:tcBorders>
            <w:noWrap/>
            <w:vAlign w:val="center"/>
          </w:tcPr>
          <w:p w14:paraId="56D12A3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3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912" w:type="dxa"/>
            <w:tcBorders>
              <w:tl2br w:val="nil"/>
              <w:tr2bl w:val="nil"/>
            </w:tcBorders>
            <w:noWrap/>
            <w:vAlign w:val="center"/>
          </w:tcPr>
          <w:p w14:paraId="56D12A3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27</w:t>
            </w:r>
          </w:p>
        </w:tc>
      </w:tr>
      <w:tr w14:paraId="56D12A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3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湖南工商大学</w:t>
            </w:r>
          </w:p>
        </w:tc>
        <w:tc>
          <w:tcPr>
            <w:tcW w:w="1056" w:type="dxa"/>
            <w:tcBorders>
              <w:tl2br w:val="nil"/>
              <w:tr2bl w:val="nil"/>
            </w:tcBorders>
            <w:noWrap/>
            <w:vAlign w:val="center"/>
          </w:tcPr>
          <w:p w14:paraId="56D12A3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20" w:type="dxa"/>
            <w:tcBorders>
              <w:tl2br w:val="nil"/>
              <w:tr2bl w:val="nil"/>
            </w:tcBorders>
            <w:noWrap/>
            <w:vAlign w:val="center"/>
          </w:tcPr>
          <w:p w14:paraId="56D12A4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大学</w:t>
            </w:r>
          </w:p>
        </w:tc>
        <w:tc>
          <w:tcPr>
            <w:tcW w:w="1912" w:type="dxa"/>
            <w:tcBorders>
              <w:tl2br w:val="nil"/>
              <w:tr2bl w:val="nil"/>
            </w:tcBorders>
            <w:noWrap/>
            <w:vAlign w:val="center"/>
          </w:tcPr>
          <w:p w14:paraId="56D12A4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28</w:t>
            </w:r>
          </w:p>
        </w:tc>
      </w:tr>
      <w:tr w14:paraId="56D12A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4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湘雅三医院</w:t>
            </w:r>
          </w:p>
        </w:tc>
        <w:tc>
          <w:tcPr>
            <w:tcW w:w="1056" w:type="dxa"/>
            <w:tcBorders>
              <w:tl2br w:val="nil"/>
              <w:tr2bl w:val="nil"/>
            </w:tcBorders>
            <w:noWrap/>
            <w:vAlign w:val="center"/>
          </w:tcPr>
          <w:p w14:paraId="56D12A44">
            <w:pPr>
              <w:widowControl/>
              <w:spacing w:line="276" w:lineRule="auto"/>
              <w:rPr>
                <w:rFonts w:hint="eastAsia" w:ascii="宋体" w:hAnsi="宋体" w:eastAsia="宋体"/>
                <w:i w:val="0"/>
                <w:iCs w:val="0"/>
                <w:color w:val="auto"/>
                <w:sz w:val="18"/>
                <w:szCs w:val="18"/>
                <w:highlight w:val="none"/>
                <w:lang w:eastAsia="zh-CN"/>
              </w:rPr>
            </w:pPr>
            <w:r>
              <w:rPr>
                <w:rFonts w:hint="eastAsia" w:ascii="宋体" w:hAnsi="宋体" w:eastAsia="宋体"/>
                <w:i w:val="0"/>
                <w:iCs w:val="0"/>
                <w:color w:val="auto"/>
                <w:sz w:val="18"/>
                <w:szCs w:val="18"/>
                <w:highlight w:val="none"/>
                <w:lang w:val="en-US" w:eastAsia="zh-CN"/>
              </w:rPr>
              <w:t>1</w:t>
            </w:r>
          </w:p>
        </w:tc>
        <w:tc>
          <w:tcPr>
            <w:tcW w:w="1520" w:type="dxa"/>
            <w:tcBorders>
              <w:tl2br w:val="nil"/>
              <w:tr2bl w:val="nil"/>
            </w:tcBorders>
            <w:noWrap/>
            <w:vAlign w:val="center"/>
          </w:tcPr>
          <w:p w14:paraId="56D12A4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医院</w:t>
            </w:r>
          </w:p>
        </w:tc>
        <w:tc>
          <w:tcPr>
            <w:tcW w:w="1912" w:type="dxa"/>
            <w:tcBorders>
              <w:tl2br w:val="nil"/>
              <w:tr2bl w:val="nil"/>
            </w:tcBorders>
            <w:noWrap/>
            <w:vAlign w:val="center"/>
          </w:tcPr>
          <w:p w14:paraId="56D12A4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29</w:t>
            </w:r>
          </w:p>
        </w:tc>
      </w:tr>
      <w:tr w14:paraId="56D12A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4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文昌阁</w:t>
            </w:r>
          </w:p>
        </w:tc>
        <w:tc>
          <w:tcPr>
            <w:tcW w:w="1056" w:type="dxa"/>
            <w:tcBorders>
              <w:tl2br w:val="nil"/>
              <w:tr2bl w:val="nil"/>
            </w:tcBorders>
            <w:noWrap/>
            <w:vAlign w:val="center"/>
          </w:tcPr>
          <w:p w14:paraId="56D12A4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4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912" w:type="dxa"/>
            <w:tcBorders>
              <w:tl2br w:val="nil"/>
              <w:tr2bl w:val="nil"/>
            </w:tcBorders>
            <w:noWrap/>
            <w:vAlign w:val="center"/>
          </w:tcPr>
          <w:p w14:paraId="56D12A4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32</w:t>
            </w:r>
          </w:p>
        </w:tc>
      </w:tr>
      <w:tr w14:paraId="56D12A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4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麓谷公园</w:t>
            </w:r>
          </w:p>
        </w:tc>
        <w:tc>
          <w:tcPr>
            <w:tcW w:w="1056" w:type="dxa"/>
            <w:tcBorders>
              <w:tl2br w:val="nil"/>
              <w:tr2bl w:val="nil"/>
            </w:tcBorders>
            <w:noWrap/>
            <w:vAlign w:val="center"/>
          </w:tcPr>
          <w:p w14:paraId="56D12A4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20" w:type="dxa"/>
            <w:tcBorders>
              <w:tl2br w:val="nil"/>
              <w:tr2bl w:val="nil"/>
            </w:tcBorders>
            <w:noWrap/>
            <w:vAlign w:val="center"/>
          </w:tcPr>
          <w:p w14:paraId="56D12A4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912" w:type="dxa"/>
            <w:tcBorders>
              <w:tl2br w:val="nil"/>
              <w:tr2bl w:val="nil"/>
            </w:tcBorders>
            <w:noWrap/>
            <w:vAlign w:val="center"/>
          </w:tcPr>
          <w:p w14:paraId="56D12A5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A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5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隆平水稻博物馆</w:t>
            </w:r>
          </w:p>
        </w:tc>
        <w:tc>
          <w:tcPr>
            <w:tcW w:w="1056" w:type="dxa"/>
            <w:tcBorders>
              <w:tl2br w:val="nil"/>
              <w:tr2bl w:val="nil"/>
            </w:tcBorders>
            <w:noWrap/>
            <w:vAlign w:val="center"/>
          </w:tcPr>
          <w:p w14:paraId="56D12A5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20" w:type="dxa"/>
            <w:tcBorders>
              <w:tl2br w:val="nil"/>
              <w:tr2bl w:val="nil"/>
            </w:tcBorders>
            <w:noWrap/>
            <w:vAlign w:val="center"/>
          </w:tcPr>
          <w:p w14:paraId="56D12A5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912" w:type="dxa"/>
            <w:tcBorders>
              <w:tl2br w:val="nil"/>
              <w:tr2bl w:val="nil"/>
            </w:tcBorders>
            <w:noWrap/>
            <w:vAlign w:val="center"/>
          </w:tcPr>
          <w:p w14:paraId="56D12A5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25</w:t>
            </w:r>
          </w:p>
        </w:tc>
      </w:tr>
      <w:tr w14:paraId="56D12A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5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芙蓉区政府</w:t>
            </w:r>
          </w:p>
        </w:tc>
        <w:tc>
          <w:tcPr>
            <w:tcW w:w="1056" w:type="dxa"/>
            <w:tcBorders>
              <w:tl2br w:val="nil"/>
              <w:tr2bl w:val="nil"/>
            </w:tcBorders>
            <w:noWrap/>
            <w:vAlign w:val="center"/>
          </w:tcPr>
          <w:p w14:paraId="56D12A5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5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912" w:type="dxa"/>
            <w:tcBorders>
              <w:tl2br w:val="nil"/>
              <w:tr2bl w:val="nil"/>
            </w:tcBorders>
            <w:noWrap/>
            <w:vAlign w:val="center"/>
          </w:tcPr>
          <w:p w14:paraId="56D12A5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5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麓谷体育公园</w:t>
            </w:r>
          </w:p>
        </w:tc>
        <w:tc>
          <w:tcPr>
            <w:tcW w:w="1056" w:type="dxa"/>
            <w:tcBorders>
              <w:tl2br w:val="nil"/>
              <w:tr2bl w:val="nil"/>
            </w:tcBorders>
            <w:noWrap/>
            <w:vAlign w:val="center"/>
          </w:tcPr>
          <w:p w14:paraId="56D12A5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20" w:type="dxa"/>
            <w:tcBorders>
              <w:tl2br w:val="nil"/>
              <w:tr2bl w:val="nil"/>
            </w:tcBorders>
            <w:noWrap/>
            <w:vAlign w:val="center"/>
          </w:tcPr>
          <w:p w14:paraId="56D12A5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客流</w:t>
            </w:r>
          </w:p>
        </w:tc>
        <w:tc>
          <w:tcPr>
            <w:tcW w:w="1912" w:type="dxa"/>
            <w:tcBorders>
              <w:tl2br w:val="nil"/>
              <w:tr2bl w:val="nil"/>
            </w:tcBorders>
            <w:noWrap/>
            <w:vAlign w:val="center"/>
          </w:tcPr>
          <w:p w14:paraId="56D12A5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24</w:t>
            </w:r>
          </w:p>
        </w:tc>
      </w:tr>
      <w:tr w14:paraId="56D12A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6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六沟垅</w:t>
            </w:r>
          </w:p>
        </w:tc>
        <w:tc>
          <w:tcPr>
            <w:tcW w:w="1056" w:type="dxa"/>
            <w:tcBorders>
              <w:tl2br w:val="nil"/>
              <w:tr2bl w:val="nil"/>
            </w:tcBorders>
            <w:noWrap/>
            <w:vAlign w:val="center"/>
          </w:tcPr>
          <w:p w14:paraId="56D12A6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6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912" w:type="dxa"/>
            <w:tcBorders>
              <w:tl2br w:val="nil"/>
              <w:tr2bl w:val="nil"/>
            </w:tcBorders>
            <w:noWrap/>
            <w:vAlign w:val="center"/>
          </w:tcPr>
          <w:p w14:paraId="56D12A6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A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6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一师范西校区</w:t>
            </w:r>
          </w:p>
        </w:tc>
        <w:tc>
          <w:tcPr>
            <w:tcW w:w="1056" w:type="dxa"/>
            <w:tcBorders>
              <w:tl2br w:val="nil"/>
              <w:tr2bl w:val="nil"/>
            </w:tcBorders>
            <w:noWrap/>
            <w:vAlign w:val="center"/>
          </w:tcPr>
          <w:p w14:paraId="56D12A6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w:t>
            </w:r>
          </w:p>
        </w:tc>
        <w:tc>
          <w:tcPr>
            <w:tcW w:w="1520" w:type="dxa"/>
            <w:tcBorders>
              <w:tl2br w:val="nil"/>
              <w:tr2bl w:val="nil"/>
            </w:tcBorders>
            <w:noWrap/>
            <w:vAlign w:val="center"/>
          </w:tcPr>
          <w:p w14:paraId="56D12A6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大学</w:t>
            </w:r>
          </w:p>
        </w:tc>
        <w:tc>
          <w:tcPr>
            <w:tcW w:w="1912" w:type="dxa"/>
            <w:tcBorders>
              <w:tl2br w:val="nil"/>
              <w:tr2bl w:val="nil"/>
            </w:tcBorders>
            <w:noWrap/>
            <w:vAlign w:val="center"/>
          </w:tcPr>
          <w:p w14:paraId="56D12A6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w:t>
            </w:r>
          </w:p>
        </w:tc>
      </w:tr>
      <w:tr w14:paraId="56D12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6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迎宾路口</w:t>
            </w:r>
          </w:p>
        </w:tc>
        <w:tc>
          <w:tcPr>
            <w:tcW w:w="1056" w:type="dxa"/>
            <w:tcBorders>
              <w:tl2br w:val="nil"/>
              <w:tr2bl w:val="nil"/>
            </w:tcBorders>
            <w:noWrap/>
            <w:vAlign w:val="center"/>
          </w:tcPr>
          <w:p w14:paraId="56D12A6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6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912" w:type="dxa"/>
            <w:tcBorders>
              <w:tl2br w:val="nil"/>
              <w:tr2bl w:val="nil"/>
            </w:tcBorders>
            <w:noWrap/>
            <w:vAlign w:val="center"/>
          </w:tcPr>
          <w:p w14:paraId="56D12A6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28</w:t>
            </w:r>
          </w:p>
        </w:tc>
      </w:tr>
      <w:tr w14:paraId="56D12A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7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东湖</w:t>
            </w:r>
          </w:p>
        </w:tc>
        <w:tc>
          <w:tcPr>
            <w:tcW w:w="1056" w:type="dxa"/>
            <w:tcBorders>
              <w:tl2br w:val="nil"/>
              <w:tr2bl w:val="nil"/>
            </w:tcBorders>
            <w:noWrap/>
            <w:vAlign w:val="center"/>
          </w:tcPr>
          <w:p w14:paraId="56D12A7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72">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7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11</w:t>
            </w:r>
          </w:p>
        </w:tc>
      </w:tr>
      <w:tr w14:paraId="56D12A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7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人民东路</w:t>
            </w:r>
          </w:p>
        </w:tc>
        <w:tc>
          <w:tcPr>
            <w:tcW w:w="1056" w:type="dxa"/>
            <w:tcBorders>
              <w:tl2br w:val="nil"/>
              <w:tr2bl w:val="nil"/>
            </w:tcBorders>
            <w:noWrap/>
            <w:vAlign w:val="center"/>
          </w:tcPr>
          <w:p w14:paraId="56D12A7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w:t>
            </w:r>
          </w:p>
        </w:tc>
        <w:tc>
          <w:tcPr>
            <w:tcW w:w="1520" w:type="dxa"/>
            <w:tcBorders>
              <w:tl2br w:val="nil"/>
              <w:tr2bl w:val="nil"/>
            </w:tcBorders>
            <w:noWrap/>
            <w:vAlign w:val="center"/>
          </w:tcPr>
          <w:p w14:paraId="56D12A7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换乘</w:t>
            </w:r>
          </w:p>
        </w:tc>
        <w:tc>
          <w:tcPr>
            <w:tcW w:w="1912" w:type="dxa"/>
            <w:tcBorders>
              <w:tl2br w:val="nil"/>
              <w:tr2bl w:val="nil"/>
            </w:tcBorders>
            <w:noWrap/>
            <w:vAlign w:val="center"/>
          </w:tcPr>
          <w:p w14:paraId="56D12A7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w:t>
            </w:r>
          </w:p>
        </w:tc>
      </w:tr>
      <w:tr w14:paraId="56D12A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7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花桥</w:t>
            </w:r>
          </w:p>
        </w:tc>
        <w:tc>
          <w:tcPr>
            <w:tcW w:w="1056" w:type="dxa"/>
            <w:tcBorders>
              <w:tl2br w:val="nil"/>
              <w:tr2bl w:val="nil"/>
            </w:tcBorders>
            <w:noWrap/>
            <w:vAlign w:val="center"/>
          </w:tcPr>
          <w:p w14:paraId="56D12A7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7C">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7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w:t>
            </w:r>
          </w:p>
        </w:tc>
      </w:tr>
      <w:tr w14:paraId="56D12A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7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韶光</w:t>
            </w:r>
          </w:p>
        </w:tc>
        <w:tc>
          <w:tcPr>
            <w:tcW w:w="1056" w:type="dxa"/>
            <w:tcBorders>
              <w:tl2br w:val="nil"/>
              <w:tr2bl w:val="nil"/>
            </w:tcBorders>
            <w:noWrap/>
            <w:vAlign w:val="center"/>
          </w:tcPr>
          <w:p w14:paraId="56D12A8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81">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8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28</w:t>
            </w:r>
          </w:p>
        </w:tc>
      </w:tr>
      <w:tr w14:paraId="56D12A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8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木马塅</w:t>
            </w:r>
          </w:p>
        </w:tc>
        <w:tc>
          <w:tcPr>
            <w:tcW w:w="1056" w:type="dxa"/>
            <w:tcBorders>
              <w:tl2br w:val="nil"/>
              <w:tr2bl w:val="nil"/>
            </w:tcBorders>
            <w:noWrap/>
            <w:vAlign w:val="center"/>
          </w:tcPr>
          <w:p w14:paraId="56D12A8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86">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8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A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8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大路村</w:t>
            </w:r>
          </w:p>
        </w:tc>
        <w:tc>
          <w:tcPr>
            <w:tcW w:w="1056" w:type="dxa"/>
            <w:tcBorders>
              <w:tl2br w:val="nil"/>
              <w:tr2bl w:val="nil"/>
            </w:tcBorders>
            <w:noWrap/>
            <w:vAlign w:val="center"/>
          </w:tcPr>
          <w:p w14:paraId="56D12A8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8B">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8C">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A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8E">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檀木桥</w:t>
            </w:r>
          </w:p>
        </w:tc>
        <w:tc>
          <w:tcPr>
            <w:tcW w:w="1056" w:type="dxa"/>
            <w:tcBorders>
              <w:tl2br w:val="nil"/>
              <w:tr2bl w:val="nil"/>
            </w:tcBorders>
            <w:noWrap/>
            <w:vAlign w:val="center"/>
          </w:tcPr>
          <w:p w14:paraId="56D12A8F">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90">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91">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16</w:t>
            </w:r>
          </w:p>
        </w:tc>
      </w:tr>
      <w:tr w14:paraId="56D12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9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象鼻窝</w:t>
            </w:r>
          </w:p>
        </w:tc>
        <w:tc>
          <w:tcPr>
            <w:tcW w:w="1056" w:type="dxa"/>
            <w:tcBorders>
              <w:tl2br w:val="nil"/>
              <w:tr2bl w:val="nil"/>
            </w:tcBorders>
            <w:noWrap/>
            <w:vAlign w:val="center"/>
          </w:tcPr>
          <w:p w14:paraId="56D12A94">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95">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96">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23</w:t>
            </w:r>
          </w:p>
        </w:tc>
      </w:tr>
      <w:tr w14:paraId="56D12A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9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龙峰</w:t>
            </w:r>
          </w:p>
        </w:tc>
        <w:tc>
          <w:tcPr>
            <w:tcW w:w="1056" w:type="dxa"/>
            <w:tcBorders>
              <w:tl2br w:val="nil"/>
              <w:tr2bl w:val="nil"/>
            </w:tcBorders>
            <w:noWrap/>
            <w:vAlign w:val="center"/>
          </w:tcPr>
          <w:p w14:paraId="56D12A99">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9A">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9B">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26</w:t>
            </w:r>
          </w:p>
        </w:tc>
      </w:tr>
      <w:tr w14:paraId="56D12A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9D">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中塘</w:t>
            </w:r>
          </w:p>
        </w:tc>
        <w:tc>
          <w:tcPr>
            <w:tcW w:w="1056" w:type="dxa"/>
            <w:tcBorders>
              <w:tl2br w:val="nil"/>
              <w:tr2bl w:val="nil"/>
            </w:tcBorders>
            <w:noWrap/>
            <w:vAlign w:val="center"/>
          </w:tcPr>
          <w:p w14:paraId="56D12A9E">
            <w:pPr>
              <w:widowControl/>
              <w:spacing w:line="276" w:lineRule="auto"/>
              <w:rPr>
                <w:rFonts w:hint="eastAsia" w:ascii="宋体" w:hAnsi="宋体" w:eastAsia="宋体"/>
                <w:i w:val="0"/>
                <w:iCs w:val="0"/>
                <w:color w:val="auto"/>
                <w:sz w:val="18"/>
                <w:szCs w:val="18"/>
                <w:highlight w:val="none"/>
                <w:lang w:eastAsia="zh-CN"/>
              </w:rPr>
            </w:pPr>
            <w:r>
              <w:rPr>
                <w:rFonts w:hint="eastAsia" w:ascii="宋体" w:hAnsi="宋体" w:eastAsia="宋体"/>
                <w:i w:val="0"/>
                <w:iCs w:val="0"/>
                <w:color w:val="auto"/>
                <w:sz w:val="18"/>
                <w:szCs w:val="18"/>
                <w:highlight w:val="none"/>
                <w:lang w:val="en-US" w:eastAsia="zh-CN"/>
              </w:rPr>
              <w:t>2</w:t>
            </w:r>
          </w:p>
        </w:tc>
        <w:tc>
          <w:tcPr>
            <w:tcW w:w="1520" w:type="dxa"/>
            <w:tcBorders>
              <w:tl2br w:val="nil"/>
              <w:tr2bl w:val="nil"/>
            </w:tcBorders>
            <w:noWrap/>
            <w:vAlign w:val="center"/>
          </w:tcPr>
          <w:p w14:paraId="56D12A9F">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A0">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22</w:t>
            </w:r>
          </w:p>
        </w:tc>
      </w:tr>
      <w:tr w14:paraId="56D12A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A2">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曹家坪</w:t>
            </w:r>
          </w:p>
        </w:tc>
        <w:tc>
          <w:tcPr>
            <w:tcW w:w="1056" w:type="dxa"/>
            <w:tcBorders>
              <w:tl2br w:val="nil"/>
              <w:tr2bl w:val="nil"/>
            </w:tcBorders>
            <w:noWrap/>
            <w:vAlign w:val="center"/>
          </w:tcPr>
          <w:p w14:paraId="56D12AA3">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A4">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A5">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27</w:t>
            </w:r>
          </w:p>
        </w:tc>
      </w:tr>
      <w:tr w14:paraId="56D12A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jc w:val="center"/>
        </w:trPr>
        <w:tc>
          <w:tcPr>
            <w:tcW w:w="1782" w:type="dxa"/>
            <w:tcBorders>
              <w:tl2br w:val="nil"/>
              <w:tr2bl w:val="nil"/>
            </w:tcBorders>
            <w:noWrap/>
            <w:vAlign w:val="center"/>
          </w:tcPr>
          <w:p w14:paraId="56D12AA7">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谢家桥</w:t>
            </w:r>
          </w:p>
        </w:tc>
        <w:tc>
          <w:tcPr>
            <w:tcW w:w="1056" w:type="dxa"/>
            <w:tcBorders>
              <w:tl2br w:val="nil"/>
              <w:tr2bl w:val="nil"/>
            </w:tcBorders>
            <w:noWrap/>
            <w:vAlign w:val="center"/>
          </w:tcPr>
          <w:p w14:paraId="56D12AA8">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3</w:t>
            </w:r>
          </w:p>
        </w:tc>
        <w:tc>
          <w:tcPr>
            <w:tcW w:w="1520" w:type="dxa"/>
            <w:tcBorders>
              <w:tl2br w:val="nil"/>
              <w:tr2bl w:val="nil"/>
            </w:tcBorders>
            <w:noWrap/>
            <w:vAlign w:val="center"/>
          </w:tcPr>
          <w:p w14:paraId="56D12AA9">
            <w:pPr>
              <w:widowControl/>
              <w:spacing w:line="276" w:lineRule="auto"/>
              <w:rPr>
                <w:rFonts w:hint="eastAsia" w:ascii="宋体" w:hAnsi="宋体" w:eastAsia="宋体"/>
                <w:i w:val="0"/>
                <w:iCs w:val="0"/>
                <w:color w:val="auto"/>
                <w:sz w:val="18"/>
                <w:szCs w:val="18"/>
                <w:highlight w:val="none"/>
              </w:rPr>
            </w:pPr>
          </w:p>
        </w:tc>
        <w:tc>
          <w:tcPr>
            <w:tcW w:w="1912" w:type="dxa"/>
            <w:tcBorders>
              <w:tl2br w:val="nil"/>
              <w:tr2bl w:val="nil"/>
            </w:tcBorders>
            <w:noWrap/>
            <w:vAlign w:val="center"/>
          </w:tcPr>
          <w:p w14:paraId="56D12AAA">
            <w:pPr>
              <w:widowControl/>
              <w:spacing w:line="276" w:lineRule="auto"/>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18</w:t>
            </w:r>
          </w:p>
        </w:tc>
      </w:tr>
    </w:tbl>
    <w:p w14:paraId="56D12AA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综上，按照固定算法任务及分时轮巡机制。</w:t>
      </w:r>
    </w:p>
    <w:p w14:paraId="56D12AA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14个大站，每个车站新增视频智能分析设备算力资源实际应不小于110路视频智能分析任务，考虑运营过程的变化，预留10%算力，共计不小于120路，且视频智能分析设备具备灵活的业务分析轮巡机制。</w:t>
      </w:r>
    </w:p>
    <w:p w14:paraId="56D12AA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20个普通站每个车站视频智能分析设备实际应不小于80路视频智能分析任务，考虑运营过程的变化，预留5%算力，共计不小于90路，且视频智能分析设备具备灵活的业务分析轮巡机制。</w:t>
      </w:r>
    </w:p>
    <w:p w14:paraId="56D12AAF">
      <w:pPr>
        <w:pStyle w:val="4"/>
        <w:rPr>
          <w:i w:val="0"/>
          <w:iCs w:val="0"/>
          <w:color w:val="auto"/>
          <w:sz w:val="24"/>
          <w:szCs w:val="21"/>
          <w:highlight w:val="none"/>
        </w:rPr>
      </w:pPr>
      <w:bookmarkStart w:id="58" w:name="_Toc9672"/>
      <w:r>
        <w:rPr>
          <w:i w:val="0"/>
          <w:iCs w:val="0"/>
          <w:color w:val="auto"/>
          <w:sz w:val="24"/>
          <w:szCs w:val="21"/>
          <w:highlight w:val="none"/>
        </w:rPr>
        <w:t>管控平台视频智能分析系统功能</w:t>
      </w:r>
      <w:bookmarkEnd w:id="48"/>
      <w:bookmarkEnd w:id="58"/>
    </w:p>
    <w:p w14:paraId="56D12AB0">
      <w:pPr>
        <w:pStyle w:val="5"/>
        <w:ind w:left="0"/>
        <w:rPr>
          <w:i w:val="0"/>
          <w:iCs w:val="0"/>
          <w:color w:val="auto"/>
          <w:sz w:val="22"/>
          <w:szCs w:val="22"/>
          <w:highlight w:val="none"/>
        </w:rPr>
      </w:pPr>
      <w:bookmarkStart w:id="59" w:name="_Toc10685"/>
      <w:r>
        <w:rPr>
          <w:i w:val="0"/>
          <w:iCs w:val="0"/>
          <w:color w:val="auto"/>
          <w:sz w:val="22"/>
          <w:szCs w:val="22"/>
          <w:highlight w:val="none"/>
          <w:lang w:val="en-US"/>
        </w:rPr>
        <w:t>功能概述​</w:t>
      </w:r>
      <w:bookmarkEnd w:id="59"/>
    </w:p>
    <w:p w14:paraId="56D12AB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围绕智慧地铁车站运营需求，对早间开站、晚间关站以及智能巡检功能进行AI化升级改造。通过引入视频分析轮询功能、异常行为分析与告警功能，提升车站运营各环节的智能化程度，强化运营安全性与规范性。本功能基于既有综合监控系统和建设期管控平台实现，相关接口及授权费用包含在投标总价中，若因投标人因漏报、误报所造成的工程量增加的费用由投标人自行承担。</w:t>
      </w:r>
    </w:p>
    <w:p w14:paraId="56D12AB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专题三：结合既有综合监控系统及一键开关站等功能，投标人应开展AI升级改造方案研究，详细阐述升级改造方案，保证系统兼容性、稳定性及功能实现。</w:t>
      </w:r>
    </w:p>
    <w:p w14:paraId="56D12AB3">
      <w:pPr>
        <w:pStyle w:val="5"/>
        <w:ind w:left="0"/>
        <w:rPr>
          <w:i w:val="0"/>
          <w:iCs w:val="0"/>
          <w:color w:val="auto"/>
          <w:sz w:val="22"/>
          <w:szCs w:val="22"/>
          <w:highlight w:val="none"/>
        </w:rPr>
      </w:pPr>
      <w:bookmarkStart w:id="60" w:name="_Toc15591"/>
      <w:r>
        <w:rPr>
          <w:i w:val="0"/>
          <w:iCs w:val="0"/>
          <w:color w:val="auto"/>
          <w:sz w:val="22"/>
          <w:szCs w:val="22"/>
          <w:highlight w:val="none"/>
          <w:lang w:val="en-US"/>
        </w:rPr>
        <w:t>核心功能模块</w:t>
      </w:r>
      <w:bookmarkEnd w:id="60"/>
    </w:p>
    <w:p w14:paraId="56D12AB4">
      <w:pPr>
        <w:pStyle w:val="6"/>
        <w:ind w:left="0"/>
        <w:rPr>
          <w:i w:val="0"/>
          <w:iCs w:val="0"/>
          <w:color w:val="auto"/>
          <w:sz w:val="21"/>
          <w:szCs w:val="21"/>
          <w:highlight w:val="none"/>
        </w:rPr>
      </w:pPr>
      <w:r>
        <w:rPr>
          <w:i w:val="0"/>
          <w:iCs w:val="0"/>
          <w:color w:val="auto"/>
          <w:sz w:val="21"/>
          <w:szCs w:val="21"/>
          <w:highlight w:val="none"/>
        </w:rPr>
        <w:t>基本功能</w:t>
      </w:r>
    </w:p>
    <w:p w14:paraId="56D12AB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在早间开站和晚间关站操作前，系统自动启动视频分析轮询检查，依据检查结果判断车站是否满足开关站条件。检查过程中，系统实时向智慧地铁管控平台传递记录或告警信息，并在界面进行醒目提示。</w:t>
      </w:r>
    </w:p>
    <w:p w14:paraId="56D12AB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用户可进行消除告警操作，同时录入详细处置文本及上传相关图片记录。当视频分析检测到告警后，值班员可自主选择是否继续执行其他的开关站操作；若其他设备已先行执行，在消除告警后，仍可对该警告设备继续完成开关站操作，确保操作灵活性与执行效率。​</w:t>
      </w:r>
    </w:p>
    <w:p w14:paraId="56D12AB7">
      <w:pPr>
        <w:pStyle w:val="6"/>
        <w:ind w:left="0"/>
        <w:rPr>
          <w:i w:val="0"/>
          <w:iCs w:val="0"/>
          <w:color w:val="auto"/>
          <w:sz w:val="21"/>
          <w:szCs w:val="21"/>
          <w:highlight w:val="none"/>
        </w:rPr>
      </w:pPr>
      <w:r>
        <w:rPr>
          <w:i w:val="0"/>
          <w:iCs w:val="0"/>
          <w:color w:val="auto"/>
          <w:sz w:val="21"/>
          <w:szCs w:val="21"/>
          <w:highlight w:val="none"/>
        </w:rPr>
        <w:t>早间智能开站AI化升级​</w:t>
      </w:r>
    </w:p>
    <w:p w14:paraId="56D12AB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视频分析轮询功能：系统调用电扶梯有人检测算法，对车站每个扶梯的上、下视频点位进行精准视频抓取与深度分析，快速且准确地检测扶梯上是否存在人员，为开站安全提供保障。</w:t>
      </w:r>
    </w:p>
    <w:p w14:paraId="56D12AB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报告升级：开站报告新增视频分析轮询执行的关键信息，包括开始时间、结束时间、执行数量、异常数量、执行明细以及消警记录，便于后续追溯与分析。​</w:t>
      </w:r>
    </w:p>
    <w:p w14:paraId="56D12ABA">
      <w:pPr>
        <w:pStyle w:val="6"/>
        <w:ind w:left="0"/>
        <w:rPr>
          <w:i w:val="0"/>
          <w:iCs w:val="0"/>
          <w:color w:val="auto"/>
          <w:sz w:val="21"/>
          <w:szCs w:val="15"/>
          <w:highlight w:val="none"/>
        </w:rPr>
      </w:pPr>
      <w:r>
        <w:rPr>
          <w:i w:val="0"/>
          <w:iCs w:val="0"/>
          <w:color w:val="auto"/>
          <w:sz w:val="21"/>
          <w:szCs w:val="15"/>
          <w:highlight w:val="none"/>
        </w:rPr>
        <w:t>晚间智能关站AI化升级​</w:t>
      </w:r>
    </w:p>
    <w:p w14:paraId="56D12AB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同时调用电扶梯有人检测算法和直梯有人检测算法，分别对扶梯和直梯内是否有人进行检测，确保关站时站内无滞留人员。​</w:t>
      </w:r>
    </w:p>
    <w:p w14:paraId="56D12AB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报告升级：与早间开站报告类似，晚间关站报告同样增加视频分析轮询的全面执行信息，便于复盘与总结。​</w:t>
      </w:r>
    </w:p>
    <w:p w14:paraId="56D12ABE">
      <w:pPr>
        <w:pStyle w:val="6"/>
        <w:ind w:left="0"/>
        <w:rPr>
          <w:i w:val="0"/>
          <w:iCs w:val="0"/>
          <w:color w:val="auto"/>
          <w:sz w:val="21"/>
          <w:szCs w:val="15"/>
          <w:highlight w:val="none"/>
        </w:rPr>
      </w:pPr>
      <w:r>
        <w:rPr>
          <w:i w:val="0"/>
          <w:iCs w:val="0"/>
          <w:color w:val="auto"/>
          <w:sz w:val="21"/>
          <w:szCs w:val="15"/>
          <w:highlight w:val="none"/>
        </w:rPr>
        <w:t>智能巡检应用AI化升级​</w:t>
      </w:r>
    </w:p>
    <w:p w14:paraId="56D12AB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视频分析功能：启动智能巡检的同时，视频分析同步开启，对多种异常行为/情况进行实时检查。一旦发现异常，系统自动生成包含监测时间、事发位置、对应视频画面及截图等详细内容的预警消息。在巡检过程中，告警信息仅记录在列表中，不中断巡检任务，保障巡检效率。巡检完成后，结果中包含完整告警记录，车站人员处置后可进行消警处理，并补充填写处置文本记录和上传相关图片。​</w:t>
      </w:r>
    </w:p>
    <w:p w14:paraId="56D12AC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告警功能：涵盖消火栓门/消防器门状态检查、地面积水检查、值岗人员行为检查（玩手机、打瞌睡、离岗）、信息显示屏黑屏检查、风亭漫水检查、人员摔倒检测、烟火检测以及轮椅检测等多维度检查，全方位保障车站运营安全。</w:t>
      </w:r>
    </w:p>
    <w:p w14:paraId="56D12AC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报告升级：智能巡检报告新增视频分析轮询执行的各类信息，实现巡检工作的完整记录与追溯。​</w:t>
      </w:r>
    </w:p>
    <w:p w14:paraId="56D12AC2">
      <w:pPr>
        <w:pStyle w:val="6"/>
        <w:ind w:left="0"/>
        <w:rPr>
          <w:i w:val="0"/>
          <w:iCs w:val="0"/>
          <w:color w:val="auto"/>
          <w:sz w:val="21"/>
          <w:szCs w:val="21"/>
          <w:highlight w:val="none"/>
        </w:rPr>
      </w:pPr>
      <w:r>
        <w:rPr>
          <w:i w:val="0"/>
          <w:iCs w:val="0"/>
          <w:color w:val="auto"/>
          <w:sz w:val="21"/>
          <w:szCs w:val="21"/>
          <w:highlight w:val="none"/>
        </w:rPr>
        <w:t>智能开关站/巡检日报功能​</w:t>
      </w:r>
    </w:p>
    <w:p w14:paraId="56D12AC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基于管控平台现有的开站报告、关站报告、巡检报告，系统自动生成每日智能开关站/巡检日报。用户可对日报内容进行编辑、保存和导出操作，形成每日智能任务执行的完整业务闭环，便于管理与数据分析。</w:t>
      </w:r>
    </w:p>
    <w:p w14:paraId="56D12AC4">
      <w:pPr>
        <w:pStyle w:val="4"/>
        <w:rPr>
          <w:i w:val="0"/>
          <w:iCs w:val="0"/>
          <w:color w:val="auto"/>
          <w:sz w:val="24"/>
          <w:szCs w:val="21"/>
          <w:highlight w:val="none"/>
        </w:rPr>
      </w:pPr>
      <w:bookmarkStart w:id="61" w:name="_Toc7994"/>
      <w:r>
        <w:rPr>
          <w:rFonts w:hint="eastAsia"/>
          <w:i w:val="0"/>
          <w:iCs w:val="0"/>
          <w:color w:val="auto"/>
          <w:sz w:val="24"/>
          <w:szCs w:val="21"/>
          <w:highlight w:val="none"/>
        </w:rPr>
        <w:t>系统方案</w:t>
      </w:r>
      <w:bookmarkEnd w:id="61"/>
    </w:p>
    <w:p w14:paraId="56D12AC5">
      <w:pPr>
        <w:pStyle w:val="5"/>
        <w:ind w:left="0"/>
        <w:rPr>
          <w:i w:val="0"/>
          <w:iCs w:val="0"/>
          <w:color w:val="auto"/>
          <w:sz w:val="22"/>
          <w:szCs w:val="22"/>
          <w:highlight w:val="none"/>
        </w:rPr>
      </w:pPr>
      <w:bookmarkStart w:id="62" w:name="_Toc31223"/>
      <w:r>
        <w:rPr>
          <w:i w:val="0"/>
          <w:iCs w:val="0"/>
          <w:color w:val="auto"/>
          <w:sz w:val="22"/>
          <w:szCs w:val="22"/>
          <w:highlight w:val="none"/>
          <w:lang w:val="en-US"/>
        </w:rPr>
        <w:t>设备连接​</w:t>
      </w:r>
      <w:bookmarkEnd w:id="62"/>
    </w:p>
    <w:p w14:paraId="56D12AC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车站视频智能分析设备通过既有车站CCTV汇聚交换机，与前端多种监控摄像机相连，包括扶梯区域监视摄像机、隔栏递物区域监视摄像机、安检区域场景监视摄像机、一键开关站关联的监视摄像机以及车站巡检关联的监视摄像机，实现对多个关键区域的全面监控与分析。</w:t>
      </w:r>
    </w:p>
    <w:p w14:paraId="56D12AC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车站智慧地铁管控平台通过新增防火墙实现与安检网络联通，实现向各车站的安检执机处的终端实时推送智慧地铁管控平台告警提醒。</w:t>
      </w:r>
    </w:p>
    <w:p w14:paraId="56D12AC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警务室终端接入通信设备CCTV系统接入交换机，实现告警信息的获取和展示。</w:t>
      </w:r>
    </w:p>
    <w:p w14:paraId="56D12AC9">
      <w:pPr>
        <w:pStyle w:val="5"/>
        <w:ind w:left="0"/>
        <w:rPr>
          <w:i w:val="0"/>
          <w:iCs w:val="0"/>
          <w:color w:val="auto"/>
          <w:sz w:val="22"/>
          <w:szCs w:val="22"/>
          <w:highlight w:val="none"/>
        </w:rPr>
      </w:pPr>
      <w:bookmarkStart w:id="63" w:name="_Toc9488"/>
      <w:r>
        <w:rPr>
          <w:i w:val="0"/>
          <w:iCs w:val="0"/>
          <w:color w:val="auto"/>
          <w:sz w:val="22"/>
          <w:szCs w:val="22"/>
          <w:highlight w:val="none"/>
          <w:lang w:val="en-US"/>
        </w:rPr>
        <w:t>告警信息传输​</w:t>
      </w:r>
      <w:bookmarkEnd w:id="63"/>
    </w:p>
    <w:p w14:paraId="56D12AC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分析后的隔栏递物行为、扶梯人员摔倒、安检员值岗状态、一键开关站、车站巡检等相关告警信息，经车站CCTV汇聚交换机与综合监控主备交换机通信，上传至车站管控平台，车站管控平台进一步将告警信息上传至控制中心综合监控机房的智慧地铁管控云平台。同时，车站警务室终端、车控室终端以及各车站安检执机处终端，可接收管控平台推送的报警信息，确保各岗位人员及时获取信息，实现业务应用和处置闭环。​</w:t>
      </w:r>
    </w:p>
    <w:p w14:paraId="56D12ACB">
      <w:pPr>
        <w:pStyle w:val="5"/>
        <w:ind w:left="0"/>
        <w:rPr>
          <w:i w:val="0"/>
          <w:iCs w:val="0"/>
          <w:color w:val="auto"/>
          <w:sz w:val="22"/>
          <w:szCs w:val="22"/>
          <w:highlight w:val="none"/>
        </w:rPr>
      </w:pPr>
      <w:bookmarkStart w:id="64" w:name="_Toc28805"/>
      <w:r>
        <w:rPr>
          <w:i w:val="0"/>
          <w:iCs w:val="0"/>
          <w:color w:val="auto"/>
          <w:sz w:val="22"/>
          <w:szCs w:val="22"/>
          <w:highlight w:val="none"/>
          <w:lang w:val="en-US"/>
        </w:rPr>
        <w:t>算法运行机制​</w:t>
      </w:r>
      <w:bookmarkEnd w:id="64"/>
    </w:p>
    <w:p w14:paraId="56D12AC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采用固定加轮巡执行机制，最大程度利用每个车站的算力，覆盖更多车站区域。根据车站类型，划分为14个重点站和20个普通站（中小站）。</w:t>
      </w:r>
    </w:p>
    <w:p w14:paraId="56D12AC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固定运行算法场景包括隔栏递物、值班人员异常行为（打瞌睡、玩手机、离岗）、扶梯人员摔倒。</w:t>
      </w:r>
    </w:p>
    <w:p w14:paraId="56D12AC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轮巡运行算法场景主要涵盖智能开关站、车站巡检场景算法，实现精准、高效的视频智能分析。</w:t>
      </w:r>
    </w:p>
    <w:p w14:paraId="56D12AC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分析后的实时告警信息通过车站CCTV汇聚交换机连通综合监控主备交换机，将扶梯人员摔倒、隔栏递物、安检值岗状态、一键开关站、车站巡检告警信息上传至车站智慧地铁管控平台。</w:t>
      </w:r>
    </w:p>
    <w:p w14:paraId="56D12AD0">
      <w:pPr>
        <w:pStyle w:val="4"/>
        <w:rPr>
          <w:i w:val="0"/>
          <w:iCs w:val="0"/>
          <w:color w:val="auto"/>
          <w:sz w:val="24"/>
          <w:szCs w:val="21"/>
          <w:highlight w:val="none"/>
        </w:rPr>
      </w:pPr>
      <w:bookmarkStart w:id="65" w:name="_Toc27607"/>
      <w:r>
        <w:rPr>
          <w:rFonts w:hint="eastAsia"/>
          <w:i w:val="0"/>
          <w:iCs w:val="0"/>
          <w:color w:val="auto"/>
          <w:sz w:val="24"/>
          <w:szCs w:val="21"/>
          <w:highlight w:val="none"/>
        </w:rPr>
        <w:t>与智慧地铁管控平台接口</w:t>
      </w:r>
      <w:bookmarkEnd w:id="65"/>
    </w:p>
    <w:p w14:paraId="56D12AD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期新增的智能分析设备部署于车站的通信机房，利用既有一期与管控平台的接口，通过通信-综合监控-管控平台，实现新增视频智能分析设备的预警上传至智慧地铁管控平台，一期的智慧地铁管控平台部署于车站的综合监控机房，两系统间通过通信机房的交换机与综合监控机房的交换机通过软件协议完成智能分析系统产生的预警上报至智慧地铁管控平台。</w:t>
      </w:r>
    </w:p>
    <w:p w14:paraId="56D12AD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在车站设置智能分析系统和智慧地铁管控平台的接口（利用既有一期接口），接口划分如图所示。</w:t>
      </w:r>
    </w:p>
    <w:p w14:paraId="56D12AD3">
      <w:pPr>
        <w:pStyle w:val="34"/>
        <w:kinsoku w:val="0"/>
        <w:overflowPunct w:val="0"/>
        <w:spacing w:line="360" w:lineRule="auto"/>
        <w:ind w:left="356"/>
        <w:jc w:val="center"/>
        <w:rPr>
          <w:rFonts w:hint="eastAsia" w:ascii="宋体" w:hAnsi="宋体" w:eastAsia="宋体" w:cs="仿宋"/>
          <w:i w:val="0"/>
          <w:iCs w:val="0"/>
          <w:color w:val="auto"/>
          <w:position w:val="-102"/>
          <w:sz w:val="10"/>
          <w:szCs w:val="10"/>
          <w:highlight w:val="none"/>
        </w:rPr>
      </w:pPr>
      <w:r>
        <w:rPr>
          <w:rFonts w:hint="eastAsia"/>
          <w:i w:val="0"/>
          <w:iCs w:val="0"/>
          <w:color w:val="auto"/>
          <w:sz w:val="21"/>
          <w:szCs w:val="20"/>
          <w:highlight w:val="none"/>
        </w:rPr>
        <w:drawing>
          <wp:inline distT="0" distB="0" distL="0" distR="0">
            <wp:extent cx="4212590" cy="2623185"/>
            <wp:effectExtent l="0" t="0" r="0" b="5715"/>
            <wp:docPr id="366708802"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708802" name="图片 1" descr="图示&#10;&#10;AI 生成的内容可能不正确。"/>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212590" cy="2623185"/>
                    </a:xfrm>
                    <a:prstGeom prst="rect">
                      <a:avLst/>
                    </a:prstGeom>
                    <a:noFill/>
                    <a:ln>
                      <a:noFill/>
                    </a:ln>
                  </pic:spPr>
                </pic:pic>
              </a:graphicData>
            </a:graphic>
          </wp:inline>
        </w:drawing>
      </w:r>
    </w:p>
    <w:p w14:paraId="56D12AD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车站智能分析系统与智慧地铁管控平台接口划分示意图</w:t>
      </w:r>
    </w:p>
    <w:p w14:paraId="56D12AD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a、接口分界：车站：软件协议，无物理接口；</w:t>
      </w:r>
    </w:p>
    <w:p w14:paraId="56D12AD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b、接口类型：通信接口：100/1000M以太网TCP/IP，RJ45。</w:t>
      </w:r>
    </w:p>
    <w:p w14:paraId="56D12AD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c、软件协议：接口通讯协议支持标准的、通用的、开放的、软件解码的协议，与既有保持一致，既采用HTTP+JSON协议。</w:t>
      </w:r>
    </w:p>
    <w:p w14:paraId="56D12AD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d、接口数量：车站两路独立的以太网接口。</w:t>
      </w:r>
    </w:p>
    <w:p w14:paraId="56D12AD9">
      <w:pPr>
        <w:pStyle w:val="4"/>
        <w:rPr>
          <w:i w:val="0"/>
          <w:iCs w:val="0"/>
          <w:color w:val="auto"/>
          <w:sz w:val="24"/>
          <w:szCs w:val="21"/>
          <w:highlight w:val="none"/>
        </w:rPr>
      </w:pPr>
      <w:bookmarkStart w:id="66" w:name="_Toc21761"/>
      <w:r>
        <w:rPr>
          <w:rFonts w:hint="eastAsia"/>
          <w:i w:val="0"/>
          <w:iCs w:val="0"/>
          <w:color w:val="auto"/>
          <w:sz w:val="24"/>
          <w:szCs w:val="21"/>
          <w:highlight w:val="none"/>
        </w:rPr>
        <w:t>系统配电及接地</w:t>
      </w:r>
      <w:bookmarkEnd w:id="66"/>
    </w:p>
    <w:p w14:paraId="56D12AD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视频分析系统新增摄像机从既有CCTV系统配电箱取电，视频分析设备接入既有CCTV系统服务器机柜内PDU，利用既有配电回路；视频分析设备接地线缆接入既有CCTV系统服务器机柜接地端子排。</w:t>
      </w:r>
    </w:p>
    <w:p w14:paraId="56D12ADB">
      <w:pPr>
        <w:pStyle w:val="3"/>
        <w:rPr>
          <w:i w:val="0"/>
          <w:iCs w:val="0"/>
          <w:color w:val="auto"/>
          <w:sz w:val="24"/>
          <w:szCs w:val="32"/>
          <w:highlight w:val="none"/>
        </w:rPr>
      </w:pPr>
      <w:bookmarkStart w:id="67" w:name="_Toc27534"/>
      <w:r>
        <w:rPr>
          <w:rFonts w:hint="eastAsia"/>
          <w:i w:val="0"/>
          <w:iCs w:val="0"/>
          <w:color w:val="auto"/>
          <w:sz w:val="24"/>
          <w:szCs w:val="32"/>
          <w:highlight w:val="none"/>
        </w:rPr>
        <w:t>FAS系统与门禁系统智能联动</w:t>
      </w:r>
      <w:bookmarkEnd w:id="67"/>
      <w:r>
        <w:rPr>
          <w:rFonts w:hint="eastAsia" w:ascii="宋体" w:hAnsi="宋体" w:cs="宋体"/>
          <w:szCs w:val="21"/>
          <w:highlight w:val="none"/>
        </w:rPr>
        <w:t>★</w:t>
      </w:r>
    </w:p>
    <w:p w14:paraId="56D12ADC">
      <w:pPr>
        <w:pStyle w:val="4"/>
        <w:rPr>
          <w:i w:val="0"/>
          <w:iCs w:val="0"/>
          <w:color w:val="auto"/>
          <w:sz w:val="24"/>
          <w:szCs w:val="21"/>
          <w:highlight w:val="none"/>
        </w:rPr>
      </w:pPr>
      <w:bookmarkStart w:id="68" w:name="_Toc18299"/>
      <w:r>
        <w:rPr>
          <w:rFonts w:hint="eastAsia"/>
          <w:i w:val="0"/>
          <w:iCs w:val="0"/>
          <w:color w:val="auto"/>
          <w:sz w:val="24"/>
          <w:szCs w:val="21"/>
          <w:highlight w:val="none"/>
        </w:rPr>
        <w:t>系统方案</w:t>
      </w:r>
      <w:bookmarkEnd w:id="68"/>
    </w:p>
    <w:p w14:paraId="56D12ADD">
      <w:pPr>
        <w:pStyle w:val="5"/>
        <w:ind w:left="0"/>
        <w:rPr>
          <w:i w:val="0"/>
          <w:iCs w:val="0"/>
          <w:color w:val="auto"/>
          <w:sz w:val="22"/>
          <w:szCs w:val="22"/>
          <w:highlight w:val="none"/>
          <w:lang w:val="en-US"/>
        </w:rPr>
      </w:pPr>
      <w:bookmarkStart w:id="69" w:name="_Toc21481"/>
      <w:r>
        <w:rPr>
          <w:rFonts w:hint="eastAsia"/>
          <w:i w:val="0"/>
          <w:iCs w:val="0"/>
          <w:color w:val="auto"/>
          <w:sz w:val="22"/>
          <w:szCs w:val="22"/>
          <w:highlight w:val="none"/>
          <w:lang w:val="en-US"/>
        </w:rPr>
        <w:t>模式调整方案</w:t>
      </w:r>
      <w:bookmarkEnd w:id="69"/>
    </w:p>
    <w:p w14:paraId="56D12AD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按长沙市轨道交通6号线运营操作手册规定要求，维修人员进入房间打开房门前，应把FAS气灭装置自动挡调至手动，维修人员离开房间关上房门后，应把FAS气灭装置手动挡调至自动。在实际操作中，常出现由于疏漏等导致未按规定操作的情况。本项目在全线增加门禁与FAS系统气灭装置手、自动信号联动校验，在全线约600间气灭房间内设置语音播报装置，及时提醒人员按规定操作。</w:t>
      </w:r>
    </w:p>
    <w:p w14:paraId="56D12AD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FAS系统通过与综合监控系统间的接口可将气灭装置的手动自动信号上传至综合监控，综合监控系统通过与ACS系统的接口进行门禁模式控制。</w:t>
      </w:r>
    </w:p>
    <w:p w14:paraId="56D12AE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当综合监控系统检测到FAS气灭装置提供自动信号时，ACS系统默认设置为常闭模式（刷卡不开门）；当综合监控系统检测到FAS气灭装置提供手动信号时，设置ACS系统的模式为正常模式（根据门禁授权信息，刷卡开门）。当运营人员出门时，按动出门按钮，语音播报装置进行语音播报，提醒运营人员进行FAS气灭装置手自动状态调整。</w:t>
      </w:r>
    </w:p>
    <w:p w14:paraId="56D12AE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投标人应制定合理的系统调整及接入方案，保证与既有系统兼容，同时制定详细的系统模式调整方案，以便降低对</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运营影响。</w:t>
      </w:r>
    </w:p>
    <w:p w14:paraId="56D12AE2">
      <w:pPr>
        <w:pStyle w:val="5"/>
        <w:ind w:left="0"/>
        <w:rPr>
          <w:i w:val="0"/>
          <w:iCs w:val="0"/>
          <w:color w:val="auto"/>
          <w:sz w:val="22"/>
          <w:szCs w:val="22"/>
          <w:highlight w:val="none"/>
          <w:lang w:val="en-US"/>
        </w:rPr>
      </w:pPr>
      <w:bookmarkStart w:id="70" w:name="_Toc4394"/>
      <w:r>
        <w:rPr>
          <w:rFonts w:hint="eastAsia"/>
          <w:i w:val="0"/>
          <w:iCs w:val="0"/>
          <w:color w:val="auto"/>
          <w:sz w:val="22"/>
          <w:szCs w:val="22"/>
          <w:highlight w:val="none"/>
          <w:lang w:val="en-US"/>
        </w:rPr>
        <w:t>语音播报装置的实施方案</w:t>
      </w:r>
      <w:bookmarkEnd w:id="70"/>
    </w:p>
    <w:p w14:paraId="56D12AE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语音播报装置与对应房间门禁系统出门按钮进行连接，通过出门按钮的信号触发语音播报装置。</w:t>
      </w:r>
    </w:p>
    <w:p w14:paraId="56D12AE4">
      <w:pPr>
        <w:pStyle w:val="5"/>
        <w:ind w:left="0"/>
        <w:rPr>
          <w:i w:val="0"/>
          <w:iCs w:val="0"/>
          <w:color w:val="auto"/>
          <w:sz w:val="22"/>
          <w:szCs w:val="22"/>
          <w:highlight w:val="none"/>
          <w:lang w:val="en-US"/>
        </w:rPr>
      </w:pPr>
      <w:bookmarkStart w:id="71" w:name="_Toc10295"/>
      <w:r>
        <w:rPr>
          <w:rFonts w:hint="eastAsia"/>
          <w:i w:val="0"/>
          <w:iCs w:val="0"/>
          <w:color w:val="auto"/>
          <w:sz w:val="22"/>
          <w:szCs w:val="22"/>
          <w:highlight w:val="none"/>
          <w:lang w:val="en-US"/>
        </w:rPr>
        <w:t>调整范围</w:t>
      </w:r>
      <w:bookmarkEnd w:id="71"/>
    </w:p>
    <w:p w14:paraId="56D12AE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全线34座车站及车辆段等设置气灭系统的建筑体，进行FAS、ISCS、ACS系统间控制模式调整，在全线各气灭房间安装语音播报装置。</w:t>
      </w:r>
    </w:p>
    <w:p w14:paraId="56D12AE6">
      <w:pPr>
        <w:pStyle w:val="4"/>
        <w:rPr>
          <w:i w:val="0"/>
          <w:iCs w:val="0"/>
          <w:color w:val="auto"/>
          <w:sz w:val="24"/>
          <w:szCs w:val="21"/>
          <w:highlight w:val="none"/>
        </w:rPr>
      </w:pPr>
      <w:bookmarkStart w:id="72" w:name="_Toc21329"/>
      <w:r>
        <w:rPr>
          <w:rFonts w:hint="eastAsia"/>
          <w:i w:val="0"/>
          <w:iCs w:val="0"/>
          <w:color w:val="auto"/>
          <w:sz w:val="24"/>
          <w:szCs w:val="21"/>
          <w:highlight w:val="none"/>
        </w:rPr>
        <w:t>系统接口</w:t>
      </w:r>
      <w:bookmarkEnd w:id="72"/>
    </w:p>
    <w:p w14:paraId="56D12AE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利用既有综合监控与FAS、综合监控与ACS接口，进行接口内容调整，物理接口无需改动。语音播报装置作为门禁终端设备，接入门禁系统。</w:t>
      </w:r>
    </w:p>
    <w:p w14:paraId="56D12AE8">
      <w:pPr>
        <w:pStyle w:val="3"/>
        <w:rPr>
          <w:i w:val="0"/>
          <w:iCs w:val="0"/>
          <w:color w:val="auto"/>
          <w:sz w:val="24"/>
          <w:szCs w:val="32"/>
          <w:highlight w:val="none"/>
        </w:rPr>
      </w:pPr>
      <w:bookmarkStart w:id="73" w:name="_Toc11054"/>
      <w:r>
        <w:rPr>
          <w:rFonts w:hint="eastAsia"/>
          <w:i w:val="0"/>
          <w:iCs w:val="0"/>
          <w:color w:val="auto"/>
          <w:sz w:val="24"/>
          <w:szCs w:val="32"/>
          <w:highlight w:val="none"/>
        </w:rPr>
        <w:t>列车司机行为实时监测</w:t>
      </w:r>
      <w:bookmarkEnd w:id="73"/>
      <w:r>
        <w:rPr>
          <w:rFonts w:hint="eastAsia" w:ascii="宋体" w:hAnsi="宋体" w:cs="宋体"/>
          <w:szCs w:val="21"/>
          <w:highlight w:val="none"/>
        </w:rPr>
        <w:t>★</w:t>
      </w:r>
    </w:p>
    <w:p w14:paraId="56D12AE9">
      <w:pPr>
        <w:pStyle w:val="4"/>
        <w:rPr>
          <w:i w:val="0"/>
          <w:iCs w:val="0"/>
          <w:color w:val="auto"/>
          <w:sz w:val="24"/>
          <w:szCs w:val="21"/>
          <w:highlight w:val="none"/>
        </w:rPr>
      </w:pPr>
      <w:bookmarkStart w:id="74" w:name="_Toc23110"/>
      <w:r>
        <w:rPr>
          <w:rFonts w:hint="eastAsia"/>
          <w:i w:val="0"/>
          <w:iCs w:val="0"/>
          <w:color w:val="auto"/>
          <w:sz w:val="24"/>
          <w:szCs w:val="21"/>
          <w:highlight w:val="none"/>
        </w:rPr>
        <w:t>系统构成</w:t>
      </w:r>
      <w:bookmarkEnd w:id="74"/>
    </w:p>
    <w:p w14:paraId="56D12AE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列车司机行为实时监测系统在既有司机行为分析系统基础上进行功能拓展。其硬件组成包括：分别部署于DCC、停车场司机派班室的共6个视频监测终端，分别部署于正线四个司机派班室的共16个视频监测终端，以及列车两端驾驶室内的语音告警装置。这些设备协同工作，实现对司机行为的全面监测与异常提醒。</w:t>
      </w:r>
    </w:p>
    <w:p w14:paraId="56D12AEB">
      <w:pPr>
        <w:pStyle w:val="4"/>
        <w:rPr>
          <w:i w:val="0"/>
          <w:iCs w:val="0"/>
          <w:color w:val="auto"/>
          <w:sz w:val="24"/>
          <w:szCs w:val="21"/>
          <w:highlight w:val="none"/>
        </w:rPr>
      </w:pPr>
      <w:bookmarkStart w:id="75" w:name="_Toc8800"/>
      <w:r>
        <w:rPr>
          <w:rFonts w:hint="eastAsia"/>
          <w:i w:val="0"/>
          <w:iCs w:val="0"/>
          <w:color w:val="auto"/>
          <w:sz w:val="24"/>
          <w:szCs w:val="21"/>
          <w:highlight w:val="none"/>
        </w:rPr>
        <w:t>系统功能</w:t>
      </w:r>
      <w:bookmarkEnd w:id="75"/>
    </w:p>
    <w:p w14:paraId="56D12AEC">
      <w:pPr>
        <w:pStyle w:val="5"/>
        <w:ind w:left="0"/>
        <w:rPr>
          <w:i w:val="0"/>
          <w:iCs w:val="0"/>
          <w:color w:val="auto"/>
          <w:sz w:val="22"/>
          <w:szCs w:val="22"/>
          <w:highlight w:val="none"/>
        </w:rPr>
      </w:pPr>
      <w:bookmarkStart w:id="76" w:name="_Toc7582"/>
      <w:r>
        <w:rPr>
          <w:rFonts w:hint="eastAsia"/>
          <w:i w:val="0"/>
          <w:iCs w:val="0"/>
          <w:color w:val="auto"/>
          <w:sz w:val="22"/>
          <w:szCs w:val="22"/>
          <w:highlight w:val="none"/>
        </w:rPr>
        <w:t>视频监测功能</w:t>
      </w:r>
      <w:bookmarkEnd w:id="76"/>
    </w:p>
    <w:p w14:paraId="56D12AE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DCC、停车场、正线司机派班室的视频监测终端可获取司机行为监视画面，以4画面形式实时显示司机行为监测视频，同时在监视画面显示对应列车信息。各终端的4个视频监测画面支持按5秒或10秒的轮巡时间配置，且每个监测画面能选择不同摄像头进行分组轮巡，依设定轮巡时间自动切换监测视频，实现全方位、灵活的司机行为监控。</w:t>
      </w:r>
    </w:p>
    <w:p w14:paraId="56D12AEE">
      <w:pPr>
        <w:pStyle w:val="5"/>
        <w:ind w:left="0"/>
        <w:rPr>
          <w:i w:val="0"/>
          <w:iCs w:val="0"/>
          <w:color w:val="auto"/>
          <w:sz w:val="21"/>
          <w:szCs w:val="15"/>
          <w:highlight w:val="none"/>
        </w:rPr>
      </w:pPr>
      <w:bookmarkStart w:id="77" w:name="_Toc30255"/>
      <w:r>
        <w:rPr>
          <w:i w:val="0"/>
          <w:iCs w:val="0"/>
          <w:color w:val="auto"/>
          <w:sz w:val="21"/>
          <w:szCs w:val="15"/>
          <w:highlight w:val="none"/>
        </w:rPr>
        <w:t>语音告警功能</w:t>
      </w:r>
      <w:bookmarkEnd w:id="77"/>
    </w:p>
    <w:p w14:paraId="56D12AE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在列车两端驾驶室内增设语音告警装置，该装置与司机异常行为分析仪的告警信号输出联动。当分析仪检测到司机异常行为时，自动触发语音装置进行语音提醒，及时告知司机纠正行为，提升行车安全保障。</w:t>
      </w:r>
    </w:p>
    <w:p w14:paraId="56D12AF0">
      <w:pPr>
        <w:pStyle w:val="4"/>
        <w:rPr>
          <w:i w:val="0"/>
          <w:iCs w:val="0"/>
          <w:color w:val="auto"/>
          <w:sz w:val="24"/>
          <w:szCs w:val="21"/>
          <w:highlight w:val="none"/>
        </w:rPr>
      </w:pPr>
      <w:bookmarkStart w:id="78" w:name="_Toc32462"/>
      <w:r>
        <w:rPr>
          <w:rFonts w:hint="eastAsia"/>
          <w:i w:val="0"/>
          <w:iCs w:val="0"/>
          <w:color w:val="auto"/>
          <w:sz w:val="24"/>
          <w:szCs w:val="21"/>
          <w:highlight w:val="none"/>
        </w:rPr>
        <w:t>系统方案</w:t>
      </w:r>
      <w:bookmarkEnd w:id="78"/>
    </w:p>
    <w:p w14:paraId="56D12AF1">
      <w:pPr>
        <w:pStyle w:val="5"/>
        <w:ind w:left="0"/>
        <w:rPr>
          <w:i w:val="0"/>
          <w:iCs w:val="0"/>
          <w:color w:val="auto"/>
          <w:sz w:val="22"/>
          <w:szCs w:val="22"/>
          <w:highlight w:val="none"/>
        </w:rPr>
      </w:pPr>
      <w:bookmarkStart w:id="79" w:name="_Toc6766"/>
      <w:r>
        <w:rPr>
          <w:rFonts w:hint="eastAsia"/>
          <w:i w:val="0"/>
          <w:iCs w:val="0"/>
          <w:color w:val="auto"/>
          <w:sz w:val="22"/>
          <w:szCs w:val="22"/>
          <w:highlight w:val="none"/>
        </w:rPr>
        <w:t>网络方案</w:t>
      </w:r>
      <w:bookmarkEnd w:id="79"/>
    </w:p>
    <w:p w14:paraId="56D12AF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DCC和停车场司机派班室内的视频检测终端通过光纤接入到DCC和停车场通信机房的汇聚交换机。正线4个司机派班室视频检测终端通过光纤接入到车站通信机房的CCTV汇聚交换机，构建稳定、高效的网络传输通道，确保视频数据的实时传输。</w:t>
      </w:r>
    </w:p>
    <w:p w14:paraId="56D12AF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专题四：投标人需提供列车司机标识方案，提供司机与列车的对应的关系进行图形化显示方案，方便管理人员及时确认异常行为所在车辆位置。</w:t>
      </w:r>
    </w:p>
    <w:p w14:paraId="56D12AF4">
      <w:pPr>
        <w:pStyle w:val="5"/>
        <w:ind w:left="0"/>
        <w:rPr>
          <w:i w:val="0"/>
          <w:iCs w:val="0"/>
          <w:color w:val="auto"/>
          <w:sz w:val="22"/>
          <w:szCs w:val="22"/>
          <w:highlight w:val="none"/>
        </w:rPr>
      </w:pPr>
      <w:bookmarkStart w:id="80" w:name="_Toc8641"/>
      <w:r>
        <w:rPr>
          <w:rFonts w:hint="eastAsia"/>
          <w:i w:val="0"/>
          <w:iCs w:val="0"/>
          <w:color w:val="auto"/>
          <w:sz w:val="22"/>
          <w:szCs w:val="22"/>
          <w:highlight w:val="none"/>
        </w:rPr>
        <w:t>配电方案</w:t>
      </w:r>
      <w:bookmarkEnd w:id="80"/>
    </w:p>
    <w:p w14:paraId="56D12AF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DCC和停车场司机派班室视频检测终端接入到DCC和停车场的供电室已预留配电盘；正线4个司机派班室视频检测终端接入到车站通信机房CCTV已预留空开的配电盘，保障各终端设备的电力供应稳定可靠。</w:t>
      </w:r>
    </w:p>
    <w:p w14:paraId="56D12AF6">
      <w:pPr>
        <w:pStyle w:val="142"/>
        <w:ind w:firstLine="420"/>
        <w:rPr>
          <w:i w:val="0"/>
          <w:iCs w:val="0"/>
          <w:color w:val="auto"/>
          <w:sz w:val="21"/>
          <w:szCs w:val="15"/>
          <w:highlight w:val="none"/>
        </w:rPr>
      </w:pPr>
    </w:p>
    <w:p w14:paraId="56D12AF7">
      <w:pPr>
        <w:pStyle w:val="3"/>
        <w:rPr>
          <w:i w:val="0"/>
          <w:iCs w:val="0"/>
          <w:color w:val="auto"/>
          <w:sz w:val="24"/>
          <w:szCs w:val="32"/>
          <w:highlight w:val="none"/>
        </w:rPr>
      </w:pPr>
      <w:bookmarkStart w:id="81" w:name="_Toc196783803"/>
      <w:bookmarkEnd w:id="81"/>
      <w:bookmarkStart w:id="82" w:name="_Toc19743"/>
      <w:r>
        <w:rPr>
          <w:rFonts w:hint="eastAsia"/>
          <w:i w:val="0"/>
          <w:iCs w:val="0"/>
          <w:color w:val="auto"/>
          <w:sz w:val="24"/>
          <w:szCs w:val="32"/>
          <w:highlight w:val="none"/>
        </w:rPr>
        <w:t>智慧人脸门禁系统</w:t>
      </w:r>
      <w:bookmarkEnd w:id="82"/>
      <w:r>
        <w:rPr>
          <w:rFonts w:hint="eastAsia" w:ascii="宋体" w:hAnsi="宋体" w:cs="宋体"/>
          <w:szCs w:val="21"/>
          <w:highlight w:val="none"/>
        </w:rPr>
        <w:t>★</w:t>
      </w:r>
    </w:p>
    <w:p w14:paraId="56D12AF8">
      <w:pPr>
        <w:pStyle w:val="4"/>
        <w:rPr>
          <w:i w:val="0"/>
          <w:iCs w:val="0"/>
          <w:color w:val="auto"/>
          <w:sz w:val="24"/>
          <w:szCs w:val="21"/>
          <w:highlight w:val="none"/>
        </w:rPr>
      </w:pPr>
      <w:bookmarkStart w:id="83" w:name="bookmark86"/>
      <w:bookmarkEnd w:id="83"/>
      <w:bookmarkStart w:id="84" w:name="bookmark87"/>
      <w:bookmarkEnd w:id="84"/>
      <w:bookmarkStart w:id="85" w:name="_Toc22323"/>
      <w:r>
        <w:rPr>
          <w:rFonts w:hint="eastAsia"/>
          <w:i w:val="0"/>
          <w:iCs w:val="0"/>
          <w:color w:val="auto"/>
          <w:sz w:val="24"/>
          <w:szCs w:val="21"/>
          <w:highlight w:val="none"/>
        </w:rPr>
        <w:t>系统方案</w:t>
      </w:r>
      <w:bookmarkEnd w:id="85"/>
    </w:p>
    <w:p w14:paraId="56D12AF9">
      <w:pPr>
        <w:pStyle w:val="5"/>
        <w:ind w:left="0"/>
        <w:rPr>
          <w:i w:val="0"/>
          <w:iCs w:val="0"/>
          <w:color w:val="auto"/>
          <w:sz w:val="22"/>
          <w:szCs w:val="22"/>
          <w:highlight w:val="none"/>
        </w:rPr>
      </w:pPr>
      <w:bookmarkStart w:id="86" w:name="_Toc196783811"/>
      <w:bookmarkEnd w:id="86"/>
      <w:bookmarkStart w:id="87" w:name="bookmark92"/>
      <w:bookmarkEnd w:id="87"/>
      <w:bookmarkStart w:id="88" w:name="_Toc25567"/>
      <w:r>
        <w:rPr>
          <w:rFonts w:hint="eastAsia"/>
          <w:i w:val="0"/>
          <w:iCs w:val="0"/>
          <w:color w:val="auto"/>
          <w:sz w:val="22"/>
          <w:szCs w:val="22"/>
          <w:highlight w:val="none"/>
        </w:rPr>
        <w:t>中心系统方案</w:t>
      </w:r>
      <w:bookmarkEnd w:id="88"/>
    </w:p>
    <w:p w14:paraId="56D12AF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二控安全生产网云平台上部署一套中心级人脸门禁系统应用（即人脸门禁中央级服务器云化），与既有线路门禁平台信息互通，同时部署可视对讲应用实现视频对讲。投标人应了解既有云平台系统方案，所提供人脸门禁系统应用应满足既有云平台云化部署要求；为满足云化部署而进行应用调整，相关费用均包含在本项目总价内，投标方不得另行提出相关费用。</w:t>
      </w:r>
    </w:p>
    <w:p w14:paraId="56D12AF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在门禁授权室工作站安装人脸平台授权服务，配置人脸录入终端用于全线批量人脸信息录入。</w:t>
      </w:r>
    </w:p>
    <w:p w14:paraId="56D12AFC">
      <w:pPr>
        <w:pStyle w:val="34"/>
        <w:kinsoku w:val="0"/>
        <w:overflowPunct w:val="0"/>
        <w:spacing w:line="360" w:lineRule="auto"/>
        <w:rPr>
          <w:rFonts w:hint="eastAsia" w:ascii="宋体" w:hAnsi="宋体" w:eastAsia="宋体" w:cs="仿宋"/>
          <w:i w:val="0"/>
          <w:iCs w:val="0"/>
          <w:color w:val="auto"/>
          <w:sz w:val="16"/>
          <w:szCs w:val="16"/>
          <w:highlight w:val="none"/>
        </w:rPr>
      </w:pPr>
      <w:r>
        <w:rPr>
          <w:rFonts w:hint="eastAsia"/>
          <w:i w:val="0"/>
          <w:iCs w:val="0"/>
          <w:color w:val="auto"/>
          <w:sz w:val="21"/>
          <w:szCs w:val="20"/>
          <w:highlight w:val="none"/>
        </w:rPr>
        <w:object>
          <v:shape id="_x0000_i1025" o:spt="75" type="#_x0000_t75" style="height:339.8pt;width:431.45pt;" o:ole="t" filled="f" o:preferrelative="t" stroked="f" coordsize="21600,21600">
            <v:path/>
            <v:fill on="f" focussize="0,0"/>
            <v:stroke on="f" joinstyle="miter"/>
            <v:imagedata r:id="rId15" o:title=""/>
            <o:lock v:ext="edit" aspectratio="f"/>
            <w10:wrap type="none"/>
            <w10:anchorlock/>
          </v:shape>
          <o:OLEObject Type="Embed" ProgID="Visio.Drawing.15" ShapeID="_x0000_i1025" DrawAspect="Content" ObjectID="_1468075725" r:id="rId14">
            <o:LockedField>false</o:LockedField>
          </o:OLEObject>
        </w:object>
      </w:r>
    </w:p>
    <w:p w14:paraId="56D12AFD">
      <w:pPr>
        <w:pStyle w:val="5"/>
        <w:ind w:left="0"/>
        <w:rPr>
          <w:i w:val="0"/>
          <w:iCs w:val="0"/>
          <w:color w:val="auto"/>
          <w:sz w:val="22"/>
          <w:szCs w:val="22"/>
          <w:highlight w:val="none"/>
        </w:rPr>
      </w:pPr>
      <w:bookmarkStart w:id="89" w:name="bookmark93"/>
      <w:bookmarkEnd w:id="89"/>
      <w:bookmarkStart w:id="90" w:name="_Toc3794"/>
      <w:r>
        <w:rPr>
          <w:rFonts w:hint="eastAsia"/>
          <w:i w:val="0"/>
          <w:iCs w:val="0"/>
          <w:color w:val="auto"/>
          <w:sz w:val="22"/>
          <w:szCs w:val="22"/>
          <w:highlight w:val="none"/>
        </w:rPr>
        <w:t>车站系统方案</w:t>
      </w:r>
      <w:bookmarkEnd w:id="90"/>
    </w:p>
    <w:p w14:paraId="56D12AF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在既有车站门禁机柜空余位置，安装一台人脸交换机，用于车站人脸门禁机联网。远离车控室端人脸门禁面板，因距离较远，需要增加光电传感器。</w:t>
      </w:r>
    </w:p>
    <w:p w14:paraId="56D12AF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车站两端公共区至设备区的2个通道门处，各新增一台就地控制器，用于接入新增的人脸门禁面板，人脸面板接入新增的就地控制器。人脸门禁面板在前端识别后，发送人员信息至就地控制器，就地控制器判断权限后，执行开门操作。</w:t>
      </w:r>
    </w:p>
    <w:p w14:paraId="56D12B0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通过新建与公务电话系统接口，利用车控室可视对讲终端，实现与人脸读卡器进行可视对讲，以实现远程开门。</w:t>
      </w:r>
    </w:p>
    <w:p w14:paraId="56D12B01">
      <w:pPr>
        <w:pStyle w:val="34"/>
        <w:kinsoku w:val="0"/>
        <w:overflowPunct w:val="0"/>
        <w:spacing w:line="360" w:lineRule="auto"/>
        <w:ind w:firstLine="420" w:firstLineChars="200"/>
        <w:jc w:val="center"/>
        <w:rPr>
          <w:rFonts w:hint="eastAsia" w:ascii="仿宋" w:hAnsi="仿宋" w:cs="宋体"/>
          <w:i w:val="0"/>
          <w:iCs w:val="0"/>
          <w:color w:val="auto"/>
          <w:sz w:val="21"/>
          <w:szCs w:val="21"/>
          <w:highlight w:val="none"/>
        </w:rPr>
      </w:pPr>
      <w:r>
        <w:rPr>
          <w:rFonts w:hint="eastAsia"/>
          <w:i w:val="0"/>
          <w:iCs w:val="0"/>
          <w:color w:val="auto"/>
          <w:sz w:val="21"/>
          <w:szCs w:val="20"/>
          <w:highlight w:val="none"/>
        </w:rPr>
        <w:drawing>
          <wp:inline distT="0" distB="0" distL="0" distR="0">
            <wp:extent cx="3048000" cy="3352800"/>
            <wp:effectExtent l="0" t="0" r="0" b="0"/>
            <wp:docPr id="501976814" name="图片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76814" name="图片 3" descr="图示&#10;&#10;AI 生成的内容可能不正确。"/>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048000" cy="3352800"/>
                    </a:xfrm>
                    <a:prstGeom prst="rect">
                      <a:avLst/>
                    </a:prstGeom>
                    <a:noFill/>
                    <a:ln>
                      <a:noFill/>
                    </a:ln>
                  </pic:spPr>
                </pic:pic>
              </a:graphicData>
            </a:graphic>
          </wp:inline>
        </w:drawing>
      </w:r>
    </w:p>
    <w:p w14:paraId="56D12B02">
      <w:pPr>
        <w:pStyle w:val="142"/>
        <w:ind w:firstLine="420"/>
        <w:jc w:val="center"/>
        <w:rPr>
          <w:i w:val="0"/>
          <w:iCs w:val="0"/>
          <w:color w:val="auto"/>
          <w:sz w:val="21"/>
          <w:szCs w:val="15"/>
          <w:highlight w:val="none"/>
        </w:rPr>
      </w:pPr>
      <w:r>
        <w:rPr>
          <w:rFonts w:hint="eastAsia"/>
          <w:i w:val="0"/>
          <w:iCs w:val="0"/>
          <w:color w:val="auto"/>
          <w:sz w:val="21"/>
          <w:szCs w:val="15"/>
          <w:highlight w:val="none"/>
        </w:rPr>
        <w:t>可视化对讲系统图</w:t>
      </w:r>
    </w:p>
    <w:p w14:paraId="56D12B03">
      <w:pPr>
        <w:pStyle w:val="4"/>
        <w:rPr>
          <w:i w:val="0"/>
          <w:iCs w:val="0"/>
          <w:color w:val="auto"/>
          <w:sz w:val="24"/>
          <w:szCs w:val="21"/>
          <w:highlight w:val="none"/>
        </w:rPr>
      </w:pPr>
      <w:bookmarkStart w:id="91" w:name="_Toc26117"/>
      <w:r>
        <w:rPr>
          <w:rFonts w:hint="eastAsia"/>
          <w:i w:val="0"/>
          <w:iCs w:val="0"/>
          <w:color w:val="auto"/>
          <w:sz w:val="24"/>
          <w:szCs w:val="21"/>
          <w:highlight w:val="none"/>
        </w:rPr>
        <w:t>系统构成</w:t>
      </w:r>
      <w:bookmarkEnd w:id="91"/>
    </w:p>
    <w:p w14:paraId="56D12B0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智慧人脸门禁系统由中央级、车站级、就地级三部分组成。</w:t>
      </w:r>
    </w:p>
    <w:p w14:paraId="56D12B05">
      <w:pPr>
        <w:pStyle w:val="5"/>
        <w:ind w:left="0"/>
        <w:rPr>
          <w:i w:val="0"/>
          <w:iCs w:val="0"/>
          <w:color w:val="auto"/>
          <w:sz w:val="22"/>
          <w:szCs w:val="22"/>
          <w:highlight w:val="none"/>
        </w:rPr>
      </w:pPr>
      <w:bookmarkStart w:id="92" w:name="bookmark88"/>
      <w:bookmarkEnd w:id="92"/>
      <w:bookmarkStart w:id="93" w:name="_Toc14194"/>
      <w:r>
        <w:rPr>
          <w:rFonts w:hint="eastAsia"/>
          <w:i w:val="0"/>
          <w:iCs w:val="0"/>
          <w:color w:val="auto"/>
          <w:sz w:val="22"/>
          <w:szCs w:val="22"/>
          <w:highlight w:val="none"/>
        </w:rPr>
        <w:t>中央级系统构成</w:t>
      </w:r>
      <w:bookmarkEnd w:id="93"/>
    </w:p>
    <w:p w14:paraId="56D12B0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在中央设置人脸信息录入终端（控制中心授权终端），在既有门禁管理工作站部署人脸管理软件，实现全线人脸门禁的录入、登记与管理。同时，在</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既有中央门禁机柜内部署人脸门禁管理服务器，运行人脸门禁管理平台软件，用于线路人脸信息管理及接入门禁系统网络。</w:t>
      </w:r>
    </w:p>
    <w:p w14:paraId="56D12B07">
      <w:pPr>
        <w:pStyle w:val="5"/>
        <w:ind w:left="0"/>
        <w:rPr>
          <w:i w:val="0"/>
          <w:iCs w:val="0"/>
          <w:color w:val="auto"/>
          <w:sz w:val="22"/>
          <w:szCs w:val="22"/>
          <w:highlight w:val="none"/>
        </w:rPr>
      </w:pPr>
      <w:bookmarkStart w:id="94" w:name="bookmark89"/>
      <w:bookmarkEnd w:id="94"/>
      <w:bookmarkStart w:id="95" w:name="_Toc24714"/>
      <w:r>
        <w:rPr>
          <w:rFonts w:hint="eastAsia"/>
          <w:i w:val="0"/>
          <w:iCs w:val="0"/>
          <w:color w:val="auto"/>
          <w:sz w:val="22"/>
          <w:szCs w:val="22"/>
          <w:highlight w:val="none"/>
        </w:rPr>
        <w:t>车站级系统构成</w:t>
      </w:r>
      <w:bookmarkEnd w:id="95"/>
    </w:p>
    <w:p w14:paraId="56D12B0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线路中心站设人脸信息录入终端（授权终端），在中心站门禁工作站部署人脸管理软件，完成中心站人脸门禁相关管理操作。车站部署交换机用于人脸门禁终端组网，对距离较远的非车控室端人脸门禁面板，通过增加光电转换器实现联网。</w:t>
      </w:r>
    </w:p>
    <w:p w14:paraId="56D12B0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中心站及其管辖的车站范围如下：</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2"/>
        <w:gridCol w:w="5068"/>
        <w:gridCol w:w="1480"/>
      </w:tblGrid>
      <w:tr w14:paraId="56D12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462" w:type="dxa"/>
            <w:tcBorders>
              <w:top w:val="single" w:color="auto" w:sz="4" w:space="0"/>
              <w:left w:val="single" w:color="auto" w:sz="4" w:space="0"/>
              <w:bottom w:val="single" w:color="auto" w:sz="4" w:space="0"/>
              <w:right w:val="single" w:color="auto" w:sz="4" w:space="0"/>
            </w:tcBorders>
            <w:vAlign w:val="center"/>
          </w:tcPr>
          <w:p w14:paraId="56D12B0A">
            <w:pPr>
              <w:pStyle w:val="143"/>
              <w:rPr>
                <w:i w:val="0"/>
                <w:iCs w:val="0"/>
                <w:color w:val="auto"/>
                <w:sz w:val="21"/>
                <w:szCs w:val="21"/>
                <w:highlight w:val="none"/>
              </w:rPr>
            </w:pPr>
            <w:r>
              <w:rPr>
                <w:rFonts w:hint="eastAsia"/>
                <w:i w:val="0"/>
                <w:iCs w:val="0"/>
                <w:color w:val="auto"/>
                <w:sz w:val="21"/>
                <w:szCs w:val="21"/>
                <w:highlight w:val="none"/>
              </w:rPr>
              <w:t>中心站</w:t>
            </w:r>
          </w:p>
        </w:tc>
        <w:tc>
          <w:tcPr>
            <w:tcW w:w="5068" w:type="dxa"/>
            <w:tcBorders>
              <w:top w:val="single" w:color="auto" w:sz="4" w:space="0"/>
              <w:left w:val="single" w:color="auto" w:sz="4" w:space="0"/>
              <w:bottom w:val="single" w:color="auto" w:sz="4" w:space="0"/>
              <w:right w:val="single" w:color="auto" w:sz="4" w:space="0"/>
            </w:tcBorders>
            <w:vAlign w:val="center"/>
          </w:tcPr>
          <w:p w14:paraId="56D12B0B">
            <w:pPr>
              <w:pStyle w:val="143"/>
              <w:rPr>
                <w:i w:val="0"/>
                <w:iCs w:val="0"/>
                <w:color w:val="auto"/>
                <w:sz w:val="21"/>
                <w:szCs w:val="21"/>
                <w:highlight w:val="none"/>
              </w:rPr>
            </w:pPr>
            <w:r>
              <w:rPr>
                <w:rFonts w:hint="eastAsia"/>
                <w:i w:val="0"/>
                <w:iCs w:val="0"/>
                <w:color w:val="auto"/>
                <w:sz w:val="21"/>
                <w:szCs w:val="21"/>
                <w:highlight w:val="none"/>
              </w:rPr>
              <w:t>管辖车站</w:t>
            </w:r>
          </w:p>
        </w:tc>
        <w:tc>
          <w:tcPr>
            <w:tcW w:w="1480" w:type="dxa"/>
            <w:tcBorders>
              <w:top w:val="single" w:color="auto" w:sz="4" w:space="0"/>
              <w:left w:val="single" w:color="auto" w:sz="4" w:space="0"/>
              <w:bottom w:val="single" w:color="auto" w:sz="4" w:space="0"/>
              <w:right w:val="single" w:color="auto" w:sz="4" w:space="0"/>
            </w:tcBorders>
            <w:vAlign w:val="center"/>
          </w:tcPr>
          <w:p w14:paraId="56D12B0C">
            <w:pPr>
              <w:pStyle w:val="143"/>
              <w:rPr>
                <w:i w:val="0"/>
                <w:iCs w:val="0"/>
                <w:color w:val="auto"/>
                <w:sz w:val="21"/>
                <w:szCs w:val="21"/>
                <w:highlight w:val="none"/>
              </w:rPr>
            </w:pPr>
            <w:r>
              <w:rPr>
                <w:rFonts w:hint="eastAsia"/>
                <w:i w:val="0"/>
                <w:iCs w:val="0"/>
                <w:color w:val="auto"/>
                <w:sz w:val="21"/>
                <w:szCs w:val="21"/>
                <w:highlight w:val="none"/>
              </w:rPr>
              <w:t>管辖车站数</w:t>
            </w:r>
          </w:p>
        </w:tc>
      </w:tr>
      <w:tr w14:paraId="56D12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462" w:type="dxa"/>
            <w:tcBorders>
              <w:top w:val="single" w:color="auto" w:sz="4" w:space="0"/>
              <w:left w:val="single" w:color="auto" w:sz="4" w:space="0"/>
              <w:bottom w:val="single" w:color="auto" w:sz="4" w:space="0"/>
              <w:right w:val="single" w:color="auto" w:sz="4" w:space="0"/>
            </w:tcBorders>
            <w:vAlign w:val="center"/>
          </w:tcPr>
          <w:p w14:paraId="56D12B0E">
            <w:pPr>
              <w:pStyle w:val="143"/>
              <w:rPr>
                <w:i w:val="0"/>
                <w:iCs w:val="0"/>
                <w:color w:val="auto"/>
                <w:sz w:val="21"/>
                <w:szCs w:val="21"/>
                <w:highlight w:val="none"/>
              </w:rPr>
            </w:pPr>
            <w:r>
              <w:rPr>
                <w:rFonts w:hint="eastAsia"/>
                <w:i w:val="0"/>
                <w:iCs w:val="0"/>
                <w:color w:val="auto"/>
                <w:sz w:val="21"/>
                <w:szCs w:val="21"/>
                <w:highlight w:val="none"/>
              </w:rPr>
              <w:t>谢家桥站</w:t>
            </w:r>
          </w:p>
        </w:tc>
        <w:tc>
          <w:tcPr>
            <w:tcW w:w="5068" w:type="dxa"/>
            <w:tcBorders>
              <w:top w:val="single" w:color="auto" w:sz="4" w:space="0"/>
              <w:left w:val="single" w:color="auto" w:sz="4" w:space="0"/>
              <w:bottom w:val="single" w:color="auto" w:sz="4" w:space="0"/>
              <w:right w:val="single" w:color="auto" w:sz="4" w:space="0"/>
            </w:tcBorders>
            <w:vAlign w:val="center"/>
          </w:tcPr>
          <w:p w14:paraId="56D12B0F">
            <w:pPr>
              <w:pStyle w:val="143"/>
              <w:rPr>
                <w:i w:val="0"/>
                <w:iCs w:val="0"/>
                <w:color w:val="auto"/>
                <w:sz w:val="21"/>
                <w:szCs w:val="21"/>
                <w:highlight w:val="none"/>
              </w:rPr>
            </w:pPr>
            <w:r>
              <w:rPr>
                <w:rFonts w:hint="eastAsia"/>
                <w:i w:val="0"/>
                <w:iCs w:val="0"/>
                <w:color w:val="auto"/>
                <w:sz w:val="21"/>
                <w:szCs w:val="21"/>
                <w:highlight w:val="none"/>
              </w:rPr>
              <w:t>和馨园、长庆、一师范西校区、中塘、象鼻窝、谢家桥‌‌</w:t>
            </w:r>
          </w:p>
        </w:tc>
        <w:tc>
          <w:tcPr>
            <w:tcW w:w="1480" w:type="dxa"/>
            <w:tcBorders>
              <w:top w:val="single" w:color="auto" w:sz="4" w:space="0"/>
              <w:left w:val="single" w:color="auto" w:sz="4" w:space="0"/>
              <w:bottom w:val="single" w:color="auto" w:sz="4" w:space="0"/>
              <w:right w:val="single" w:color="auto" w:sz="4" w:space="0"/>
            </w:tcBorders>
            <w:vAlign w:val="center"/>
          </w:tcPr>
          <w:p w14:paraId="56D12B10">
            <w:pPr>
              <w:pStyle w:val="143"/>
              <w:rPr>
                <w:i w:val="0"/>
                <w:iCs w:val="0"/>
                <w:color w:val="auto"/>
                <w:sz w:val="21"/>
                <w:szCs w:val="21"/>
                <w:highlight w:val="none"/>
              </w:rPr>
            </w:pPr>
            <w:r>
              <w:rPr>
                <w:rFonts w:hint="eastAsia"/>
                <w:i w:val="0"/>
                <w:iCs w:val="0"/>
                <w:color w:val="auto"/>
                <w:sz w:val="21"/>
                <w:szCs w:val="21"/>
                <w:highlight w:val="none"/>
              </w:rPr>
              <w:t>6</w:t>
            </w:r>
          </w:p>
        </w:tc>
      </w:tr>
      <w:tr w14:paraId="56D12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462" w:type="dxa"/>
            <w:tcBorders>
              <w:top w:val="single" w:color="auto" w:sz="4" w:space="0"/>
              <w:left w:val="single" w:color="auto" w:sz="4" w:space="0"/>
              <w:bottom w:val="single" w:color="auto" w:sz="4" w:space="0"/>
              <w:right w:val="single" w:color="auto" w:sz="4" w:space="0"/>
            </w:tcBorders>
            <w:vAlign w:val="center"/>
          </w:tcPr>
          <w:p w14:paraId="56D12B12">
            <w:pPr>
              <w:pStyle w:val="143"/>
              <w:rPr>
                <w:i w:val="0"/>
                <w:iCs w:val="0"/>
                <w:color w:val="auto"/>
                <w:sz w:val="21"/>
                <w:szCs w:val="21"/>
                <w:highlight w:val="none"/>
              </w:rPr>
            </w:pPr>
            <w:r>
              <w:rPr>
                <w:rFonts w:hint="eastAsia"/>
                <w:i w:val="0"/>
                <w:iCs w:val="0"/>
                <w:color w:val="auto"/>
                <w:sz w:val="21"/>
                <w:szCs w:val="21"/>
                <w:highlight w:val="none"/>
              </w:rPr>
              <w:t>白鸽咀站</w:t>
            </w:r>
          </w:p>
        </w:tc>
        <w:tc>
          <w:tcPr>
            <w:tcW w:w="5068" w:type="dxa"/>
            <w:tcBorders>
              <w:top w:val="single" w:color="auto" w:sz="4" w:space="0"/>
              <w:left w:val="single" w:color="auto" w:sz="4" w:space="0"/>
              <w:bottom w:val="single" w:color="auto" w:sz="4" w:space="0"/>
              <w:right w:val="single" w:color="auto" w:sz="4" w:space="0"/>
            </w:tcBorders>
            <w:vAlign w:val="center"/>
          </w:tcPr>
          <w:p w14:paraId="56D12B13">
            <w:pPr>
              <w:pStyle w:val="143"/>
              <w:rPr>
                <w:i w:val="0"/>
                <w:iCs w:val="0"/>
                <w:color w:val="auto"/>
                <w:sz w:val="21"/>
                <w:szCs w:val="21"/>
                <w:highlight w:val="none"/>
              </w:rPr>
            </w:pPr>
            <w:r>
              <w:rPr>
                <w:rFonts w:hint="eastAsia"/>
                <w:i w:val="0"/>
                <w:iCs w:val="0"/>
                <w:color w:val="auto"/>
                <w:sz w:val="21"/>
                <w:szCs w:val="21"/>
                <w:highlight w:val="none"/>
              </w:rPr>
              <w:t>白鸽咀(省肿瘤医院)、湖南工商大学、涧塘、麓谷公园、麓谷体育公园、长丰</w:t>
            </w:r>
          </w:p>
        </w:tc>
        <w:tc>
          <w:tcPr>
            <w:tcW w:w="1480" w:type="dxa"/>
            <w:tcBorders>
              <w:top w:val="single" w:color="auto" w:sz="4" w:space="0"/>
              <w:left w:val="single" w:color="auto" w:sz="4" w:space="0"/>
              <w:bottom w:val="single" w:color="auto" w:sz="4" w:space="0"/>
              <w:right w:val="single" w:color="auto" w:sz="4" w:space="0"/>
            </w:tcBorders>
            <w:vAlign w:val="center"/>
          </w:tcPr>
          <w:p w14:paraId="56D12B14">
            <w:pPr>
              <w:pStyle w:val="143"/>
              <w:rPr>
                <w:i w:val="0"/>
                <w:iCs w:val="0"/>
                <w:color w:val="auto"/>
                <w:sz w:val="21"/>
                <w:szCs w:val="21"/>
                <w:highlight w:val="none"/>
              </w:rPr>
            </w:pPr>
            <w:r>
              <w:rPr>
                <w:rFonts w:hint="eastAsia"/>
                <w:i w:val="0"/>
                <w:iCs w:val="0"/>
                <w:color w:val="auto"/>
                <w:sz w:val="21"/>
                <w:szCs w:val="21"/>
                <w:highlight w:val="none"/>
              </w:rPr>
              <w:t>6</w:t>
            </w:r>
          </w:p>
        </w:tc>
      </w:tr>
      <w:tr w14:paraId="56D12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462" w:type="dxa"/>
            <w:tcBorders>
              <w:top w:val="single" w:color="auto" w:sz="4" w:space="0"/>
              <w:left w:val="single" w:color="auto" w:sz="4" w:space="0"/>
              <w:bottom w:val="single" w:color="auto" w:sz="4" w:space="0"/>
              <w:right w:val="single" w:color="auto" w:sz="4" w:space="0"/>
            </w:tcBorders>
            <w:vAlign w:val="center"/>
          </w:tcPr>
          <w:p w14:paraId="56D12B16">
            <w:pPr>
              <w:pStyle w:val="143"/>
              <w:rPr>
                <w:i w:val="0"/>
                <w:iCs w:val="0"/>
                <w:color w:val="auto"/>
                <w:sz w:val="21"/>
                <w:szCs w:val="21"/>
                <w:highlight w:val="none"/>
              </w:rPr>
            </w:pPr>
            <w:r>
              <w:rPr>
                <w:rFonts w:hint="eastAsia"/>
                <w:i w:val="0"/>
                <w:iCs w:val="0"/>
                <w:color w:val="auto"/>
                <w:sz w:val="21"/>
                <w:szCs w:val="21"/>
                <w:highlight w:val="none"/>
              </w:rPr>
              <w:t>文昌阁站</w:t>
            </w:r>
          </w:p>
        </w:tc>
        <w:tc>
          <w:tcPr>
            <w:tcW w:w="5068" w:type="dxa"/>
            <w:tcBorders>
              <w:top w:val="single" w:color="auto" w:sz="4" w:space="0"/>
              <w:left w:val="single" w:color="auto" w:sz="4" w:space="0"/>
              <w:bottom w:val="single" w:color="auto" w:sz="4" w:space="0"/>
              <w:right w:val="single" w:color="auto" w:sz="4" w:space="0"/>
            </w:tcBorders>
            <w:vAlign w:val="center"/>
          </w:tcPr>
          <w:p w14:paraId="56D12B17">
            <w:pPr>
              <w:pStyle w:val="143"/>
              <w:rPr>
                <w:i w:val="0"/>
                <w:iCs w:val="0"/>
                <w:color w:val="auto"/>
                <w:sz w:val="21"/>
                <w:szCs w:val="21"/>
                <w:highlight w:val="none"/>
              </w:rPr>
            </w:pPr>
            <w:r>
              <w:rPr>
                <w:rFonts w:hint="eastAsia"/>
                <w:i w:val="0"/>
                <w:iCs w:val="0"/>
                <w:color w:val="auto"/>
                <w:sz w:val="21"/>
                <w:szCs w:val="21"/>
                <w:highlight w:val="none"/>
              </w:rPr>
              <w:t>烈士公园南(湖南博物院)、湘雅医院、文昌阁、六沟垅、湘雅三医院</w:t>
            </w:r>
          </w:p>
        </w:tc>
        <w:tc>
          <w:tcPr>
            <w:tcW w:w="1480" w:type="dxa"/>
            <w:tcBorders>
              <w:top w:val="single" w:color="auto" w:sz="4" w:space="0"/>
              <w:left w:val="single" w:color="auto" w:sz="4" w:space="0"/>
              <w:bottom w:val="single" w:color="auto" w:sz="4" w:space="0"/>
              <w:right w:val="single" w:color="auto" w:sz="4" w:space="0"/>
            </w:tcBorders>
            <w:vAlign w:val="center"/>
          </w:tcPr>
          <w:p w14:paraId="56D12B18">
            <w:pPr>
              <w:pStyle w:val="143"/>
              <w:rPr>
                <w:i w:val="0"/>
                <w:iCs w:val="0"/>
                <w:color w:val="auto"/>
                <w:sz w:val="21"/>
                <w:szCs w:val="21"/>
                <w:highlight w:val="none"/>
              </w:rPr>
            </w:pPr>
            <w:r>
              <w:rPr>
                <w:rFonts w:hint="eastAsia"/>
                <w:i w:val="0"/>
                <w:iCs w:val="0"/>
                <w:color w:val="auto"/>
                <w:sz w:val="21"/>
                <w:szCs w:val="21"/>
                <w:highlight w:val="none"/>
              </w:rPr>
              <w:t>5</w:t>
            </w:r>
          </w:p>
        </w:tc>
      </w:tr>
      <w:tr w14:paraId="56D12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462" w:type="dxa"/>
            <w:tcBorders>
              <w:top w:val="single" w:color="auto" w:sz="4" w:space="0"/>
              <w:left w:val="single" w:color="auto" w:sz="4" w:space="0"/>
              <w:bottom w:val="single" w:color="auto" w:sz="4" w:space="0"/>
              <w:right w:val="single" w:color="auto" w:sz="4" w:space="0"/>
            </w:tcBorders>
            <w:vAlign w:val="center"/>
          </w:tcPr>
          <w:p w14:paraId="56D12B1A">
            <w:pPr>
              <w:pStyle w:val="143"/>
              <w:rPr>
                <w:i w:val="0"/>
                <w:iCs w:val="0"/>
                <w:color w:val="auto"/>
                <w:sz w:val="21"/>
                <w:szCs w:val="21"/>
                <w:highlight w:val="none"/>
              </w:rPr>
            </w:pPr>
            <w:r>
              <w:rPr>
                <w:rFonts w:hint="eastAsia"/>
                <w:i w:val="0"/>
                <w:iCs w:val="0"/>
                <w:color w:val="auto"/>
                <w:sz w:val="21"/>
                <w:szCs w:val="21"/>
                <w:highlight w:val="none"/>
              </w:rPr>
              <w:t>迎宾路口站</w:t>
            </w:r>
          </w:p>
        </w:tc>
        <w:tc>
          <w:tcPr>
            <w:tcW w:w="5068" w:type="dxa"/>
            <w:tcBorders>
              <w:top w:val="single" w:color="auto" w:sz="4" w:space="0"/>
              <w:left w:val="single" w:color="auto" w:sz="4" w:space="0"/>
              <w:bottom w:val="single" w:color="auto" w:sz="4" w:space="0"/>
              <w:right w:val="single" w:color="auto" w:sz="4" w:space="0"/>
            </w:tcBorders>
            <w:vAlign w:val="center"/>
          </w:tcPr>
          <w:p w14:paraId="56D12B1B">
            <w:pPr>
              <w:pStyle w:val="143"/>
              <w:rPr>
                <w:i w:val="0"/>
                <w:iCs w:val="0"/>
                <w:color w:val="auto"/>
                <w:sz w:val="21"/>
                <w:szCs w:val="21"/>
                <w:highlight w:val="none"/>
              </w:rPr>
            </w:pPr>
            <w:r>
              <w:rPr>
                <w:rFonts w:hint="eastAsia"/>
                <w:i w:val="0"/>
                <w:iCs w:val="0"/>
                <w:color w:val="auto"/>
                <w:sz w:val="21"/>
                <w:szCs w:val="21"/>
                <w:highlight w:val="none"/>
              </w:rPr>
              <w:t>人民东路、芙蓉区政府、朝阳村、窑岭湘雅二医院、迎宾路口</w:t>
            </w:r>
          </w:p>
        </w:tc>
        <w:tc>
          <w:tcPr>
            <w:tcW w:w="1480" w:type="dxa"/>
            <w:tcBorders>
              <w:top w:val="single" w:color="auto" w:sz="4" w:space="0"/>
              <w:left w:val="single" w:color="auto" w:sz="4" w:space="0"/>
              <w:bottom w:val="single" w:color="auto" w:sz="4" w:space="0"/>
              <w:right w:val="single" w:color="auto" w:sz="4" w:space="0"/>
            </w:tcBorders>
            <w:vAlign w:val="center"/>
          </w:tcPr>
          <w:p w14:paraId="56D12B1C">
            <w:pPr>
              <w:pStyle w:val="143"/>
              <w:rPr>
                <w:i w:val="0"/>
                <w:iCs w:val="0"/>
                <w:color w:val="auto"/>
                <w:sz w:val="21"/>
                <w:szCs w:val="21"/>
                <w:highlight w:val="none"/>
              </w:rPr>
            </w:pPr>
            <w:r>
              <w:rPr>
                <w:rFonts w:hint="eastAsia"/>
                <w:i w:val="0"/>
                <w:iCs w:val="0"/>
                <w:color w:val="auto"/>
                <w:sz w:val="21"/>
                <w:szCs w:val="21"/>
                <w:highlight w:val="none"/>
              </w:rPr>
              <w:t>5</w:t>
            </w:r>
          </w:p>
        </w:tc>
      </w:tr>
      <w:tr w14:paraId="56D12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462" w:type="dxa"/>
            <w:tcBorders>
              <w:top w:val="single" w:color="auto" w:sz="4" w:space="0"/>
              <w:left w:val="single" w:color="auto" w:sz="4" w:space="0"/>
              <w:bottom w:val="single" w:color="auto" w:sz="4" w:space="0"/>
              <w:right w:val="single" w:color="auto" w:sz="4" w:space="0"/>
            </w:tcBorders>
            <w:vAlign w:val="center"/>
          </w:tcPr>
          <w:p w14:paraId="56D12B1E">
            <w:pPr>
              <w:pStyle w:val="143"/>
              <w:rPr>
                <w:i w:val="0"/>
                <w:iCs w:val="0"/>
                <w:color w:val="auto"/>
                <w:sz w:val="21"/>
                <w:szCs w:val="21"/>
                <w:highlight w:val="none"/>
              </w:rPr>
            </w:pPr>
            <w:r>
              <w:rPr>
                <w:rFonts w:hint="eastAsia"/>
                <w:i w:val="0"/>
                <w:iCs w:val="0"/>
                <w:color w:val="auto"/>
                <w:sz w:val="21"/>
                <w:szCs w:val="21"/>
                <w:highlight w:val="none"/>
              </w:rPr>
              <w:t>韶光站</w:t>
            </w:r>
          </w:p>
        </w:tc>
        <w:tc>
          <w:tcPr>
            <w:tcW w:w="5068" w:type="dxa"/>
            <w:tcBorders>
              <w:top w:val="single" w:color="auto" w:sz="4" w:space="0"/>
              <w:left w:val="single" w:color="auto" w:sz="4" w:space="0"/>
              <w:bottom w:val="single" w:color="auto" w:sz="4" w:space="0"/>
              <w:right w:val="single" w:color="auto" w:sz="4" w:space="0"/>
            </w:tcBorders>
            <w:vAlign w:val="center"/>
          </w:tcPr>
          <w:p w14:paraId="56D12B1F">
            <w:pPr>
              <w:pStyle w:val="143"/>
              <w:rPr>
                <w:i w:val="0"/>
                <w:iCs w:val="0"/>
                <w:color w:val="auto"/>
                <w:sz w:val="21"/>
                <w:szCs w:val="21"/>
                <w:highlight w:val="none"/>
              </w:rPr>
            </w:pPr>
            <w:r>
              <w:rPr>
                <w:rFonts w:hint="eastAsia"/>
                <w:i w:val="0"/>
                <w:iCs w:val="0"/>
                <w:color w:val="auto"/>
                <w:sz w:val="21"/>
                <w:szCs w:val="21"/>
                <w:highlight w:val="none"/>
              </w:rPr>
              <w:t>龙华、韶光、东湖(隆平芯谷)、农科院农大、隆平水稻博物馆、花桥</w:t>
            </w:r>
          </w:p>
        </w:tc>
        <w:tc>
          <w:tcPr>
            <w:tcW w:w="1480" w:type="dxa"/>
            <w:tcBorders>
              <w:top w:val="single" w:color="auto" w:sz="4" w:space="0"/>
              <w:left w:val="single" w:color="auto" w:sz="4" w:space="0"/>
              <w:bottom w:val="single" w:color="auto" w:sz="4" w:space="0"/>
              <w:right w:val="single" w:color="auto" w:sz="4" w:space="0"/>
            </w:tcBorders>
            <w:vAlign w:val="center"/>
          </w:tcPr>
          <w:p w14:paraId="56D12B20">
            <w:pPr>
              <w:pStyle w:val="143"/>
              <w:rPr>
                <w:i w:val="0"/>
                <w:iCs w:val="0"/>
                <w:color w:val="auto"/>
                <w:sz w:val="21"/>
                <w:szCs w:val="21"/>
                <w:highlight w:val="none"/>
              </w:rPr>
            </w:pPr>
            <w:r>
              <w:rPr>
                <w:rFonts w:hint="eastAsia"/>
                <w:i w:val="0"/>
                <w:iCs w:val="0"/>
                <w:color w:val="auto"/>
                <w:sz w:val="21"/>
                <w:szCs w:val="21"/>
                <w:highlight w:val="none"/>
              </w:rPr>
              <w:t>6</w:t>
            </w:r>
          </w:p>
        </w:tc>
      </w:tr>
      <w:tr w14:paraId="56D12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462" w:type="dxa"/>
            <w:tcBorders>
              <w:top w:val="single" w:color="auto" w:sz="4" w:space="0"/>
              <w:left w:val="single" w:color="auto" w:sz="4" w:space="0"/>
              <w:bottom w:val="single" w:color="auto" w:sz="4" w:space="0"/>
              <w:right w:val="single" w:color="auto" w:sz="4" w:space="0"/>
            </w:tcBorders>
            <w:vAlign w:val="center"/>
          </w:tcPr>
          <w:p w14:paraId="56D12B22">
            <w:pPr>
              <w:pStyle w:val="143"/>
              <w:rPr>
                <w:i w:val="0"/>
                <w:iCs w:val="0"/>
                <w:color w:val="auto"/>
                <w:sz w:val="21"/>
                <w:szCs w:val="21"/>
                <w:highlight w:val="none"/>
              </w:rPr>
            </w:pPr>
            <w:r>
              <w:rPr>
                <w:rFonts w:hint="eastAsia"/>
                <w:i w:val="0"/>
                <w:iCs w:val="0"/>
                <w:color w:val="auto"/>
                <w:sz w:val="21"/>
                <w:szCs w:val="21"/>
                <w:highlight w:val="none"/>
              </w:rPr>
              <w:t>机场站</w:t>
            </w:r>
          </w:p>
        </w:tc>
        <w:tc>
          <w:tcPr>
            <w:tcW w:w="5068" w:type="dxa"/>
            <w:tcBorders>
              <w:top w:val="single" w:color="auto" w:sz="4" w:space="0"/>
              <w:left w:val="single" w:color="auto" w:sz="4" w:space="0"/>
              <w:bottom w:val="single" w:color="auto" w:sz="4" w:space="0"/>
              <w:right w:val="single" w:color="auto" w:sz="4" w:space="0"/>
            </w:tcBorders>
            <w:vAlign w:val="center"/>
          </w:tcPr>
          <w:p w14:paraId="56D12B23">
            <w:pPr>
              <w:pStyle w:val="143"/>
              <w:rPr>
                <w:i w:val="0"/>
                <w:iCs w:val="0"/>
                <w:color w:val="auto"/>
                <w:sz w:val="21"/>
                <w:szCs w:val="21"/>
                <w:highlight w:val="none"/>
              </w:rPr>
            </w:pPr>
            <w:r>
              <w:rPr>
                <w:rFonts w:hint="eastAsia"/>
                <w:i w:val="0"/>
                <w:iCs w:val="0"/>
                <w:color w:val="auto"/>
                <w:sz w:val="21"/>
                <w:szCs w:val="21"/>
                <w:highlight w:val="none"/>
              </w:rPr>
              <w:t>黄花机场T1T2、木马塅、大路村、龙峰、曹家坪、檀木桥</w:t>
            </w:r>
          </w:p>
        </w:tc>
        <w:tc>
          <w:tcPr>
            <w:tcW w:w="1480" w:type="dxa"/>
            <w:tcBorders>
              <w:top w:val="single" w:color="auto" w:sz="4" w:space="0"/>
              <w:left w:val="single" w:color="auto" w:sz="4" w:space="0"/>
              <w:bottom w:val="single" w:color="auto" w:sz="4" w:space="0"/>
              <w:right w:val="single" w:color="auto" w:sz="4" w:space="0"/>
            </w:tcBorders>
            <w:vAlign w:val="center"/>
          </w:tcPr>
          <w:p w14:paraId="56D12B24">
            <w:pPr>
              <w:pStyle w:val="143"/>
              <w:rPr>
                <w:i w:val="0"/>
                <w:iCs w:val="0"/>
                <w:color w:val="auto"/>
                <w:sz w:val="21"/>
                <w:szCs w:val="21"/>
                <w:highlight w:val="none"/>
              </w:rPr>
            </w:pPr>
            <w:r>
              <w:rPr>
                <w:rFonts w:hint="eastAsia"/>
                <w:i w:val="0"/>
                <w:iCs w:val="0"/>
                <w:color w:val="auto"/>
                <w:sz w:val="21"/>
                <w:szCs w:val="21"/>
                <w:highlight w:val="none"/>
              </w:rPr>
              <w:t>6</w:t>
            </w:r>
          </w:p>
        </w:tc>
      </w:tr>
    </w:tbl>
    <w:p w14:paraId="56D12B26">
      <w:pPr>
        <w:pStyle w:val="34"/>
        <w:kinsoku w:val="0"/>
        <w:overflowPunct w:val="0"/>
        <w:spacing w:line="360" w:lineRule="auto"/>
        <w:ind w:firstLine="320" w:firstLineChars="200"/>
        <w:rPr>
          <w:rFonts w:hint="eastAsia" w:ascii="宋体" w:hAnsi="宋体" w:eastAsia="宋体" w:cs="仿宋"/>
          <w:i w:val="0"/>
          <w:iCs w:val="0"/>
          <w:color w:val="auto"/>
          <w:sz w:val="16"/>
          <w:szCs w:val="16"/>
          <w:highlight w:val="none"/>
        </w:rPr>
      </w:pPr>
    </w:p>
    <w:p w14:paraId="56D12B27">
      <w:pPr>
        <w:pStyle w:val="5"/>
        <w:ind w:left="0"/>
        <w:rPr>
          <w:i w:val="0"/>
          <w:iCs w:val="0"/>
          <w:color w:val="auto"/>
          <w:sz w:val="22"/>
          <w:szCs w:val="22"/>
          <w:highlight w:val="none"/>
        </w:rPr>
      </w:pPr>
      <w:bookmarkStart w:id="96" w:name="_Toc196783808"/>
      <w:bookmarkEnd w:id="96"/>
      <w:bookmarkStart w:id="97" w:name="_Toc26073"/>
      <w:r>
        <w:rPr>
          <w:rFonts w:hint="eastAsia"/>
          <w:i w:val="0"/>
          <w:iCs w:val="0"/>
          <w:color w:val="auto"/>
          <w:sz w:val="22"/>
          <w:szCs w:val="22"/>
          <w:highlight w:val="none"/>
        </w:rPr>
        <w:t>车辆段系统构成</w:t>
      </w:r>
      <w:bookmarkEnd w:id="97"/>
    </w:p>
    <w:p w14:paraId="56D12B2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车辆段</w:t>
      </w:r>
      <w:bookmarkStart w:id="98" w:name="bookmark90"/>
      <w:bookmarkEnd w:id="98"/>
      <w:r>
        <w:rPr>
          <w:rFonts w:hint="eastAsia"/>
          <w:i w:val="0"/>
          <w:iCs w:val="0"/>
          <w:color w:val="auto"/>
          <w:sz w:val="21"/>
          <w:szCs w:val="15"/>
          <w:highlight w:val="none"/>
          <w:lang w:val="en-US" w:eastAsia="zh-CN"/>
        </w:rPr>
        <w:t>部署一台门禁授权工作站用于“三保”人员的人脸的录入。</w:t>
      </w:r>
    </w:p>
    <w:p w14:paraId="56D12B29">
      <w:pPr>
        <w:pStyle w:val="5"/>
        <w:ind w:left="0"/>
        <w:rPr>
          <w:i w:val="0"/>
          <w:iCs w:val="0"/>
          <w:color w:val="auto"/>
          <w:sz w:val="22"/>
          <w:szCs w:val="22"/>
          <w:highlight w:val="none"/>
        </w:rPr>
      </w:pPr>
      <w:bookmarkStart w:id="99" w:name="_Toc196783809"/>
      <w:bookmarkEnd w:id="99"/>
      <w:bookmarkStart w:id="100" w:name="_Toc2590"/>
      <w:r>
        <w:rPr>
          <w:rFonts w:hint="eastAsia"/>
          <w:i w:val="0"/>
          <w:iCs w:val="0"/>
          <w:color w:val="auto"/>
          <w:sz w:val="22"/>
          <w:szCs w:val="22"/>
          <w:highlight w:val="none"/>
        </w:rPr>
        <w:t>就地级系统构成</w:t>
      </w:r>
      <w:bookmarkEnd w:id="100"/>
    </w:p>
    <w:p w14:paraId="56D12B2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在车控室近端、远端通道门增设门禁人脸识别读卡器，人脸门禁面板集成可视对讲功能，利用既有全线34座车站车控室公务电话系统配备的可视化对讲操作终端，与临时人员视频通话。</w:t>
      </w:r>
      <w:bookmarkStart w:id="101" w:name="bookmark91"/>
      <w:bookmarkEnd w:id="101"/>
    </w:p>
    <w:p w14:paraId="56D12B2B">
      <w:pPr>
        <w:pStyle w:val="4"/>
        <w:rPr>
          <w:i w:val="0"/>
          <w:iCs w:val="0"/>
          <w:color w:val="auto"/>
          <w:sz w:val="24"/>
          <w:szCs w:val="21"/>
          <w:highlight w:val="none"/>
        </w:rPr>
      </w:pPr>
      <w:bookmarkStart w:id="102" w:name="bookmark94"/>
      <w:bookmarkEnd w:id="102"/>
      <w:bookmarkStart w:id="103" w:name="_Toc7913"/>
      <w:r>
        <w:rPr>
          <w:rFonts w:hint="eastAsia"/>
          <w:i w:val="0"/>
          <w:iCs w:val="0"/>
          <w:color w:val="auto"/>
          <w:sz w:val="24"/>
          <w:szCs w:val="21"/>
          <w:highlight w:val="none"/>
        </w:rPr>
        <w:t>系统功能</w:t>
      </w:r>
      <w:bookmarkEnd w:id="103"/>
    </w:p>
    <w:p w14:paraId="56D12B2C">
      <w:pPr>
        <w:pStyle w:val="5"/>
        <w:ind w:left="0"/>
        <w:rPr>
          <w:i w:val="0"/>
          <w:iCs w:val="0"/>
          <w:color w:val="auto"/>
          <w:sz w:val="22"/>
          <w:szCs w:val="22"/>
          <w:highlight w:val="none"/>
        </w:rPr>
      </w:pPr>
      <w:bookmarkStart w:id="104" w:name="bookmark95"/>
      <w:bookmarkEnd w:id="104"/>
      <w:bookmarkStart w:id="105" w:name="_Toc16679"/>
      <w:r>
        <w:rPr>
          <w:rFonts w:hint="eastAsia"/>
          <w:i w:val="0"/>
          <w:iCs w:val="0"/>
          <w:color w:val="auto"/>
          <w:sz w:val="22"/>
          <w:szCs w:val="22"/>
          <w:highlight w:val="none"/>
        </w:rPr>
        <w:t>中央级系统功能</w:t>
      </w:r>
      <w:bookmarkEnd w:id="105"/>
    </w:p>
    <w:p w14:paraId="56D12B2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人脸识别应用软件实现对人脸识别终端设备的设备管理、人员管理、人脸应用、系统配置的统一管理及配置。通过部署人脸识别应用软件，完成人脸登记、授权，记录的统一管理，完善项目门禁管理系统的应用管理，实现脸部数据作为人员门禁通行凭证的功能。</w:t>
      </w:r>
    </w:p>
    <w:p w14:paraId="56D12B2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人脸识别应用软件应能实现人脸与员工卡信息的绑定，将人脸数据作为身份识别的依据之一，实现各种业务场景的应用要求，可以极大方便人员的日常使用，提高通道管理的效率。</w:t>
      </w:r>
    </w:p>
    <w:p w14:paraId="56D12B30">
      <w:pPr>
        <w:pStyle w:val="142"/>
        <w:ind w:firstLine="422"/>
        <w:rPr>
          <w:i w:val="0"/>
          <w:iCs w:val="0"/>
          <w:color w:val="auto"/>
          <w:sz w:val="21"/>
          <w:szCs w:val="15"/>
          <w:highlight w:val="none"/>
        </w:rPr>
      </w:pPr>
      <w:r>
        <w:rPr>
          <w:rFonts w:hint="eastAsia"/>
          <w:b/>
          <w:bCs/>
          <w:i w:val="0"/>
          <w:iCs w:val="0"/>
          <w:color w:val="auto"/>
          <w:sz w:val="21"/>
          <w:szCs w:val="15"/>
          <w:highlight w:val="none"/>
        </w:rPr>
        <w:t>授权及数据采集</w:t>
      </w:r>
      <w:r>
        <w:rPr>
          <w:i w:val="0"/>
          <w:iCs w:val="0"/>
          <w:color w:val="auto"/>
          <w:sz w:val="21"/>
          <w:szCs w:val="15"/>
          <w:highlight w:val="none"/>
        </w:rPr>
        <w:t>：</w:t>
      </w:r>
      <w:r>
        <w:rPr>
          <w:rFonts w:hint="eastAsia"/>
          <w:i w:val="0"/>
          <w:iCs w:val="0"/>
          <w:color w:val="auto"/>
          <w:sz w:val="21"/>
          <w:szCs w:val="15"/>
          <w:highlight w:val="none"/>
          <w:lang w:val="en-US" w:eastAsia="zh-CN"/>
        </w:rPr>
        <w:t>中心部署人脸信息录入终端采集人脸、卡号信息，人脸门禁服务器管理线路人脸信息，可导出录入报表并按关键信息筛查人员，支持人脸数据同步及重复性校验功能。​</w:t>
      </w:r>
      <w:r>
        <w:rPr>
          <w:b/>
          <w:bCs/>
          <w:i w:val="0"/>
          <w:iCs w:val="0"/>
          <w:color w:val="auto"/>
          <w:sz w:val="21"/>
          <w:szCs w:val="15"/>
          <w:highlight w:val="none"/>
        </w:rPr>
        <w:t>员工管理：</w:t>
      </w:r>
      <w:r>
        <w:rPr>
          <w:rFonts w:hint="eastAsia"/>
          <w:i w:val="0"/>
          <w:iCs w:val="0"/>
          <w:color w:val="auto"/>
          <w:sz w:val="21"/>
          <w:szCs w:val="15"/>
          <w:highlight w:val="none"/>
          <w:lang w:val="en-US" w:eastAsia="zh-CN"/>
        </w:rPr>
        <w:t>支持excel、图片（含仅导入图片和导入图片并创建人员信息两种方式）批量导入员工信息，统一管理员工基本信息与基础门禁授权记录。</w:t>
      </w:r>
    </w:p>
    <w:p w14:paraId="56D12B31">
      <w:pPr>
        <w:pStyle w:val="142"/>
        <w:ind w:firstLine="422"/>
        <w:rPr>
          <w:i w:val="0"/>
          <w:iCs w:val="0"/>
          <w:color w:val="auto"/>
          <w:sz w:val="21"/>
          <w:szCs w:val="15"/>
          <w:highlight w:val="none"/>
        </w:rPr>
      </w:pPr>
      <w:r>
        <w:rPr>
          <w:b/>
          <w:bCs/>
          <w:i w:val="0"/>
          <w:iCs w:val="0"/>
          <w:color w:val="auto"/>
          <w:sz w:val="21"/>
          <w:szCs w:val="15"/>
          <w:highlight w:val="none"/>
        </w:rPr>
        <w:t>授权人员管理：</w:t>
      </w:r>
      <w:r>
        <w:rPr>
          <w:rFonts w:hint="eastAsia"/>
          <w:i w:val="0"/>
          <w:iCs w:val="0"/>
          <w:color w:val="auto"/>
          <w:sz w:val="21"/>
          <w:szCs w:val="15"/>
          <w:highlight w:val="none"/>
          <w:lang w:val="en-US" w:eastAsia="zh-CN"/>
        </w:rPr>
        <w:t>系统操作人员可进行授权人员的新增、修改、删除操作；实现人员跨中心站互联互通。</w:t>
      </w:r>
    </w:p>
    <w:p w14:paraId="22474355">
      <w:pPr>
        <w:pStyle w:val="142"/>
        <w:ind w:firstLine="420"/>
        <w:rPr>
          <w:rFonts w:hint="default"/>
          <w:i w:val="0"/>
          <w:iCs w:val="0"/>
          <w:color w:val="auto"/>
          <w:sz w:val="21"/>
          <w:szCs w:val="15"/>
          <w:highlight w:val="none"/>
          <w:lang w:val="en-US" w:eastAsia="zh-CN"/>
        </w:rPr>
      </w:pPr>
      <w:r>
        <w:rPr>
          <w:rFonts w:hint="eastAsia"/>
          <w:b/>
          <w:bCs/>
          <w:i w:val="0"/>
          <w:iCs w:val="0"/>
          <w:color w:val="auto"/>
          <w:sz w:val="21"/>
          <w:szCs w:val="15"/>
          <w:highlight w:val="none"/>
          <w:lang w:val="en-US" w:eastAsia="zh-CN"/>
        </w:rPr>
        <w:t>数据同步</w:t>
      </w:r>
      <w:r>
        <w:rPr>
          <w:b/>
          <w:bCs/>
          <w:i w:val="0"/>
          <w:iCs w:val="0"/>
          <w:color w:val="auto"/>
          <w:sz w:val="21"/>
          <w:szCs w:val="15"/>
          <w:highlight w:val="none"/>
        </w:rPr>
        <w:t>：</w:t>
      </w:r>
      <w:r>
        <w:rPr>
          <w:rFonts w:hint="eastAsia"/>
          <w:i w:val="0"/>
          <w:iCs w:val="0"/>
          <w:color w:val="auto"/>
          <w:sz w:val="21"/>
          <w:szCs w:val="15"/>
          <w:highlight w:val="none"/>
          <w:lang w:val="en-US" w:eastAsia="zh-CN"/>
        </w:rPr>
        <w:t>人员信息录入后，可通过管理软件将信息下发至人脸门禁面板或从设备移除。支持中心授权终端、中心站授权终端等授权信息同步，并且支持操作日志记录及导出。</w:t>
      </w:r>
    </w:p>
    <w:p w14:paraId="56D12B33">
      <w:pPr>
        <w:pStyle w:val="5"/>
        <w:ind w:left="0"/>
        <w:rPr>
          <w:i w:val="0"/>
          <w:iCs w:val="0"/>
          <w:color w:val="auto"/>
          <w:sz w:val="22"/>
          <w:szCs w:val="22"/>
          <w:highlight w:val="none"/>
        </w:rPr>
      </w:pPr>
      <w:bookmarkStart w:id="106" w:name="bookmark96"/>
      <w:bookmarkEnd w:id="106"/>
      <w:bookmarkStart w:id="107" w:name="_Toc18493"/>
      <w:r>
        <w:rPr>
          <w:rFonts w:hint="eastAsia"/>
          <w:i w:val="0"/>
          <w:iCs w:val="0"/>
          <w:color w:val="auto"/>
          <w:sz w:val="22"/>
          <w:szCs w:val="22"/>
          <w:highlight w:val="none"/>
        </w:rPr>
        <w:t>车站级系统功能</w:t>
      </w:r>
      <w:bookmarkEnd w:id="107"/>
    </w:p>
    <w:p w14:paraId="56D12B34">
      <w:pPr>
        <w:pStyle w:val="6"/>
        <w:ind w:left="0"/>
        <w:rPr>
          <w:i w:val="0"/>
          <w:iCs w:val="0"/>
          <w:color w:val="auto"/>
          <w:sz w:val="21"/>
          <w:szCs w:val="21"/>
          <w:highlight w:val="none"/>
        </w:rPr>
      </w:pPr>
      <w:r>
        <w:rPr>
          <w:rFonts w:hint="eastAsia"/>
          <w:i w:val="0"/>
          <w:iCs w:val="0"/>
          <w:color w:val="auto"/>
          <w:sz w:val="21"/>
          <w:szCs w:val="21"/>
          <w:highlight w:val="none"/>
        </w:rPr>
        <w:t>门禁管理功能</w:t>
      </w:r>
    </w:p>
    <w:p w14:paraId="56D12B3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在车站近端、远端公共区至设备区通道门处增加门禁人脸识别读卡器，实现人脸、刷卡等多种验证开门，设备联网协同工作。</w:t>
      </w:r>
    </w:p>
    <w:p w14:paraId="56D12B36">
      <w:pPr>
        <w:pStyle w:val="6"/>
        <w:ind w:left="0"/>
        <w:rPr>
          <w:i w:val="0"/>
          <w:iCs w:val="0"/>
          <w:color w:val="auto"/>
          <w:sz w:val="21"/>
          <w:szCs w:val="21"/>
          <w:highlight w:val="none"/>
        </w:rPr>
      </w:pPr>
      <w:r>
        <w:rPr>
          <w:rFonts w:hint="eastAsia"/>
          <w:i w:val="0"/>
          <w:iCs w:val="0"/>
          <w:color w:val="auto"/>
          <w:sz w:val="21"/>
          <w:szCs w:val="21"/>
          <w:highlight w:val="none"/>
        </w:rPr>
        <w:t>车控室通道门可视对讲</w:t>
      </w:r>
    </w:p>
    <w:p w14:paraId="56D12B3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访客按下呼叫按钮，车控室值班人员接听后，通过视频和语音判断是否允许进入，确认后操作开门按钮，人员进入后挂断对讲。</w:t>
      </w:r>
    </w:p>
    <w:p w14:paraId="4187CBE3">
      <w:pPr>
        <w:pStyle w:val="6"/>
        <w:ind w:left="0"/>
        <w:rPr>
          <w:rFonts w:hint="eastAsia"/>
          <w:i w:val="0"/>
          <w:iCs w:val="0"/>
          <w:color w:val="auto"/>
          <w:sz w:val="21"/>
          <w:szCs w:val="21"/>
          <w:highlight w:val="none"/>
          <w:lang w:val="en-US" w:eastAsia="zh-CN"/>
        </w:rPr>
      </w:pPr>
      <w:r>
        <w:rPr>
          <w:rFonts w:hint="eastAsia"/>
          <w:i w:val="0"/>
          <w:iCs w:val="0"/>
          <w:color w:val="auto"/>
          <w:sz w:val="21"/>
          <w:szCs w:val="21"/>
          <w:highlight w:val="none"/>
          <w:lang w:val="en-US" w:eastAsia="zh-CN"/>
        </w:rPr>
        <w:t>中心站授权功能</w:t>
      </w:r>
    </w:p>
    <w:p w14:paraId="12281E9C">
      <w:pPr>
        <w:pStyle w:val="142"/>
        <w:ind w:firstLine="420"/>
        <w:rPr>
          <w:rFonts w:hint="default"/>
          <w:i w:val="0"/>
          <w:iCs w:val="0"/>
          <w:color w:val="auto"/>
          <w:sz w:val="21"/>
          <w:szCs w:val="15"/>
          <w:highlight w:val="none"/>
          <w:lang w:val="en-US" w:eastAsia="zh-CN"/>
        </w:rPr>
      </w:pPr>
      <w:r>
        <w:rPr>
          <w:rFonts w:hint="eastAsia"/>
          <w:i w:val="0"/>
          <w:iCs w:val="0"/>
          <w:color w:val="auto"/>
          <w:sz w:val="21"/>
          <w:szCs w:val="15"/>
          <w:highlight w:val="none"/>
          <w:lang w:val="en-US" w:eastAsia="zh-CN"/>
        </w:rPr>
        <w:t>中心站授权功能与5.3.1节功能相同，员工管理范围为本站中心站范围内员工信息，同时中心站授权数据需与中心数据同步，支持授权操作日志记录及导出。</w:t>
      </w:r>
    </w:p>
    <w:p w14:paraId="56D12B38">
      <w:pPr>
        <w:pStyle w:val="4"/>
        <w:rPr>
          <w:i w:val="0"/>
          <w:iCs w:val="0"/>
          <w:color w:val="auto"/>
          <w:sz w:val="24"/>
          <w:szCs w:val="21"/>
          <w:highlight w:val="none"/>
        </w:rPr>
      </w:pPr>
      <w:bookmarkStart w:id="108" w:name="_Toc200964762"/>
      <w:bookmarkStart w:id="109" w:name="_Toc31356"/>
      <w:r>
        <w:rPr>
          <w:rFonts w:hint="eastAsia"/>
          <w:i w:val="0"/>
          <w:iCs w:val="0"/>
          <w:color w:val="auto"/>
          <w:sz w:val="24"/>
          <w:szCs w:val="21"/>
          <w:highlight w:val="none"/>
        </w:rPr>
        <w:t>系统主要技术要求</w:t>
      </w:r>
      <w:bookmarkEnd w:id="108"/>
      <w:bookmarkEnd w:id="109"/>
    </w:p>
    <w:p w14:paraId="56D12B3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人脸识别管理平台技术要求：</w:t>
      </w:r>
    </w:p>
    <w:p w14:paraId="56D12B3A">
      <w:pPr>
        <w:pStyle w:val="5"/>
        <w:ind w:left="0"/>
        <w:rPr>
          <w:i w:val="0"/>
          <w:iCs w:val="0"/>
          <w:color w:val="auto"/>
          <w:sz w:val="22"/>
          <w:szCs w:val="22"/>
          <w:highlight w:val="none"/>
        </w:rPr>
      </w:pPr>
      <w:bookmarkStart w:id="110" w:name="_Toc6761"/>
      <w:r>
        <w:rPr>
          <w:rFonts w:hint="eastAsia"/>
          <w:i w:val="0"/>
          <w:iCs w:val="0"/>
          <w:color w:val="auto"/>
          <w:sz w:val="22"/>
          <w:szCs w:val="22"/>
          <w:highlight w:val="none"/>
        </w:rPr>
        <w:t>统一管理</w:t>
      </w:r>
      <w:bookmarkEnd w:id="110"/>
    </w:p>
    <w:p w14:paraId="56D12B3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人脸管理平台具备不少于50万张人脸的数据的管理，用户可以针对不同的站点或区域，对系统内的各个人脸面板进行不同的授权管理。需要实现将人脸统一化的管理、授权及应用，终端设备可以识别用户的人脸，从而方便了用户。</w:t>
      </w:r>
    </w:p>
    <w:p w14:paraId="56D12B3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人脸平台实现人脸应用的统一、集中化的管理，使得各局部系统和终端自动将收集到的信息统一起来，供系统查询、汇总、统计、管理和决策。实现跨部门、跨地区管理，数据全局共享。</w:t>
      </w:r>
    </w:p>
    <w:p w14:paraId="56D12B3D">
      <w:pPr>
        <w:pStyle w:val="5"/>
        <w:ind w:left="0"/>
        <w:rPr>
          <w:i w:val="0"/>
          <w:iCs w:val="0"/>
          <w:color w:val="auto"/>
          <w:sz w:val="22"/>
          <w:szCs w:val="22"/>
          <w:highlight w:val="none"/>
        </w:rPr>
      </w:pPr>
      <w:bookmarkStart w:id="111" w:name="_Toc12049"/>
      <w:r>
        <w:rPr>
          <w:rFonts w:hint="eastAsia"/>
          <w:i w:val="0"/>
          <w:iCs w:val="0"/>
          <w:color w:val="auto"/>
          <w:sz w:val="22"/>
          <w:szCs w:val="22"/>
          <w:highlight w:val="none"/>
        </w:rPr>
        <w:t>模块化应用</w:t>
      </w:r>
      <w:bookmarkEnd w:id="111"/>
    </w:p>
    <w:p w14:paraId="56D12B3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应用环境网络出现网络延迟或网络中断，系统前后端设备应具备独立的数据存储和运行能力，当后端平台关闭或故障时，不会影响前端设备的运行；当网络恢复后，前后端设备应自动进行数据同步。</w:t>
      </w:r>
    </w:p>
    <w:p w14:paraId="56D12B3F">
      <w:pPr>
        <w:pStyle w:val="5"/>
        <w:ind w:left="0"/>
        <w:rPr>
          <w:i w:val="0"/>
          <w:iCs w:val="0"/>
          <w:color w:val="auto"/>
          <w:sz w:val="22"/>
          <w:szCs w:val="22"/>
          <w:highlight w:val="none"/>
        </w:rPr>
      </w:pPr>
      <w:bookmarkStart w:id="112" w:name="_Toc2687"/>
      <w:r>
        <w:rPr>
          <w:rFonts w:hint="eastAsia"/>
          <w:i w:val="0"/>
          <w:iCs w:val="0"/>
          <w:color w:val="auto"/>
          <w:sz w:val="22"/>
          <w:szCs w:val="22"/>
          <w:highlight w:val="none"/>
        </w:rPr>
        <w:t>配套管理支持</w:t>
      </w:r>
      <w:bookmarkEnd w:id="112"/>
    </w:p>
    <w:p w14:paraId="56D12B4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系统应具有配套的人脸管理系统，可以完成人脸录入、更新、修改、导出、授权、删除等功能。此外人脸的更新不仅仅在中心进行，也应具备通过前端布置的人脸录入终端进行更新和登记的功能。</w:t>
      </w:r>
    </w:p>
    <w:p w14:paraId="56D12B41">
      <w:pPr>
        <w:pStyle w:val="6"/>
        <w:ind w:left="0"/>
        <w:rPr>
          <w:i w:val="0"/>
          <w:iCs w:val="0"/>
          <w:color w:val="auto"/>
          <w:sz w:val="21"/>
          <w:szCs w:val="21"/>
          <w:highlight w:val="none"/>
        </w:rPr>
      </w:pPr>
      <w:r>
        <w:rPr>
          <w:rFonts w:hint="eastAsia"/>
          <w:i w:val="0"/>
          <w:iCs w:val="0"/>
          <w:color w:val="auto"/>
          <w:sz w:val="21"/>
          <w:szCs w:val="21"/>
          <w:highlight w:val="none"/>
        </w:rPr>
        <w:t>设备管理</w:t>
      </w:r>
    </w:p>
    <w:p w14:paraId="56D12B4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支持创建设备分组，以分组的方式管理各类人脸识别设备；</w:t>
      </w:r>
    </w:p>
    <w:p w14:paraId="56D12B4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支持人脸面板的新增、修改、删除管理；</w:t>
      </w:r>
    </w:p>
    <w:p w14:paraId="56D12B4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支持人脸面板的管理：实时查看设备的状态（在线/离线），设备人脸库容量使用情况，已使用人脸容量及总容量。</w:t>
      </w:r>
    </w:p>
    <w:p w14:paraId="56D12B45">
      <w:pPr>
        <w:pStyle w:val="6"/>
        <w:ind w:left="0"/>
        <w:rPr>
          <w:i w:val="0"/>
          <w:iCs w:val="0"/>
          <w:color w:val="auto"/>
          <w:sz w:val="21"/>
          <w:szCs w:val="21"/>
          <w:highlight w:val="none"/>
        </w:rPr>
      </w:pPr>
      <w:r>
        <w:rPr>
          <w:rFonts w:hint="eastAsia"/>
          <w:i w:val="0"/>
          <w:iCs w:val="0"/>
          <w:color w:val="auto"/>
          <w:sz w:val="21"/>
          <w:szCs w:val="21"/>
          <w:highlight w:val="none"/>
        </w:rPr>
        <w:t>员工信息维护</w:t>
      </w:r>
    </w:p>
    <w:p w14:paraId="56D12B4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员工管理：支持员工信息及照片的新增、修改、删除管理；支持多任务批量上传员工信息及照片；设备软硬件信息。</w:t>
      </w:r>
    </w:p>
    <w:p w14:paraId="56D12B4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人脸更新：支持员工人脸自助更新；支持员工上传多张人脸照片。</w:t>
      </w:r>
    </w:p>
    <w:p w14:paraId="56D12B4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黑名单管理：支持黑名单人员的证件信息的新增、修改、删除管理；支持多任务批量上传黑名单信息。</w:t>
      </w:r>
    </w:p>
    <w:p w14:paraId="56D12B49">
      <w:pPr>
        <w:pStyle w:val="4"/>
        <w:rPr>
          <w:i w:val="0"/>
          <w:iCs w:val="0"/>
          <w:color w:val="auto"/>
          <w:sz w:val="24"/>
          <w:szCs w:val="21"/>
          <w:highlight w:val="none"/>
        </w:rPr>
      </w:pPr>
      <w:bookmarkStart w:id="113" w:name="bookmark98"/>
      <w:bookmarkEnd w:id="113"/>
      <w:bookmarkStart w:id="114" w:name="bookmark97"/>
      <w:bookmarkEnd w:id="114"/>
      <w:bookmarkStart w:id="115" w:name="_Toc2036"/>
      <w:r>
        <w:rPr>
          <w:rFonts w:hint="eastAsia"/>
          <w:i w:val="0"/>
          <w:iCs w:val="0"/>
          <w:color w:val="auto"/>
          <w:sz w:val="24"/>
          <w:szCs w:val="21"/>
          <w:highlight w:val="none"/>
        </w:rPr>
        <w:t>系统电源、接地</w:t>
      </w:r>
      <w:bookmarkEnd w:id="115"/>
    </w:p>
    <w:p w14:paraId="56D12B4A">
      <w:pPr>
        <w:pStyle w:val="142"/>
        <w:ind w:firstLine="420"/>
        <w:rPr>
          <w:rFonts w:hint="eastAsia"/>
          <w:i w:val="0"/>
          <w:iCs w:val="0"/>
          <w:color w:val="auto"/>
          <w:sz w:val="21"/>
          <w:szCs w:val="15"/>
          <w:highlight w:val="none"/>
          <w:lang w:val="en-US" w:eastAsia="zh-CN"/>
        </w:rPr>
      </w:pPr>
      <w:bookmarkStart w:id="116" w:name="_Toc196783817"/>
      <w:bookmarkEnd w:id="116"/>
      <w:r>
        <w:rPr>
          <w:rFonts w:hint="eastAsia"/>
          <w:i w:val="0"/>
          <w:iCs w:val="0"/>
          <w:color w:val="auto"/>
          <w:sz w:val="21"/>
          <w:szCs w:val="15"/>
          <w:highlight w:val="none"/>
          <w:lang w:val="en-US" w:eastAsia="zh-CN"/>
        </w:rPr>
        <w:t>人脸读卡器采用12VDC电源，在就地控制器安装专用电源模块，专用电源模块接入既有门禁系统配电回路；就地控制器接地端子接入动照设置的接地端子箱内接地端子，实现设备接地。</w:t>
      </w:r>
    </w:p>
    <w:p w14:paraId="56D12B4B">
      <w:pPr>
        <w:pStyle w:val="4"/>
        <w:rPr>
          <w:i w:val="0"/>
          <w:iCs w:val="0"/>
          <w:color w:val="auto"/>
          <w:sz w:val="24"/>
          <w:szCs w:val="21"/>
          <w:highlight w:val="none"/>
        </w:rPr>
      </w:pPr>
      <w:bookmarkStart w:id="117" w:name="_Toc3212"/>
      <w:r>
        <w:rPr>
          <w:rFonts w:hint="eastAsia"/>
          <w:i w:val="0"/>
          <w:iCs w:val="0"/>
          <w:color w:val="auto"/>
          <w:sz w:val="24"/>
          <w:szCs w:val="21"/>
          <w:highlight w:val="none"/>
        </w:rPr>
        <w:t>与既有系统的接口</w:t>
      </w:r>
      <w:bookmarkEnd w:id="117"/>
    </w:p>
    <w:p w14:paraId="56D12B4C">
      <w:pPr>
        <w:pStyle w:val="5"/>
        <w:ind w:left="0"/>
        <w:rPr>
          <w:i w:val="0"/>
          <w:iCs w:val="0"/>
          <w:color w:val="auto"/>
          <w:sz w:val="22"/>
          <w:szCs w:val="22"/>
          <w:highlight w:val="none"/>
        </w:rPr>
      </w:pPr>
      <w:bookmarkStart w:id="118" w:name="bookmark99"/>
      <w:bookmarkEnd w:id="118"/>
      <w:bookmarkStart w:id="119" w:name="_Toc17227"/>
      <w:r>
        <w:rPr>
          <w:rFonts w:hint="eastAsia"/>
          <w:i w:val="0"/>
          <w:iCs w:val="0"/>
          <w:color w:val="auto"/>
          <w:sz w:val="22"/>
          <w:szCs w:val="22"/>
          <w:highlight w:val="none"/>
        </w:rPr>
        <w:t>与ACS系统的接口</w:t>
      </w:r>
      <w:bookmarkEnd w:id="119"/>
    </w:p>
    <w:p w14:paraId="56D12B4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人脸门禁系统平台应具备与线路门禁授权平台的接口，须满足线路授权平台提出数据通信接口、数据内容及格式等要求，实现既有门禁平台对人脸信息的兼容。</w:t>
      </w:r>
    </w:p>
    <w:p w14:paraId="56D12B4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车站人脸面板与就地控制器对接，通行人员刷脸后，人脸面板进行刷脸人员的判别，将人员编码发送至就地控制器，就地控制器对比权限后，释放门锁。</w:t>
      </w:r>
    </w:p>
    <w:p w14:paraId="56D12B4F">
      <w:pPr>
        <w:pStyle w:val="142"/>
        <w:ind w:firstLine="420"/>
        <w:rPr>
          <w:i w:val="0"/>
          <w:iCs w:val="0"/>
          <w:color w:val="auto"/>
          <w:sz w:val="21"/>
          <w:szCs w:val="15"/>
          <w:highlight w:val="none"/>
        </w:rPr>
      </w:pPr>
    </w:p>
    <w:p w14:paraId="56D12B50">
      <w:pPr>
        <w:pStyle w:val="142"/>
        <w:ind w:firstLine="420"/>
        <w:rPr>
          <w:i w:val="0"/>
          <w:iCs w:val="0"/>
          <w:color w:val="auto"/>
          <w:sz w:val="21"/>
          <w:szCs w:val="15"/>
          <w:highlight w:val="none"/>
        </w:rPr>
      </w:pPr>
    </w:p>
    <w:p w14:paraId="56D12B51">
      <w:pPr>
        <w:pStyle w:val="34"/>
        <w:kinsoku w:val="0"/>
        <w:overflowPunct w:val="0"/>
        <w:spacing w:line="360" w:lineRule="auto"/>
        <w:ind w:left="1566"/>
        <w:rPr>
          <w:rFonts w:hint="eastAsia" w:ascii="宋体" w:hAnsi="宋体" w:eastAsia="宋体"/>
          <w:i w:val="0"/>
          <w:iCs w:val="0"/>
          <w:color w:val="auto"/>
          <w:position w:val="-67"/>
          <w:sz w:val="10"/>
          <w:szCs w:val="10"/>
          <w:highlight w:val="none"/>
        </w:rPr>
      </w:pPr>
      <w:r>
        <w:rPr>
          <w:rFonts w:hint="eastAsia"/>
          <w:i w:val="0"/>
          <w:iCs w:val="0"/>
          <w:color w:val="auto"/>
          <w:sz w:val="21"/>
          <w:szCs w:val="20"/>
          <w:highlight w:val="none"/>
        </w:rPr>
        <w:drawing>
          <wp:inline distT="0" distB="0" distL="0" distR="0">
            <wp:extent cx="3977640" cy="2133600"/>
            <wp:effectExtent l="0" t="0" r="3810" b="0"/>
            <wp:docPr id="1391984431" name="图片 2" descr="图片包含 QR 代码&#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984431" name="图片 2" descr="图片包含 QR 代码&#10;&#10;AI 生成的内容可能不正确。"/>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977640" cy="2133600"/>
                    </a:xfrm>
                    <a:prstGeom prst="rect">
                      <a:avLst/>
                    </a:prstGeom>
                    <a:noFill/>
                    <a:ln>
                      <a:noFill/>
                    </a:ln>
                  </pic:spPr>
                </pic:pic>
              </a:graphicData>
            </a:graphic>
          </wp:inline>
        </w:drawing>
      </w:r>
    </w:p>
    <w:p w14:paraId="56D12B52">
      <w:pPr>
        <w:pStyle w:val="34"/>
        <w:kinsoku w:val="0"/>
        <w:overflowPunct w:val="0"/>
        <w:spacing w:line="360" w:lineRule="auto"/>
        <w:rPr>
          <w:rFonts w:hint="eastAsia" w:ascii="宋体" w:hAnsi="宋体" w:eastAsia="宋体"/>
          <w:i w:val="0"/>
          <w:iCs w:val="0"/>
          <w:color w:val="auto"/>
          <w:sz w:val="8"/>
          <w:szCs w:val="8"/>
          <w:highlight w:val="none"/>
        </w:rPr>
      </w:pPr>
    </w:p>
    <w:p w14:paraId="56D12B53">
      <w:pPr>
        <w:pStyle w:val="142"/>
        <w:ind w:firstLine="420"/>
        <w:jc w:val="center"/>
        <w:rPr>
          <w:i w:val="0"/>
          <w:iCs w:val="0"/>
          <w:color w:val="auto"/>
          <w:sz w:val="21"/>
          <w:szCs w:val="15"/>
          <w:highlight w:val="none"/>
        </w:rPr>
      </w:pPr>
      <w:r>
        <w:rPr>
          <w:rFonts w:hint="eastAsia"/>
          <w:i w:val="0"/>
          <w:iCs w:val="0"/>
          <w:color w:val="auto"/>
          <w:sz w:val="21"/>
          <w:szCs w:val="15"/>
          <w:highlight w:val="none"/>
        </w:rPr>
        <w:t>人脸门禁系统与既有门禁系统接口划分示意图</w:t>
      </w:r>
    </w:p>
    <w:p w14:paraId="56D12B5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a、接口分界：控制中心：门禁机柜配线架；车站：就地控制器接线端子。</w:t>
      </w:r>
    </w:p>
    <w:p w14:paraId="56D12B5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b、接口类型：中央通信接口：100/1000M以太网TCP/IP，RJ45。车站接口：8芯屏蔽线，其中信号6根。</w:t>
      </w:r>
    </w:p>
    <w:p w14:paraId="56D12B5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c、软件协议：控制中心：接口通讯协议支持标准的、通用的、开放的、软件解码的协议，推荐采用ModBusTCP/IP协议；车站人脸读卡器：读卡器与就地控制器专用接口，推荐韦根协议。</w:t>
      </w:r>
    </w:p>
    <w:p w14:paraId="56D12B5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d、接口数量：中心单路独立的以太网接口，车站单路读卡器与就地控制器接口。</w:t>
      </w:r>
    </w:p>
    <w:p w14:paraId="56D12B58">
      <w:pPr>
        <w:pStyle w:val="5"/>
        <w:ind w:left="0"/>
        <w:rPr>
          <w:i w:val="0"/>
          <w:iCs w:val="0"/>
          <w:color w:val="auto"/>
          <w:sz w:val="22"/>
          <w:szCs w:val="22"/>
          <w:highlight w:val="none"/>
        </w:rPr>
      </w:pPr>
      <w:bookmarkStart w:id="120" w:name="bookmark100"/>
      <w:bookmarkEnd w:id="120"/>
      <w:bookmarkStart w:id="121" w:name="_Toc24359"/>
      <w:r>
        <w:rPr>
          <w:rFonts w:hint="eastAsia"/>
          <w:i w:val="0"/>
          <w:iCs w:val="0"/>
          <w:color w:val="auto"/>
          <w:sz w:val="22"/>
          <w:szCs w:val="22"/>
          <w:highlight w:val="none"/>
        </w:rPr>
        <w:t>与ISCS系统的接口</w:t>
      </w:r>
      <w:bookmarkEnd w:id="121"/>
    </w:p>
    <w:p w14:paraId="09E2867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人脸门禁系统与综合监控系统无直接接口，各个车站的门禁系统在增加人脸读卡器和就地控制器后，需要更新原有车站门禁系统与综合监控的接口点表，综合监控系统按照更新后的接口点表，修改既有综合监控系统数据库和人机界面。投标人应制定合理的系统调整及接入方案，保证与既有系统兼容，同时制定详细的系统模式调整方案，以便降低对</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运营影响。</w:t>
      </w:r>
    </w:p>
    <w:p w14:paraId="008A27F6">
      <w:pPr>
        <w:pStyle w:val="142"/>
        <w:ind w:firstLine="420"/>
        <w:rPr>
          <w:rFonts w:hint="eastAsia"/>
          <w:i w:val="0"/>
          <w:iCs w:val="0"/>
          <w:color w:val="auto"/>
          <w:sz w:val="21"/>
          <w:szCs w:val="15"/>
          <w:highlight w:val="none"/>
          <w:lang w:val="en-US" w:eastAsia="zh-CN"/>
        </w:rPr>
      </w:pPr>
    </w:p>
    <w:p w14:paraId="56D12B5A">
      <w:pPr>
        <w:pStyle w:val="3"/>
        <w:rPr>
          <w:i w:val="0"/>
          <w:iCs w:val="0"/>
          <w:color w:val="auto"/>
          <w:sz w:val="24"/>
          <w:szCs w:val="32"/>
          <w:highlight w:val="none"/>
        </w:rPr>
      </w:pPr>
      <w:bookmarkStart w:id="122" w:name="bookmark101"/>
      <w:bookmarkEnd w:id="122"/>
      <w:bookmarkStart w:id="123" w:name="_Toc25143"/>
      <w:r>
        <w:rPr>
          <w:rFonts w:hint="eastAsia"/>
          <w:i w:val="0"/>
          <w:iCs w:val="0"/>
          <w:color w:val="auto"/>
          <w:sz w:val="24"/>
          <w:szCs w:val="32"/>
          <w:highlight w:val="none"/>
        </w:rPr>
        <w:t>智能钥匙柜</w:t>
      </w:r>
      <w:bookmarkEnd w:id="123"/>
      <w:r>
        <w:rPr>
          <w:rFonts w:hint="eastAsia" w:ascii="宋体" w:hAnsi="宋体" w:cs="宋体"/>
          <w:szCs w:val="21"/>
          <w:highlight w:val="none"/>
        </w:rPr>
        <w:t>★</w:t>
      </w:r>
    </w:p>
    <w:p w14:paraId="56D12B5B">
      <w:pPr>
        <w:pStyle w:val="4"/>
        <w:rPr>
          <w:i w:val="0"/>
          <w:iCs w:val="0"/>
          <w:color w:val="auto"/>
          <w:sz w:val="24"/>
          <w:szCs w:val="21"/>
          <w:highlight w:val="none"/>
        </w:rPr>
      </w:pPr>
      <w:bookmarkStart w:id="124" w:name="bookmark105"/>
      <w:bookmarkEnd w:id="124"/>
      <w:bookmarkStart w:id="125" w:name="_Toc20553"/>
      <w:r>
        <w:rPr>
          <w:rFonts w:hint="eastAsia"/>
          <w:i w:val="0"/>
          <w:iCs w:val="0"/>
          <w:color w:val="auto"/>
          <w:sz w:val="24"/>
          <w:szCs w:val="21"/>
          <w:highlight w:val="none"/>
        </w:rPr>
        <w:t>系统方案</w:t>
      </w:r>
      <w:bookmarkEnd w:id="125"/>
    </w:p>
    <w:p w14:paraId="56D12B5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黄花机场T1T2站（大站）、湖南工商大学站（标准站）的车控室部署智能钥匙柜，每个钥匙柜按80个钥匙格进行配置，对钥匙等重要物品进行集中保管，拟安装于行值台下方，替换原钥匙与物品柜，具体安装位置将在设计联络阶段确定。</w:t>
      </w:r>
    </w:p>
    <w:p w14:paraId="56D12B5D">
      <w:pPr>
        <w:pStyle w:val="4"/>
        <w:rPr>
          <w:i w:val="0"/>
          <w:iCs w:val="0"/>
          <w:color w:val="auto"/>
          <w:sz w:val="24"/>
          <w:szCs w:val="21"/>
          <w:highlight w:val="none"/>
        </w:rPr>
      </w:pPr>
      <w:bookmarkStart w:id="126" w:name="bookmark107"/>
      <w:bookmarkEnd w:id="126"/>
      <w:bookmarkStart w:id="127" w:name="bookmark106"/>
      <w:bookmarkEnd w:id="127"/>
      <w:bookmarkStart w:id="128" w:name="_Toc28353"/>
      <w:r>
        <w:rPr>
          <w:rFonts w:hint="eastAsia"/>
          <w:i w:val="0"/>
          <w:iCs w:val="0"/>
          <w:color w:val="auto"/>
          <w:sz w:val="24"/>
          <w:szCs w:val="21"/>
          <w:highlight w:val="none"/>
        </w:rPr>
        <w:t>系统构成及功能</w:t>
      </w:r>
      <w:bookmarkEnd w:id="128"/>
    </w:p>
    <w:p w14:paraId="56D12B5E">
      <w:pPr>
        <w:pStyle w:val="5"/>
        <w:ind w:left="0"/>
        <w:rPr>
          <w:i w:val="0"/>
          <w:iCs w:val="0"/>
          <w:color w:val="auto"/>
          <w:sz w:val="22"/>
          <w:szCs w:val="22"/>
          <w:highlight w:val="none"/>
        </w:rPr>
      </w:pPr>
      <w:bookmarkStart w:id="129" w:name="_Toc11775"/>
      <w:r>
        <w:rPr>
          <w:rFonts w:hint="eastAsia"/>
          <w:i w:val="0"/>
          <w:iCs w:val="0"/>
          <w:color w:val="auto"/>
          <w:sz w:val="22"/>
          <w:szCs w:val="22"/>
          <w:highlight w:val="none"/>
        </w:rPr>
        <w:t>智能控制终端</w:t>
      </w:r>
      <w:bookmarkEnd w:id="129"/>
    </w:p>
    <w:p w14:paraId="56D12B5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采用中文液晶显示，应直观呈现钥匙名称、工作状态等信息；配备防水触摸键盘，操作便捷。具备刷卡、密码等多种身份识别方式，支持单认证、多认证自由组合定义。设有安全锁，仅授权用户刷门禁系统卡方可开启，同时配备后备应急机械门锁。钥匙均配备电子锁，只有授权用户持门禁系统卡才能取出，且提供数据接口，便于与门禁系统、计算机连接。​</w:t>
      </w:r>
    </w:p>
    <w:p w14:paraId="56D12B60">
      <w:pPr>
        <w:pStyle w:val="5"/>
        <w:ind w:left="0"/>
        <w:rPr>
          <w:i w:val="0"/>
          <w:iCs w:val="0"/>
          <w:color w:val="auto"/>
          <w:sz w:val="22"/>
          <w:szCs w:val="22"/>
          <w:highlight w:val="none"/>
        </w:rPr>
      </w:pPr>
      <w:bookmarkStart w:id="130" w:name="_Toc25151"/>
      <w:r>
        <w:rPr>
          <w:rFonts w:hint="eastAsia"/>
          <w:i w:val="0"/>
          <w:iCs w:val="0"/>
          <w:color w:val="auto"/>
          <w:sz w:val="22"/>
          <w:szCs w:val="22"/>
          <w:highlight w:val="none"/>
        </w:rPr>
        <w:t>智能钥匙扣</w:t>
      </w:r>
      <w:bookmarkEnd w:id="130"/>
    </w:p>
    <w:p w14:paraId="56D12B6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内置感应智能芯片，对保管钥匙具有记忆功能，同时具备防替换、防盗取特性。提供多种颜色匙扣，方便区分识别，且智能钥匙栓可重复使用，降低使用成本。</w:t>
      </w:r>
    </w:p>
    <w:p w14:paraId="56D12B62">
      <w:pPr>
        <w:pStyle w:val="5"/>
        <w:ind w:left="0"/>
        <w:rPr>
          <w:i w:val="0"/>
          <w:iCs w:val="0"/>
          <w:color w:val="auto"/>
          <w:sz w:val="22"/>
          <w:szCs w:val="22"/>
          <w:highlight w:val="none"/>
        </w:rPr>
      </w:pPr>
      <w:bookmarkStart w:id="131" w:name="bookmark108"/>
      <w:bookmarkEnd w:id="131"/>
      <w:bookmarkStart w:id="132" w:name="_Toc27077"/>
      <w:r>
        <w:rPr>
          <w:rFonts w:hint="eastAsia"/>
          <w:i w:val="0"/>
          <w:iCs w:val="0"/>
          <w:color w:val="auto"/>
          <w:sz w:val="22"/>
          <w:szCs w:val="22"/>
          <w:highlight w:val="none"/>
        </w:rPr>
        <w:t>管理软件</w:t>
      </w:r>
      <w:bookmarkEnd w:id="132"/>
    </w:p>
    <w:p w14:paraId="56D12B6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钥匙管理软件可无缝嵌入智慧管控平台，满足中央级、车站级软件功能需求。中央级能够自动采集、查询、统计、保存门禁系统人员及卡信息数据库数据，支持人员信息批量编辑、授权与管理，具备完善的权限保护机制，还拥有外部数据库导入功能，可导入门禁系统员工卡人员资料信息。车站级数据变更后，信息自动上传至中央级更新，并统一下发至各车站级同步更新；支持按钥匙、用户、事故、警示或日期查看钥匙柜使用统计报表，为管理决策提供数据支持。智能钥匙柜与门禁系统深度打通，依托门禁系统实现对使用人员的授权及权限精细化管理。其核心功能包括：​</w:t>
      </w:r>
    </w:p>
    <w:p w14:paraId="56D12B64">
      <w:pPr>
        <w:pStyle w:val="142"/>
        <w:numPr>
          <w:ilvl w:val="0"/>
          <w:numId w:val="31"/>
        </w:numPr>
        <w:ind w:firstLineChars="0"/>
        <w:rPr>
          <w:i w:val="0"/>
          <w:iCs w:val="0"/>
          <w:color w:val="auto"/>
          <w:sz w:val="21"/>
          <w:szCs w:val="15"/>
          <w:highlight w:val="none"/>
        </w:rPr>
      </w:pPr>
      <w:r>
        <w:rPr>
          <w:i w:val="0"/>
          <w:iCs w:val="0"/>
          <w:color w:val="auto"/>
          <w:sz w:val="21"/>
          <w:szCs w:val="15"/>
          <w:highlight w:val="none"/>
        </w:rPr>
        <w:t>支持对钥匙及使用人员信息的全面保存与管理，实现刷卡便捷取还钥匙；​</w:t>
      </w:r>
    </w:p>
    <w:p w14:paraId="56D12B65">
      <w:pPr>
        <w:pStyle w:val="142"/>
        <w:numPr>
          <w:ilvl w:val="0"/>
          <w:numId w:val="31"/>
        </w:numPr>
        <w:ind w:firstLineChars="0"/>
        <w:rPr>
          <w:i w:val="0"/>
          <w:iCs w:val="0"/>
          <w:color w:val="auto"/>
          <w:sz w:val="21"/>
          <w:szCs w:val="15"/>
          <w:highlight w:val="none"/>
        </w:rPr>
      </w:pPr>
      <w:r>
        <w:rPr>
          <w:i w:val="0"/>
          <w:iCs w:val="0"/>
          <w:color w:val="auto"/>
          <w:sz w:val="21"/>
          <w:szCs w:val="15"/>
          <w:highlight w:val="none"/>
        </w:rPr>
        <w:t>可针对单个物品灵活设定使用人员的可用时间段与使用时长；超时未还提醒</w:t>
      </w:r>
      <w:r>
        <w:rPr>
          <w:rFonts w:hint="eastAsia"/>
          <w:i w:val="0"/>
          <w:iCs w:val="0"/>
          <w:color w:val="auto"/>
          <w:sz w:val="21"/>
          <w:szCs w:val="15"/>
          <w:highlight w:val="none"/>
        </w:rPr>
        <w:t>，</w:t>
      </w:r>
      <w:r>
        <w:rPr>
          <w:rFonts w:hint="eastAsia"/>
          <w:i w:val="0"/>
          <w:iCs w:val="0"/>
          <w:color w:val="auto"/>
          <w:sz w:val="21"/>
          <w:szCs w:val="15"/>
          <w:highlight w:val="none"/>
          <w:lang w:val="en-US"/>
        </w:rPr>
        <w:t>可设置归还时间，超时自动提醒，避免钥匙遗落。</w:t>
      </w:r>
    </w:p>
    <w:p w14:paraId="56D12B66">
      <w:pPr>
        <w:pStyle w:val="142"/>
        <w:numPr>
          <w:ilvl w:val="0"/>
          <w:numId w:val="31"/>
        </w:numPr>
        <w:ind w:firstLineChars="0"/>
        <w:rPr>
          <w:i w:val="0"/>
          <w:iCs w:val="0"/>
          <w:color w:val="auto"/>
          <w:sz w:val="21"/>
          <w:szCs w:val="15"/>
          <w:highlight w:val="none"/>
        </w:rPr>
      </w:pPr>
      <w:r>
        <w:rPr>
          <w:i w:val="0"/>
          <w:iCs w:val="0"/>
          <w:color w:val="auto"/>
          <w:sz w:val="21"/>
          <w:szCs w:val="15"/>
          <w:highlight w:val="none"/>
        </w:rPr>
        <w:t>具备错还报警、强开报警功能，当钥匙柜遭遇强行开启时，立即触发警铃警示；​</w:t>
      </w:r>
    </w:p>
    <w:p w14:paraId="56D12B67">
      <w:pPr>
        <w:pStyle w:val="142"/>
        <w:numPr>
          <w:ilvl w:val="0"/>
          <w:numId w:val="31"/>
        </w:numPr>
        <w:ind w:firstLineChars="0"/>
        <w:rPr>
          <w:i w:val="0"/>
          <w:iCs w:val="0"/>
          <w:color w:val="auto"/>
          <w:sz w:val="21"/>
          <w:szCs w:val="15"/>
          <w:highlight w:val="none"/>
        </w:rPr>
      </w:pPr>
      <w:r>
        <w:rPr>
          <w:i w:val="0"/>
          <w:iCs w:val="0"/>
          <w:color w:val="auto"/>
          <w:sz w:val="21"/>
          <w:szCs w:val="15"/>
          <w:highlight w:val="none"/>
        </w:rPr>
        <w:t>通过颜色在面板或内壁清晰区分站厅/台/A/B端、气灭房间和普通房间；​</w:t>
      </w:r>
    </w:p>
    <w:p w14:paraId="56D12B68">
      <w:pPr>
        <w:pStyle w:val="142"/>
        <w:numPr>
          <w:ilvl w:val="0"/>
          <w:numId w:val="31"/>
        </w:numPr>
        <w:ind w:firstLineChars="0"/>
        <w:rPr>
          <w:i w:val="0"/>
          <w:iCs w:val="0"/>
          <w:color w:val="auto"/>
          <w:sz w:val="21"/>
          <w:szCs w:val="15"/>
          <w:highlight w:val="none"/>
        </w:rPr>
      </w:pPr>
      <w:r>
        <w:rPr>
          <w:i w:val="0"/>
          <w:iCs w:val="0"/>
          <w:color w:val="auto"/>
          <w:sz w:val="21"/>
          <w:szCs w:val="15"/>
          <w:highlight w:val="none"/>
        </w:rPr>
        <w:t>设有紧急解锁功能，保障特殊情况下的应急使用；​</w:t>
      </w:r>
    </w:p>
    <w:p w14:paraId="56D12B69">
      <w:pPr>
        <w:pStyle w:val="142"/>
        <w:numPr>
          <w:ilvl w:val="0"/>
          <w:numId w:val="31"/>
        </w:numPr>
        <w:ind w:firstLineChars="0"/>
        <w:rPr>
          <w:i w:val="0"/>
          <w:iCs w:val="0"/>
          <w:color w:val="auto"/>
          <w:sz w:val="21"/>
          <w:szCs w:val="15"/>
          <w:highlight w:val="none"/>
        </w:rPr>
      </w:pPr>
      <w:r>
        <w:rPr>
          <w:i w:val="0"/>
          <w:iCs w:val="0"/>
          <w:color w:val="auto"/>
          <w:sz w:val="21"/>
          <w:szCs w:val="15"/>
          <w:highlight w:val="none"/>
        </w:rPr>
        <w:t>严格区分授权，杜绝跨专业借取钥匙，如供电工班人员无法借取信号设备房钥匙；​</w:t>
      </w:r>
    </w:p>
    <w:p w14:paraId="56D12B6A">
      <w:pPr>
        <w:pStyle w:val="142"/>
        <w:numPr>
          <w:ilvl w:val="0"/>
          <w:numId w:val="31"/>
        </w:numPr>
        <w:ind w:firstLineChars="0"/>
        <w:rPr>
          <w:i w:val="0"/>
          <w:iCs w:val="0"/>
          <w:color w:val="auto"/>
          <w:sz w:val="21"/>
          <w:szCs w:val="15"/>
          <w:highlight w:val="none"/>
        </w:rPr>
      </w:pPr>
      <w:r>
        <w:rPr>
          <w:i w:val="0"/>
          <w:iCs w:val="0"/>
          <w:color w:val="auto"/>
          <w:sz w:val="21"/>
          <w:szCs w:val="15"/>
          <w:highlight w:val="none"/>
        </w:rPr>
        <w:t>支持钥匙编组，依据设备房专业属性对钥匙串进行分类管理。​</w:t>
      </w:r>
    </w:p>
    <w:p w14:paraId="56D12B6B">
      <w:pPr>
        <w:pStyle w:val="4"/>
        <w:rPr>
          <w:i w:val="0"/>
          <w:iCs w:val="0"/>
          <w:color w:val="auto"/>
          <w:sz w:val="24"/>
          <w:szCs w:val="21"/>
          <w:highlight w:val="none"/>
        </w:rPr>
      </w:pPr>
      <w:bookmarkStart w:id="133" w:name="bookmark111"/>
      <w:bookmarkEnd w:id="133"/>
      <w:bookmarkStart w:id="134" w:name="_Toc14289"/>
      <w:r>
        <w:rPr>
          <w:i w:val="0"/>
          <w:iCs w:val="0"/>
          <w:color w:val="auto"/>
          <w:highlight w:val="none"/>
        </w:rPr>
        <w:drawing>
          <wp:anchor distT="0" distB="0" distL="114300" distR="114300" simplePos="0" relativeHeight="251665408" behindDoc="0" locked="0" layoutInCell="1" allowOverlap="1">
            <wp:simplePos x="0" y="0"/>
            <wp:positionH relativeFrom="margin">
              <wp:align>center</wp:align>
            </wp:positionH>
            <wp:positionV relativeFrom="paragraph">
              <wp:posOffset>530225</wp:posOffset>
            </wp:positionV>
            <wp:extent cx="3752215" cy="2068195"/>
            <wp:effectExtent l="0" t="0" r="635" b="8255"/>
            <wp:wrapTopAndBottom/>
            <wp:docPr id="1094139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13938" name="图片 1"/>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752215" cy="2068195"/>
                    </a:xfrm>
                    <a:prstGeom prst="rect">
                      <a:avLst/>
                    </a:prstGeom>
                  </pic:spPr>
                </pic:pic>
              </a:graphicData>
            </a:graphic>
          </wp:anchor>
        </w:drawing>
      </w:r>
      <w:r>
        <w:rPr>
          <w:rFonts w:hint="eastAsia"/>
          <w:i w:val="0"/>
          <w:iCs w:val="0"/>
          <w:color w:val="auto"/>
          <w:sz w:val="24"/>
          <w:szCs w:val="21"/>
          <w:highlight w:val="none"/>
        </w:rPr>
        <w:t>系统接口</w:t>
      </w:r>
      <w:bookmarkEnd w:id="134"/>
    </w:p>
    <w:p w14:paraId="56D12B6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车站智能钥匙柜部署在车控室内。在车站通过网线与设备间的门禁交换机、本地工作站接入。</w:t>
      </w:r>
    </w:p>
    <w:p w14:paraId="56D12B6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与门禁系统接口：通过网络接口接入设备间的门禁系统交换机。</w:t>
      </w:r>
    </w:p>
    <w:p w14:paraId="56D12B6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与智慧地铁管控平台接口：通过门禁网络与智慧地铁管控平台进行对接。</w:t>
      </w:r>
    </w:p>
    <w:p w14:paraId="56D12B6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a、接口类型：通信接口：网口。</w:t>
      </w:r>
    </w:p>
    <w:p w14:paraId="56D12B7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b、软件协议：接口通讯协议支持标准的、通用的、开放的、软件解码的协议。</w:t>
      </w:r>
    </w:p>
    <w:p w14:paraId="56D12B71">
      <w:pPr>
        <w:pStyle w:val="4"/>
        <w:rPr>
          <w:i w:val="0"/>
          <w:iCs w:val="0"/>
          <w:color w:val="auto"/>
          <w:sz w:val="24"/>
          <w:szCs w:val="21"/>
          <w:highlight w:val="none"/>
        </w:rPr>
      </w:pPr>
      <w:bookmarkStart w:id="135" w:name="bookmark112"/>
      <w:bookmarkEnd w:id="135"/>
      <w:bookmarkStart w:id="136" w:name="_Toc27520"/>
      <w:r>
        <w:rPr>
          <w:rFonts w:hint="eastAsia"/>
          <w:i w:val="0"/>
          <w:iCs w:val="0"/>
          <w:color w:val="auto"/>
          <w:sz w:val="24"/>
          <w:szCs w:val="21"/>
          <w:highlight w:val="none"/>
        </w:rPr>
        <w:t>系统电源、接地</w:t>
      </w:r>
      <w:bookmarkEnd w:id="136"/>
    </w:p>
    <w:p w14:paraId="56D12B7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系统电源（就近从车控室行值台下方壁插取电），具体方案待设计联络时根据车控室现场情况评估。</w:t>
      </w:r>
    </w:p>
    <w:p w14:paraId="56D12B7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系统电源、接地要求如下：供电电压：AC220V，50~60Hz设备功率：250W。</w:t>
      </w:r>
    </w:p>
    <w:p w14:paraId="56D12B74">
      <w:pPr>
        <w:pStyle w:val="142"/>
        <w:ind w:firstLine="420"/>
        <w:rPr>
          <w:i w:val="0"/>
          <w:iCs w:val="0"/>
          <w:color w:val="auto"/>
          <w:sz w:val="21"/>
          <w:szCs w:val="15"/>
          <w:highlight w:val="none"/>
        </w:rPr>
      </w:pPr>
      <w:r>
        <w:rPr>
          <w:rFonts w:hint="eastAsia"/>
          <w:i w:val="0"/>
          <w:iCs w:val="0"/>
          <w:color w:val="auto"/>
          <w:sz w:val="21"/>
          <w:szCs w:val="15"/>
          <w:highlight w:val="none"/>
          <w:lang w:val="en-US" w:eastAsia="zh-CN"/>
        </w:rPr>
        <w:t>接地要求：必须建立可靠的接地系统。接地电阻应不大于4欧姆，以保证良好的接地效果。</w:t>
      </w:r>
    </w:p>
    <w:p w14:paraId="56D12B75">
      <w:pPr>
        <w:pStyle w:val="3"/>
        <w:rPr>
          <w:i w:val="0"/>
          <w:iCs w:val="0"/>
          <w:color w:val="auto"/>
          <w:sz w:val="24"/>
          <w:szCs w:val="32"/>
          <w:highlight w:val="none"/>
        </w:rPr>
      </w:pPr>
      <w:bookmarkStart w:id="137" w:name="_Toc21485"/>
      <w:r>
        <w:rPr>
          <w:rFonts w:hint="eastAsia"/>
          <w:i w:val="0"/>
          <w:iCs w:val="0"/>
          <w:color w:val="auto"/>
          <w:sz w:val="24"/>
          <w:szCs w:val="32"/>
          <w:highlight w:val="none"/>
        </w:rPr>
        <w:t>智能运维</w:t>
      </w:r>
      <w:bookmarkEnd w:id="137"/>
      <w:r>
        <w:rPr>
          <w:rFonts w:hint="eastAsia" w:ascii="宋体" w:hAnsi="宋体" w:cs="宋体"/>
          <w:szCs w:val="21"/>
          <w:highlight w:val="none"/>
        </w:rPr>
        <w:t>★</w:t>
      </w:r>
    </w:p>
    <w:p w14:paraId="56D12B76">
      <w:pPr>
        <w:pStyle w:val="4"/>
        <w:rPr>
          <w:i w:val="0"/>
          <w:iCs w:val="0"/>
          <w:color w:val="auto"/>
          <w:sz w:val="24"/>
          <w:szCs w:val="21"/>
          <w:highlight w:val="none"/>
        </w:rPr>
      </w:pPr>
      <w:bookmarkStart w:id="138" w:name="bookmark117"/>
      <w:bookmarkEnd w:id="138"/>
      <w:bookmarkStart w:id="139" w:name="bookmark116"/>
      <w:bookmarkEnd w:id="139"/>
      <w:bookmarkStart w:id="140" w:name="_Toc14700"/>
      <w:r>
        <w:rPr>
          <w:rFonts w:hint="eastAsia"/>
          <w:i w:val="0"/>
          <w:iCs w:val="0"/>
          <w:color w:val="auto"/>
          <w:sz w:val="24"/>
          <w:szCs w:val="21"/>
          <w:highlight w:val="none"/>
        </w:rPr>
        <w:t>功能需求</w:t>
      </w:r>
      <w:bookmarkEnd w:id="140"/>
    </w:p>
    <w:p w14:paraId="56D12B7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期建设范围包含综合智能运维平台、通信智能运维、自动扶梯智能运维、站台门智能运维、AFC智能运维、供电智能运维系统；平台及各专业智能运维系统统一部署在智慧地铁管控平台，所需的应用部署资源有智慧地铁管控平台提供。</w:t>
      </w:r>
    </w:p>
    <w:p w14:paraId="56D12B7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智能运维需实现的功能包括不限于增加对既有监测点位、对重要故障的智能分析与诊断、对各系统关键设备健康状态的分析、对故障隐患的识别及预警，以及通过数字信息化系统实现对人员、计划、工单的智能管理与联动，实现全面的运维智能化功能，提升用户的运维效率与质量。</w:t>
      </w:r>
    </w:p>
    <w:p w14:paraId="56D12B79">
      <w:pPr>
        <w:pStyle w:val="142"/>
        <w:ind w:firstLine="420"/>
        <w:rPr>
          <w:i w:val="0"/>
          <w:iCs w:val="0"/>
          <w:color w:val="auto"/>
          <w:sz w:val="21"/>
          <w:szCs w:val="15"/>
          <w:highlight w:val="none"/>
        </w:rPr>
      </w:pPr>
      <w:r>
        <w:rPr>
          <w:rFonts w:hint="eastAsia"/>
          <w:i w:val="0"/>
          <w:iCs w:val="0"/>
          <w:color w:val="auto"/>
          <w:sz w:val="21"/>
          <w:szCs w:val="15"/>
          <w:highlight w:val="none"/>
        </w:rPr>
        <w:t>投标人应在充分了解</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rPr>
        <w:t>既有工程</w:t>
      </w:r>
      <w:r>
        <w:rPr>
          <w:rFonts w:hint="eastAsia"/>
          <w:i w:val="0"/>
          <w:iCs w:val="0"/>
          <w:color w:val="auto"/>
          <w:sz w:val="21"/>
          <w:szCs w:val="15"/>
          <w:highlight w:val="none"/>
        </w:rPr>
        <w:t>机电专业、通信专业、站台门专业、电扶梯专业、AFC专业等设备建设及使用情况前提下，结合各个专业的运维现状和痛点，通过与既有各专业系统建立数据接口或增加硬件采集设备，搭建一套面向机电、通信、AFC等专业的综合智能运维平台。平台需结合</w:t>
      </w:r>
      <w:r>
        <w:rPr>
          <w:rFonts w:hint="eastAsia"/>
          <w:i w:val="0"/>
          <w:iCs w:val="0"/>
          <w:color w:val="auto"/>
          <w:sz w:val="21"/>
          <w:szCs w:val="15"/>
          <w:highlight w:val="none"/>
          <w:lang w:val="en-US" w:eastAsia="zh-CN"/>
        </w:rPr>
        <w:t>长沙市轨道交通6号线</w:t>
      </w:r>
      <w:r>
        <w:rPr>
          <w:rFonts w:hint="eastAsia"/>
          <w:i w:val="0"/>
          <w:iCs w:val="0"/>
          <w:color w:val="auto"/>
          <w:sz w:val="21"/>
          <w:szCs w:val="15"/>
          <w:highlight w:val="none"/>
          <w:lang w:val="en-US"/>
        </w:rPr>
        <w:t>既有</w:t>
      </w:r>
      <w:r>
        <w:rPr>
          <w:rFonts w:hint="eastAsia"/>
          <w:i w:val="0"/>
          <w:iCs w:val="0"/>
          <w:color w:val="auto"/>
          <w:sz w:val="21"/>
          <w:szCs w:val="15"/>
          <w:highlight w:val="none"/>
        </w:rPr>
        <w:t>各专业维保特点，构建符合运维一线作业流程的数字信息化系统。通过智能运维平台的建设，对现有的运维效率、维保模式等运行提升，使智能运维系统成为支撑</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轨道交通6号线智慧地铁运营的重要组成部分。在云平台软、硬件及云管平台确定的前提下，投标人所采用的系统软件平台必须具备适配云平台的条件。</w:t>
      </w:r>
    </w:p>
    <w:p w14:paraId="56D12B7A">
      <w:pPr>
        <w:pStyle w:val="4"/>
        <w:rPr>
          <w:i w:val="0"/>
          <w:iCs w:val="0"/>
          <w:color w:val="auto"/>
          <w:sz w:val="24"/>
          <w:szCs w:val="21"/>
          <w:highlight w:val="none"/>
        </w:rPr>
      </w:pPr>
      <w:bookmarkStart w:id="141" w:name="bookmark118"/>
      <w:bookmarkEnd w:id="141"/>
      <w:bookmarkStart w:id="142" w:name="_Toc28938"/>
      <w:r>
        <w:rPr>
          <w:rFonts w:hint="eastAsia"/>
          <w:i w:val="0"/>
          <w:iCs w:val="0"/>
          <w:color w:val="auto"/>
          <w:sz w:val="24"/>
          <w:szCs w:val="21"/>
          <w:highlight w:val="none"/>
        </w:rPr>
        <w:t>智能运维平台功能</w:t>
      </w:r>
      <w:bookmarkEnd w:id="142"/>
    </w:p>
    <w:p w14:paraId="56D12B7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综合智能运维平台功能包含智能运维数据采集接入、智能分析与辅助决策、平台通用功能三大核心模块，各模块需协同运作形成完整的智能运维闭环，最终实现提升设备可靠性、降低运维成本和优化运营效率的目标。</w:t>
      </w:r>
    </w:p>
    <w:p w14:paraId="56D12B7C">
      <w:pPr>
        <w:pStyle w:val="34"/>
        <w:kinsoku w:val="0"/>
        <w:overflowPunct w:val="0"/>
        <w:spacing w:line="360" w:lineRule="auto"/>
        <w:ind w:left="127"/>
        <w:rPr>
          <w:rFonts w:hint="eastAsia" w:ascii="宋体" w:hAnsi="宋体" w:eastAsia="宋体" w:cs="仿宋"/>
          <w:i w:val="0"/>
          <w:iCs w:val="0"/>
          <w:color w:val="auto"/>
          <w:sz w:val="2"/>
          <w:szCs w:val="2"/>
          <w:highlight w:val="none"/>
        </w:rPr>
      </w:pPr>
      <w:bookmarkStart w:id="143" w:name="bookmark119"/>
      <w:bookmarkEnd w:id="143"/>
    </w:p>
    <w:p w14:paraId="56D12B7D">
      <w:pPr>
        <w:pStyle w:val="5"/>
        <w:ind w:left="0"/>
        <w:rPr>
          <w:rFonts w:hint="eastAsia"/>
          <w:i w:val="0"/>
          <w:iCs w:val="0"/>
          <w:color w:val="auto"/>
          <w:sz w:val="22"/>
          <w:szCs w:val="22"/>
          <w:highlight w:val="none"/>
        </w:rPr>
      </w:pPr>
      <w:bookmarkStart w:id="144" w:name="_Toc1162"/>
      <w:r>
        <w:rPr>
          <w:rFonts w:hint="eastAsia"/>
          <w:i w:val="0"/>
          <w:iCs w:val="0"/>
          <w:color w:val="auto"/>
          <w:sz w:val="22"/>
          <w:szCs w:val="22"/>
          <w:highlight w:val="none"/>
        </w:rPr>
        <w:t>数据接入功能</w:t>
      </w:r>
      <w:bookmarkEnd w:id="144"/>
    </w:p>
    <w:p w14:paraId="5E58D3C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智能运维</w:t>
      </w:r>
      <w:r>
        <w:rPr>
          <w:rFonts w:hint="eastAsia"/>
          <w:i w:val="0"/>
          <w:iCs w:val="0"/>
          <w:color w:val="auto"/>
          <w:sz w:val="21"/>
          <w:szCs w:val="15"/>
          <w:highlight w:val="none"/>
          <w:lang w:val="zh-CN" w:eastAsia="zh-CN"/>
        </w:rPr>
        <w:t>平台应构建兼容性强、可扩展的数据采集体系，能够实时准确地对接各类异构数据源，包括传感器网络、监控系统及日志系统等，同时要求数据采集工作以实际运维需求为导向，根据设备特性和重要性制定差异化采集策略，采集数据类型需涵盖以下七大类。</w:t>
      </w:r>
    </w:p>
    <w:p w14:paraId="1CBA2F0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1、设备状态类数据：</w:t>
      </w:r>
      <w:r>
        <w:rPr>
          <w:rFonts w:hint="eastAsia"/>
          <w:i w:val="0"/>
          <w:iCs w:val="0"/>
          <w:color w:val="auto"/>
          <w:sz w:val="21"/>
          <w:szCs w:val="15"/>
          <w:highlight w:val="none"/>
          <w:lang w:val="zh-CN" w:eastAsia="zh-CN"/>
        </w:rPr>
        <w:t>应提供设备的物理参数和运行状态指标，如温度、电压、电流、功率、</w:t>
      </w:r>
      <w:r>
        <w:rPr>
          <w:rFonts w:hint="eastAsia"/>
          <w:i w:val="0"/>
          <w:iCs w:val="0"/>
          <w:color w:val="auto"/>
          <w:sz w:val="21"/>
          <w:szCs w:val="15"/>
          <w:highlight w:val="none"/>
          <w:lang w:val="en-US" w:eastAsia="zh-CN"/>
        </w:rPr>
        <w:t>电阻、</w:t>
      </w:r>
      <w:r>
        <w:rPr>
          <w:rFonts w:hint="eastAsia"/>
          <w:i w:val="0"/>
          <w:iCs w:val="0"/>
          <w:color w:val="auto"/>
          <w:sz w:val="21"/>
          <w:szCs w:val="15"/>
          <w:highlight w:val="none"/>
          <w:lang w:val="zh-CN" w:eastAsia="zh-CN"/>
        </w:rPr>
        <w:t>运行时间等。这些数据主要通过安装在设备上的各类传感器采集，包括温度传感器、电流互感器、电压传感器等。</w:t>
      </w:r>
    </w:p>
    <w:p w14:paraId="0253C2E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2、</w:t>
      </w:r>
      <w:r>
        <w:rPr>
          <w:rFonts w:hint="eastAsia"/>
          <w:i w:val="0"/>
          <w:iCs w:val="0"/>
          <w:color w:val="auto"/>
          <w:sz w:val="21"/>
          <w:szCs w:val="15"/>
          <w:highlight w:val="none"/>
          <w:lang w:val="zh-CN" w:eastAsia="zh-CN"/>
        </w:rPr>
        <w:t>设备性能类数据：性能数据用于评估设备的工作效率和运行质量，应提供各类性能指标、工作效率、能耗等关键参数。这类数据能够反映设备的长期运行趋势，是进行性能优化和预防性维护的重要依据。性能数据通常通过设备自带的仪表盘、子系统监控软件或专门的性能探针来采集。</w:t>
      </w:r>
    </w:p>
    <w:p w14:paraId="56D12B8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3、设备故障类数据：应提供设备的故障告警信息、错误代码、维修记录等。此类数据具有突发性和高优先级的特性，需建立快速响应机制。故障数据应来源于设备的故障诊断系统、监测子系统以及人工填报的维修工单。此数据与设备状态数据关联分析，从而准确判断故障原因和影响范围。</w:t>
      </w:r>
    </w:p>
    <w:p w14:paraId="56D12B8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4、用户行为类数据：用户行为数据应提供设备的使用情况和人机交互状况，包括用户的访问行为、点击行为、浏览历史等操作记录。此数据主要通过网络监控系统、用户行为分析工具以及设备日志来采集，此数据经过脱敏处理，在保护用户隐私的前提下进行分析利用。</w:t>
      </w:r>
    </w:p>
    <w:p w14:paraId="56D12B8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5、网络交换类数据：网络数据应提供设备间的通信状况和网络质量，包括网络交换机的收发数据量、帧格式、错误率等关键指标。此数据应通过专业的网络监测工具、网络分析仪以及SNMP协议等方式采集。此数据采集后应实时分析，及时发现和解决网络拥塞、通信中断等问题。</w:t>
      </w:r>
    </w:p>
    <w:p w14:paraId="56D12B8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6、安全事件类数据：安全数据应提供安全事件的类型、发生时间、详情等安全日志信息。此数据具有极高的敏感性，需要严格的安全保护措施。安全数据应来源于防火墙、入侵检测系统(IDS)、安全信息与事件管理系统(SIEM)等安全设备。在所有专业系统中应具备监测暴力破解、异常端口扫描等安全威胁，并提供实时响应机制。安全数据的采集和分析需要遵循最小权限原则，确保数据不被滥用。</w:t>
      </w:r>
    </w:p>
    <w:p w14:paraId="56D12B8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7、设备运行环境类数据：环境数据应提供设备所处的外部环境状况，包括机房等设备运行环境的温度、湿度、空气质量等参数。此数据主要通过部署在设备周边的环境监测设备采集，如温湿度传感器、气体检测仪、水浸传感器等，对于保障设备的稳定运行具有重要作用。</w:t>
      </w:r>
    </w:p>
    <w:p w14:paraId="3ED6DDC3">
      <w:pPr>
        <w:pStyle w:val="142"/>
        <w:numPr>
          <w:ilvl w:val="0"/>
          <w:numId w:val="32"/>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为确保数据采集的质量和效率，智能运维平台需要建立统一的数据采集标准，包括：</w:t>
      </w:r>
    </w:p>
    <w:p w14:paraId="54066964">
      <w:pPr>
        <w:pStyle w:val="142"/>
        <w:numPr>
          <w:ilvl w:val="0"/>
          <w:numId w:val="32"/>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数据采集频率应根据设备重要性分级设置，关键设备采用秒级采集，非关键设备可采用分钟级采集；</w:t>
      </w:r>
    </w:p>
    <w:p w14:paraId="1505FC38">
      <w:pPr>
        <w:pStyle w:val="142"/>
        <w:numPr>
          <w:ilvl w:val="0"/>
          <w:numId w:val="32"/>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数据精度应满足各专业的标准要求，关键参数误差率控制在1%以内；</w:t>
      </w:r>
    </w:p>
    <w:p w14:paraId="21A9B07C">
      <w:pPr>
        <w:pStyle w:val="142"/>
        <w:numPr>
          <w:ilvl w:val="0"/>
          <w:numId w:val="32"/>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数据传输应采用加密通道，确保数据安全；</w:t>
      </w:r>
    </w:p>
    <w:p w14:paraId="05E44B1C">
      <w:pPr>
        <w:pStyle w:val="142"/>
        <w:numPr>
          <w:ilvl w:val="0"/>
          <w:numId w:val="32"/>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数据存储应建立分层策略，原始数据保留1年以上，聚合数据保留3年以上；</w:t>
      </w:r>
    </w:p>
    <w:p w14:paraId="22221E48">
      <w:pPr>
        <w:pStyle w:val="142"/>
        <w:numPr>
          <w:ilvl w:val="0"/>
          <w:numId w:val="32"/>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数据采集系统应具备弹性扩展能力，能够适应未来新增设备的接入需求。</w:t>
      </w:r>
    </w:p>
    <w:p w14:paraId="3553387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通过构建全面的数据采集体系，智能运维平台应获取设备运行的全维度数据，为智能分析和决策支持提供基础信息来源。数据采集系统应具备自诊断功能，能够及时发现和修复采集链路故障，确保数据的连续性和完整性。同时，系统应支持灵活的数据过滤和预处理功能，在数据源头就进行初步的质量检查和处理，减轻数据分析系统的负担。</w:t>
      </w:r>
    </w:p>
    <w:p w14:paraId="56D12B86">
      <w:pPr>
        <w:pStyle w:val="5"/>
        <w:ind w:left="0"/>
        <w:rPr>
          <w:rFonts w:hint="eastAsia"/>
          <w:i w:val="0"/>
          <w:iCs w:val="0"/>
          <w:color w:val="auto"/>
          <w:sz w:val="22"/>
          <w:szCs w:val="22"/>
          <w:highlight w:val="none"/>
        </w:rPr>
      </w:pPr>
      <w:bookmarkStart w:id="145" w:name="_Toc752"/>
      <w:r>
        <w:rPr>
          <w:rFonts w:hint="eastAsia"/>
          <w:i w:val="0"/>
          <w:iCs w:val="0"/>
          <w:color w:val="auto"/>
          <w:sz w:val="22"/>
          <w:szCs w:val="22"/>
          <w:highlight w:val="none"/>
        </w:rPr>
        <w:t>智能分析与辅助决策</w:t>
      </w:r>
      <w:bookmarkEnd w:id="145"/>
    </w:p>
    <w:p w14:paraId="56D12B8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智能分析与辅助决策模块作为综合智能运维平台的核心功能组件，应构建了一套完整的智能化运维决策支持体系，应基于线路侧各专业系统上传的实时运行数据、历史报警记录以及设备状态统计信息，结合平台内置的智能运维算法，提供从基础监测到高级决策支持的全方位功能覆盖，为本项目智能运维平台提供了强有力的智能化支撑。</w:t>
      </w:r>
    </w:p>
    <w:p w14:paraId="56D12B88">
      <w:pPr>
        <w:pStyle w:val="6"/>
        <w:ind w:left="0"/>
        <w:rPr>
          <w:rFonts w:hint="eastAsia"/>
          <w:i w:val="0"/>
          <w:iCs w:val="0"/>
          <w:color w:val="auto"/>
          <w:sz w:val="21"/>
          <w:szCs w:val="21"/>
          <w:highlight w:val="none"/>
        </w:rPr>
      </w:pPr>
      <w:r>
        <w:rPr>
          <w:rFonts w:hint="eastAsia"/>
          <w:i w:val="0"/>
          <w:iCs w:val="0"/>
          <w:color w:val="auto"/>
          <w:sz w:val="21"/>
          <w:szCs w:val="21"/>
          <w:highlight w:val="none"/>
        </w:rPr>
        <w:t>线路设备自动巡检</w:t>
      </w:r>
    </w:p>
    <w:p w14:paraId="56D12B8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平台应通过对各接入专业的设备状态点位进行梳理，结合现场检修作业点表与工艺卡内容，对系统中的关键设备、关键点位进行自动在线巡检。并且支持用户对巡检范围、巡检频率的灵活配置，以及对电子检修工艺卡的自动填写和巡检报告的一键导出。</w:t>
      </w:r>
    </w:p>
    <w:p w14:paraId="56D12B8A">
      <w:pPr>
        <w:pStyle w:val="6"/>
        <w:ind w:left="0"/>
        <w:rPr>
          <w:rFonts w:hint="eastAsia"/>
          <w:i w:val="0"/>
          <w:iCs w:val="0"/>
          <w:color w:val="auto"/>
          <w:sz w:val="21"/>
          <w:szCs w:val="21"/>
          <w:highlight w:val="none"/>
        </w:rPr>
      </w:pPr>
      <w:r>
        <w:rPr>
          <w:rFonts w:hint="eastAsia"/>
          <w:i w:val="0"/>
          <w:iCs w:val="0"/>
          <w:color w:val="auto"/>
          <w:sz w:val="21"/>
          <w:szCs w:val="21"/>
          <w:highlight w:val="none"/>
        </w:rPr>
        <w:t>线路设备状态评估</w:t>
      </w:r>
    </w:p>
    <w:p w14:paraId="56D12B8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通过在线获取或离线导入的方式，对设备生命周期内的运行数据、报警履历、关键设备更换记录维修履历等进行统计与分析，结合设备可靠度评估算法，实现对设备当前状态智能评估；并基于评估结果给出设备剩余服役时长建议、是否进入中大修、是否需更换等建议。</w:t>
      </w:r>
    </w:p>
    <w:p w14:paraId="56D12B8C">
      <w:pPr>
        <w:pStyle w:val="6"/>
        <w:ind w:left="0"/>
        <w:rPr>
          <w:rFonts w:hint="eastAsia"/>
          <w:i w:val="0"/>
          <w:iCs w:val="0"/>
          <w:color w:val="auto"/>
          <w:sz w:val="21"/>
          <w:szCs w:val="21"/>
          <w:highlight w:val="none"/>
        </w:rPr>
      </w:pPr>
      <w:r>
        <w:rPr>
          <w:rFonts w:hint="eastAsia"/>
          <w:i w:val="0"/>
          <w:iCs w:val="0"/>
          <w:color w:val="auto"/>
          <w:sz w:val="21"/>
          <w:szCs w:val="21"/>
          <w:highlight w:val="none"/>
        </w:rPr>
        <w:t>智能统计分析</w:t>
      </w:r>
    </w:p>
    <w:p w14:paraId="56D12B8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基于对各专业设备各类数据的收集与存储，结合大模型运维助手的智能问答算法，可实现针对用户不同需求场景的多元多维度智能统计分析，包括不限于故障报警类、健康评估类、运行趋势类统计分析等。如用户可直接请求进行全线故障频率过高的设备进行统计、某一专业半年内各站发生的一级报警情况统计等。通过智能统计分析功能，用户可根据自身需求获取某一特定场景的数据统计分享结果，可更全面、直观的掌控线路运行状态。</w:t>
      </w:r>
    </w:p>
    <w:p w14:paraId="56D12B8E">
      <w:pPr>
        <w:pStyle w:val="6"/>
        <w:ind w:left="0"/>
        <w:rPr>
          <w:rFonts w:hint="eastAsia"/>
          <w:i w:val="0"/>
          <w:iCs w:val="0"/>
          <w:color w:val="auto"/>
          <w:sz w:val="21"/>
          <w:szCs w:val="21"/>
          <w:highlight w:val="none"/>
        </w:rPr>
      </w:pPr>
      <w:r>
        <w:rPr>
          <w:rFonts w:hint="eastAsia"/>
          <w:i w:val="0"/>
          <w:iCs w:val="0"/>
          <w:color w:val="auto"/>
          <w:sz w:val="21"/>
          <w:szCs w:val="21"/>
          <w:highlight w:val="none"/>
        </w:rPr>
        <w:t>维修策略调整建议</w:t>
      </w:r>
    </w:p>
    <w:p w14:paraId="56D12B8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智能运维系统通过对设备的故障强度、关键指标阈值范围等数据进行计算与分析，可计算出各专业设备的健康度情况。平台根据工区、车站、检修批次等对特定范围内的设备健康情况进行综合分析，给出其长周期检修(半年检/年检)的调整策略。通过此功能，使维修模式逐步从故障/计划修向状态修转变。</w:t>
      </w:r>
    </w:p>
    <w:p w14:paraId="56D12B90">
      <w:pPr>
        <w:pStyle w:val="6"/>
        <w:ind w:left="0"/>
        <w:rPr>
          <w:rFonts w:hint="eastAsia"/>
          <w:i w:val="0"/>
          <w:iCs w:val="0"/>
          <w:color w:val="auto"/>
          <w:sz w:val="21"/>
          <w:szCs w:val="21"/>
          <w:highlight w:val="none"/>
        </w:rPr>
      </w:pPr>
      <w:r>
        <w:rPr>
          <w:rFonts w:hint="eastAsia"/>
          <w:i w:val="0"/>
          <w:iCs w:val="0"/>
          <w:color w:val="auto"/>
          <w:sz w:val="21"/>
          <w:szCs w:val="21"/>
          <w:highlight w:val="none"/>
        </w:rPr>
        <w:t>设备故障追踪与故障回溯</w:t>
      </w:r>
    </w:p>
    <w:p w14:paraId="56D12B9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平台应支持对线路设备的特殊故障情况进行跟踪与回溯。如某一故障短时间内无法处置，需进行挂起操作；或设备经常发生自恢复报警，设备运行状态不稳定，需进行重点观察操作等。通过故障追踪功能，方便用户能够更好的对特殊情况的设备进行管理，以免发生故障漏修、设备隐患排查不及时等问题。</w:t>
      </w:r>
    </w:p>
    <w:p w14:paraId="56D12B92">
      <w:pPr>
        <w:pStyle w:val="6"/>
        <w:ind w:left="0"/>
        <w:rPr>
          <w:rFonts w:hint="eastAsia"/>
          <w:i w:val="0"/>
          <w:iCs w:val="0"/>
          <w:color w:val="auto"/>
          <w:sz w:val="21"/>
          <w:szCs w:val="21"/>
          <w:highlight w:val="none"/>
        </w:rPr>
      </w:pPr>
      <w:r>
        <w:rPr>
          <w:rFonts w:hint="eastAsia"/>
          <w:i w:val="0"/>
          <w:iCs w:val="0"/>
          <w:color w:val="auto"/>
          <w:sz w:val="21"/>
          <w:szCs w:val="21"/>
          <w:highlight w:val="none"/>
        </w:rPr>
        <w:t>规则引擎</w:t>
      </w:r>
    </w:p>
    <w:p w14:paraId="56D12B9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规则引擎包含两部分内容。一方面通过平台的规则引擎模块，需对各专业智能运维系统的关键指标、阈值、报警等级等参数进行灵活在线调整；另一方面需支持维护人员根据设备报警级联关系、单个设备的特征工况、现场故障处置经验等，对系统预制的报警及工单触发逻辑进行干预，以进一步提升系统的可用性。</w:t>
      </w:r>
    </w:p>
    <w:p w14:paraId="56D12B94">
      <w:pPr>
        <w:pStyle w:val="5"/>
        <w:ind w:left="0"/>
        <w:rPr>
          <w:rFonts w:hint="eastAsia"/>
          <w:i w:val="0"/>
          <w:iCs w:val="0"/>
          <w:color w:val="auto"/>
          <w:sz w:val="22"/>
          <w:szCs w:val="22"/>
          <w:highlight w:val="none"/>
        </w:rPr>
      </w:pPr>
      <w:bookmarkStart w:id="146" w:name="_Toc25921"/>
      <w:r>
        <w:rPr>
          <w:rFonts w:hint="eastAsia"/>
          <w:i w:val="0"/>
          <w:iCs w:val="0"/>
          <w:color w:val="auto"/>
          <w:sz w:val="22"/>
          <w:szCs w:val="22"/>
          <w:highlight w:val="none"/>
        </w:rPr>
        <w:t>通用功能</w:t>
      </w:r>
      <w:bookmarkEnd w:id="146"/>
    </w:p>
    <w:p w14:paraId="56D12B95">
      <w:pPr>
        <w:pStyle w:val="6"/>
        <w:ind w:left="0"/>
        <w:rPr>
          <w:rFonts w:hint="eastAsia"/>
          <w:i w:val="0"/>
          <w:iCs w:val="0"/>
          <w:color w:val="auto"/>
          <w:sz w:val="21"/>
          <w:szCs w:val="21"/>
          <w:highlight w:val="none"/>
        </w:rPr>
      </w:pPr>
      <w:r>
        <w:rPr>
          <w:rFonts w:hint="eastAsia"/>
          <w:i w:val="0"/>
          <w:iCs w:val="0"/>
          <w:color w:val="auto"/>
          <w:sz w:val="21"/>
          <w:szCs w:val="21"/>
          <w:highlight w:val="none"/>
        </w:rPr>
        <w:t>用户管理</w:t>
      </w:r>
    </w:p>
    <w:p w14:paraId="56D12B9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应提供用户登录的强口令认证机制，即用户每次登陆必须输入用户名和密码，验证通过后才能进入系统进行操作。应仅能对合法的用户或用户组提供信息访问。</w:t>
      </w:r>
    </w:p>
    <w:p w14:paraId="56D12B9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系统应支持用户自行修改密码。</w:t>
      </w:r>
    </w:p>
    <w:p w14:paraId="56D12B98">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系统应支持设置口令策略，设置口令的长度、复杂程度、口令更改期限等。</w:t>
      </w:r>
    </w:p>
    <w:p w14:paraId="56D12B9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系统应提供唯一的用户/用户组管理界面，能记录用户/用户组属性，能够对应层次结构（如上下级）功能。</w:t>
      </w:r>
    </w:p>
    <w:p w14:paraId="56D12B9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系统应支持通过用户/用户组管理界面查询每个用户/用户组拥有的所有权限，能够反映一对一或一对多的权限关系。</w:t>
      </w:r>
    </w:p>
    <w:p w14:paraId="56D12B9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要求针对同一个账号应在同一时间只能有一个登录连接有效，即相同的账号在登录系统后，要将前一个相同账号的用户登出，或弹出提示。</w:t>
      </w:r>
    </w:p>
    <w:p w14:paraId="56D12B9C">
      <w:pPr>
        <w:pStyle w:val="6"/>
        <w:ind w:left="0"/>
        <w:rPr>
          <w:rFonts w:hint="eastAsia"/>
          <w:i w:val="0"/>
          <w:iCs w:val="0"/>
          <w:color w:val="auto"/>
          <w:sz w:val="21"/>
          <w:szCs w:val="21"/>
          <w:highlight w:val="none"/>
        </w:rPr>
      </w:pPr>
      <w:r>
        <w:rPr>
          <w:rFonts w:hint="eastAsia"/>
          <w:i w:val="0"/>
          <w:iCs w:val="0"/>
          <w:color w:val="auto"/>
          <w:sz w:val="21"/>
          <w:szCs w:val="21"/>
          <w:highlight w:val="none"/>
        </w:rPr>
        <w:t>权限管理</w:t>
      </w:r>
    </w:p>
    <w:p w14:paraId="56D12B9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系统应提供自主流程管理功能，为系统管理员提供公司架构调整等自主调整的相关功能。</w:t>
      </w:r>
    </w:p>
    <w:p w14:paraId="56D12B9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系统应支持针对设定的权限提供可细化至独立的功能，支持自由组合成不同的权限组（或角色）。权限授予的最小单位应是组或角色。</w:t>
      </w:r>
    </w:p>
    <w:p w14:paraId="56D12B9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系统应为系统管理员提供系统权限进行划分和组合，授予相关业务管理员进行具体的权限分配工作。（该需求可根据实际情况调整内容）</w:t>
      </w:r>
    </w:p>
    <w:p w14:paraId="56D12BA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权限管理功能模块所有插入、删除、修改的操作在提交前都需要有提示确认的步骤。</w:t>
      </w:r>
    </w:p>
    <w:p w14:paraId="56D12BA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权限管理应基于对应权限分配规则体现权限划分的优先级原则。</w:t>
      </w:r>
    </w:p>
    <w:p w14:paraId="56D12BA2">
      <w:pPr>
        <w:pStyle w:val="6"/>
        <w:ind w:left="0"/>
        <w:rPr>
          <w:rFonts w:hint="eastAsia"/>
          <w:i w:val="0"/>
          <w:iCs w:val="0"/>
          <w:color w:val="auto"/>
          <w:sz w:val="21"/>
          <w:szCs w:val="21"/>
          <w:highlight w:val="none"/>
        </w:rPr>
      </w:pPr>
      <w:r>
        <w:rPr>
          <w:rFonts w:hint="eastAsia"/>
          <w:i w:val="0"/>
          <w:iCs w:val="0"/>
          <w:color w:val="auto"/>
          <w:sz w:val="21"/>
          <w:szCs w:val="21"/>
          <w:highlight w:val="none"/>
        </w:rPr>
        <w:t>系统日志</w:t>
      </w:r>
    </w:p>
    <w:p w14:paraId="56D12BA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应记录系统使用人员的操作、登陆日志等信息，为管理员提供查看系统操作轨迹。系统日志要求保留</w:t>
      </w:r>
      <w:r>
        <w:rPr>
          <w:rFonts w:hint="eastAsia"/>
          <w:i w:val="0"/>
          <w:iCs w:val="0"/>
          <w:color w:val="auto"/>
          <w:sz w:val="21"/>
          <w:szCs w:val="15"/>
          <w:highlight w:val="none"/>
          <w:lang w:val="en-US" w:eastAsia="zh-CN"/>
        </w:rPr>
        <w:t>18</w:t>
      </w:r>
      <w:r>
        <w:rPr>
          <w:rFonts w:hint="eastAsia"/>
          <w:i w:val="0"/>
          <w:iCs w:val="0"/>
          <w:color w:val="auto"/>
          <w:sz w:val="21"/>
          <w:szCs w:val="15"/>
          <w:highlight w:val="none"/>
          <w:lang w:val="zh-CN" w:eastAsia="zh-CN"/>
        </w:rPr>
        <w:t>0天。</w:t>
      </w:r>
    </w:p>
    <w:p w14:paraId="56D12BA4">
      <w:pPr>
        <w:pStyle w:val="6"/>
        <w:ind w:left="0"/>
        <w:rPr>
          <w:rFonts w:hint="eastAsia"/>
          <w:i w:val="0"/>
          <w:iCs w:val="0"/>
          <w:color w:val="auto"/>
          <w:sz w:val="21"/>
          <w:szCs w:val="21"/>
          <w:highlight w:val="none"/>
        </w:rPr>
      </w:pPr>
      <w:r>
        <w:rPr>
          <w:rFonts w:hint="eastAsia"/>
          <w:i w:val="0"/>
          <w:iCs w:val="0"/>
          <w:color w:val="auto"/>
          <w:sz w:val="21"/>
          <w:szCs w:val="21"/>
          <w:highlight w:val="none"/>
        </w:rPr>
        <w:t>数据备份</w:t>
      </w:r>
    </w:p>
    <w:p w14:paraId="56D12BA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应提供实时数据备份功能，保留期限不低于</w:t>
      </w:r>
      <w:r>
        <w:rPr>
          <w:rFonts w:hint="eastAsia"/>
          <w:i w:val="0"/>
          <w:iCs w:val="0"/>
          <w:color w:val="auto"/>
          <w:sz w:val="21"/>
          <w:szCs w:val="15"/>
          <w:highlight w:val="none"/>
          <w:lang w:val="en-US" w:eastAsia="zh-CN"/>
        </w:rPr>
        <w:t>18</w:t>
      </w:r>
      <w:r>
        <w:rPr>
          <w:rFonts w:hint="eastAsia"/>
          <w:i w:val="0"/>
          <w:iCs w:val="0"/>
          <w:color w:val="auto"/>
          <w:sz w:val="21"/>
          <w:szCs w:val="15"/>
          <w:highlight w:val="none"/>
          <w:lang w:val="zh-CN" w:eastAsia="zh-CN"/>
        </w:rPr>
        <w:t>0天，且具备定期转储功能。</w:t>
      </w:r>
    </w:p>
    <w:p w14:paraId="56D12BA6">
      <w:pPr>
        <w:pStyle w:val="6"/>
        <w:ind w:left="0"/>
        <w:rPr>
          <w:rFonts w:hint="eastAsia"/>
          <w:i w:val="0"/>
          <w:iCs w:val="0"/>
          <w:color w:val="auto"/>
          <w:sz w:val="21"/>
          <w:szCs w:val="21"/>
          <w:highlight w:val="none"/>
        </w:rPr>
      </w:pPr>
      <w:r>
        <w:rPr>
          <w:rFonts w:hint="eastAsia"/>
          <w:i w:val="0"/>
          <w:iCs w:val="0"/>
          <w:color w:val="auto"/>
          <w:sz w:val="21"/>
          <w:szCs w:val="21"/>
          <w:highlight w:val="none"/>
        </w:rPr>
        <w:t>流程管理</w:t>
      </w:r>
    </w:p>
    <w:p w14:paraId="56D12BA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系统应提供流程引擎以实现业务流程的自定义支持。</w:t>
      </w:r>
    </w:p>
    <w:p w14:paraId="56D12BA8">
      <w:pPr>
        <w:pStyle w:val="6"/>
        <w:ind w:left="0"/>
        <w:rPr>
          <w:rFonts w:hint="eastAsia"/>
          <w:i w:val="0"/>
          <w:iCs w:val="0"/>
          <w:color w:val="auto"/>
          <w:sz w:val="21"/>
          <w:szCs w:val="21"/>
          <w:highlight w:val="none"/>
        </w:rPr>
      </w:pPr>
      <w:r>
        <w:rPr>
          <w:rFonts w:hint="eastAsia"/>
          <w:i w:val="0"/>
          <w:iCs w:val="0"/>
          <w:color w:val="auto"/>
          <w:sz w:val="21"/>
          <w:szCs w:val="21"/>
          <w:highlight w:val="none"/>
        </w:rPr>
        <w:t>报表及展示</w:t>
      </w:r>
    </w:p>
    <w:p w14:paraId="56D12BA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系统应提供多种报表的展示方式，支持中式复杂报表、图文混合报表，支持动态报表、数据钻取，报表多途径分发等功能。</w:t>
      </w:r>
    </w:p>
    <w:p w14:paraId="56D12BA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系统应提供多种统计图的展示方式，支持柱形图、条形图、面积图、折线图、饼图、圆环图、散点图、气泡图、股价图、曲线图、线图、棱锥图等形式。</w:t>
      </w:r>
    </w:p>
    <w:p w14:paraId="56D12BA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系统应实现表格、图表数据提取和汇总的效果。</w:t>
      </w:r>
    </w:p>
    <w:p w14:paraId="56D12BAC">
      <w:pPr>
        <w:pStyle w:val="6"/>
        <w:ind w:left="0"/>
        <w:rPr>
          <w:rFonts w:hint="eastAsia"/>
          <w:i w:val="0"/>
          <w:iCs w:val="0"/>
          <w:color w:val="auto"/>
          <w:sz w:val="21"/>
          <w:szCs w:val="21"/>
          <w:highlight w:val="none"/>
        </w:rPr>
      </w:pPr>
      <w:r>
        <w:rPr>
          <w:rFonts w:hint="eastAsia"/>
          <w:i w:val="0"/>
          <w:iCs w:val="0"/>
          <w:color w:val="auto"/>
          <w:sz w:val="21"/>
          <w:szCs w:val="21"/>
          <w:highlight w:val="none"/>
        </w:rPr>
        <w:t>消息管理</w:t>
      </w:r>
    </w:p>
    <w:p w14:paraId="56D12BA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消息管理功能应提供以下功能：</w:t>
      </w:r>
    </w:p>
    <w:p w14:paraId="56D12BA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1）消息的发送与接收：应支持用户发送消息给其他用户或群组，并接收来自其他用户或群组的消息。</w:t>
      </w:r>
    </w:p>
    <w:p w14:paraId="56D12BA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2）消息存储与检索：应支持对用户消息进行存储，以便用户可以随时检索和查看历史消息。</w:t>
      </w:r>
    </w:p>
    <w:p w14:paraId="56D12BB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3）消息通知与提醒：当有新的消息到达时，系统应提供各种方式（如弹窗、声音提示、震动等）通知用户。同时，对于未读消息，系统应进行标记并提醒用户去查看这些消息，以便及时与他人进行沟通。</w:t>
      </w:r>
    </w:p>
    <w:p w14:paraId="56D12BB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4）权限管理：系统应提供消息的权限管理。支持系统管理员设置各个用户对特定的消息的查看或删除，及设置消息的可见范围等。</w:t>
      </w:r>
    </w:p>
    <w:p w14:paraId="56D12BB2">
      <w:pPr>
        <w:pStyle w:val="6"/>
        <w:ind w:left="0"/>
        <w:rPr>
          <w:rFonts w:hint="eastAsia"/>
          <w:i w:val="0"/>
          <w:iCs w:val="0"/>
          <w:color w:val="auto"/>
          <w:sz w:val="21"/>
          <w:szCs w:val="21"/>
          <w:highlight w:val="none"/>
        </w:rPr>
      </w:pPr>
      <w:r>
        <w:rPr>
          <w:rFonts w:hint="eastAsia"/>
          <w:i w:val="0"/>
          <w:iCs w:val="0"/>
          <w:color w:val="auto"/>
          <w:sz w:val="21"/>
          <w:szCs w:val="21"/>
          <w:highlight w:val="none"/>
        </w:rPr>
        <w:t>算法仓库</w:t>
      </w:r>
    </w:p>
    <w:p w14:paraId="56D12BB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算法仓库是指存储算法代码和算法模型的仓库。算法仓库应包含模型服务配置、在线推理等模块：</w:t>
      </w:r>
    </w:p>
    <w:p w14:paraId="56D12BB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模型服务配置模块应支持对将要进行部署服务化的模型进行版本管理，支持查看模型基本信息和一键部署功能；</w:t>
      </w:r>
    </w:p>
    <w:p w14:paraId="56D12BB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在线推理模块应支持将模型服务发布成可供第三方系统直接调用的API，降低算法模型落地企业的门槛，使部署后的模型能更好地为企业业务系统服务。</w:t>
      </w:r>
    </w:p>
    <w:p w14:paraId="56D12BB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此外，算法仓库应支持为不同场景下的AI应用提供多厂家、多版本、多场景的AI算法统一集成管理服务，有效解决因算法碎片化导致的管理复杂度高以及建设维护成本高等问题。</w:t>
      </w:r>
    </w:p>
    <w:p w14:paraId="56D12BB7">
      <w:pPr>
        <w:pStyle w:val="6"/>
        <w:ind w:left="0"/>
        <w:rPr>
          <w:rFonts w:hint="eastAsia"/>
          <w:i w:val="0"/>
          <w:iCs w:val="0"/>
          <w:color w:val="auto"/>
          <w:sz w:val="21"/>
          <w:szCs w:val="21"/>
          <w:highlight w:val="none"/>
        </w:rPr>
      </w:pPr>
      <w:r>
        <w:rPr>
          <w:rFonts w:hint="eastAsia"/>
          <w:i w:val="0"/>
          <w:iCs w:val="0"/>
          <w:color w:val="auto"/>
          <w:sz w:val="21"/>
          <w:szCs w:val="21"/>
          <w:highlight w:val="none"/>
        </w:rPr>
        <w:t>系统资源管理</w:t>
      </w:r>
    </w:p>
    <w:p w14:paraId="56D12BB8">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系统资源管理功能通过一系列技术和方法，对计算机系统或组织内的资源进行规划、分配、监控和控制，以实现资源的有效配置和利用，从而提高系统的运行效率。具体功能包括：</w:t>
      </w:r>
    </w:p>
    <w:p w14:paraId="56D12BB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资源规划：支持根据业务需求，制定资源规划方案，确定资源配置的策略。</w:t>
      </w:r>
    </w:p>
    <w:p w14:paraId="56D12BB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资源分配和调度：支持根据需求和优先级，自动或手动进行资源的分配和调度，确保资源的高效利用。如在操作系统中，处理机管理需要确定处理机调度策略并进行分配；主存管理涉及主存映射、主存分配和存储保护等功能；设备管理需支持为I/O系统建立结构，提供逻辑和方便的设备给用户。</w:t>
      </w:r>
    </w:p>
    <w:p w14:paraId="56D12BB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资源监控和实时更新：系统应提供实时监控和更新资源使用情况的、及时更新资源状态和可用性的功能。这有助于管理者了解资源的实时状态，以便做出及时的调整和优化。</w:t>
      </w:r>
    </w:p>
    <w:p w14:paraId="56D12BB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协作和共享：系统应支持多用户协作和资源共享，方便员工间的合作和资源互相借用，提高效率。</w:t>
      </w:r>
    </w:p>
    <w:p w14:paraId="56D12BB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数据分析和报告：系统应提供数据分析和报告功能，使管理者能够了解资源使用情况、瓶颈和趋势，以做出更好的决策。通过数据驱动决策，管理者可以优化资源规划和分配策略，提高资源利用效率。</w:t>
      </w:r>
    </w:p>
    <w:p w14:paraId="56D12BBE">
      <w:pPr>
        <w:pStyle w:val="6"/>
        <w:ind w:left="0"/>
        <w:rPr>
          <w:rFonts w:hint="eastAsia"/>
          <w:i w:val="0"/>
          <w:iCs w:val="0"/>
          <w:color w:val="auto"/>
          <w:sz w:val="21"/>
          <w:szCs w:val="21"/>
          <w:highlight w:val="none"/>
        </w:rPr>
      </w:pPr>
      <w:r>
        <w:rPr>
          <w:rFonts w:hint="eastAsia"/>
          <w:i w:val="0"/>
          <w:iCs w:val="0"/>
          <w:color w:val="auto"/>
          <w:sz w:val="21"/>
          <w:szCs w:val="21"/>
          <w:highlight w:val="none"/>
        </w:rPr>
        <w:t>数据库管理</w:t>
      </w:r>
    </w:p>
    <w:p w14:paraId="56D12BB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库管理系统应提供一系列功能，包含数据定义、数据操纵、数据库安全性、数据库完整性、并发控制、数据备份与恢复、性能优化、数据库复制和同步、数据扩展等，用于创建、维护、查询和保护数据库。确保数据的完整性、安全性、可恢复性和高性能。</w:t>
      </w:r>
    </w:p>
    <w:p w14:paraId="56D12BC0">
      <w:pPr>
        <w:pStyle w:val="6"/>
        <w:ind w:left="0"/>
        <w:rPr>
          <w:rFonts w:hint="eastAsia"/>
          <w:i w:val="0"/>
          <w:iCs w:val="0"/>
          <w:color w:val="auto"/>
          <w:sz w:val="21"/>
          <w:szCs w:val="21"/>
          <w:highlight w:val="none"/>
        </w:rPr>
      </w:pPr>
      <w:r>
        <w:rPr>
          <w:rFonts w:hint="eastAsia"/>
          <w:i w:val="0"/>
          <w:iCs w:val="0"/>
          <w:color w:val="auto"/>
          <w:sz w:val="21"/>
          <w:szCs w:val="21"/>
          <w:highlight w:val="none"/>
        </w:rPr>
        <w:t>数据结构化处理</w:t>
      </w:r>
    </w:p>
    <w:p w14:paraId="56D12BC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数据结构化处理功能主要指的是在不同的系统、软件或应用程序之间进行数据交换和传输的能力。数据接口功能主要包含：</w:t>
      </w:r>
    </w:p>
    <w:p w14:paraId="56D12BC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数据传输：数据接口需支持数据的传输，确保数据可以从一个系统或软件正确地传输到另一个系统或软件。这是实现数据共享和协作的基础。</w:t>
      </w:r>
    </w:p>
    <w:p w14:paraId="56D12BC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数据共享：支持不同的系统或软件通过数据接口实现共享数据，数据互通。有助于提升数据的利用率，促进各系统之间的协同工作。</w:t>
      </w:r>
    </w:p>
    <w:p w14:paraId="56D12BC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数据格式转换：数据接口应支持处理不同数据格式之间的转换，以确保数据在传输过程中的兼容性和准确性。</w:t>
      </w:r>
    </w:p>
    <w:p w14:paraId="56D12BC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数据校验：在数据传输过程中，数据接口应提供执行数据校验功能，以确保数据的完整性和准确性。有助于防止因数据传输错误而导致的数据损坏或丢失。</w:t>
      </w:r>
    </w:p>
    <w:p w14:paraId="56D12BC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安全控制：数据接口应提供安全控制功能，如数据加密、访问权限控制等，以保护数据的安全性和隐私性。</w:t>
      </w:r>
    </w:p>
    <w:p w14:paraId="56D12BC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扩展性：数据接口的设计应考虑未来扩展需求，以便能够支持新的数据类型、传输协议或系统。</w:t>
      </w:r>
    </w:p>
    <w:p w14:paraId="56D12BC8">
      <w:pPr>
        <w:pStyle w:val="6"/>
        <w:ind w:left="0"/>
        <w:rPr>
          <w:rFonts w:hint="eastAsia"/>
          <w:i w:val="0"/>
          <w:iCs w:val="0"/>
          <w:color w:val="auto"/>
          <w:sz w:val="21"/>
          <w:szCs w:val="21"/>
          <w:highlight w:val="none"/>
        </w:rPr>
      </w:pPr>
      <w:r>
        <w:rPr>
          <w:rFonts w:hint="eastAsia"/>
          <w:i w:val="0"/>
          <w:iCs w:val="0"/>
          <w:color w:val="auto"/>
          <w:sz w:val="21"/>
          <w:szCs w:val="21"/>
          <w:highlight w:val="none"/>
        </w:rPr>
        <w:t>数据决策体系</w:t>
      </w:r>
    </w:p>
    <w:p w14:paraId="56D12BC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决策体系应通过数据收集与整合、数据处理与分析、可视化展示等功能，进行决策支持、风险管理、优化运维效率，可展示故障维修、计划维修等业务关键数据，安全、施工等关键数据。通过收集、处理、分析和展示数据，为决策提供全面支持。</w:t>
      </w:r>
    </w:p>
    <w:p w14:paraId="70031CD9">
      <w:pPr>
        <w:spacing w:line="360" w:lineRule="auto"/>
        <w:ind w:firstLine="420" w:firstLineChars="200"/>
        <w:rPr>
          <w:i w:val="0"/>
          <w:iCs w:val="0"/>
          <w:color w:val="auto"/>
          <w:sz w:val="21"/>
          <w:szCs w:val="15"/>
          <w:highlight w:val="none"/>
        </w:rPr>
      </w:pPr>
    </w:p>
    <w:p w14:paraId="39856EBA">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电源系统监测</w:t>
      </w:r>
    </w:p>
    <w:p w14:paraId="3A98F5ED">
      <w:pPr>
        <w:pStyle w:val="142"/>
        <w:ind w:firstLine="420"/>
        <w:rPr>
          <w:rFonts w:hint="default"/>
          <w:i w:val="0"/>
          <w:iCs w:val="0"/>
          <w:color w:val="auto"/>
          <w:sz w:val="21"/>
          <w:szCs w:val="15"/>
          <w:highlight w:val="none"/>
          <w:lang w:val="en-US" w:eastAsia="zh-CN"/>
        </w:rPr>
      </w:pPr>
      <w:r>
        <w:rPr>
          <w:rFonts w:hint="eastAsia"/>
          <w:i w:val="0"/>
          <w:iCs w:val="0"/>
          <w:color w:val="auto"/>
          <w:sz w:val="21"/>
          <w:szCs w:val="15"/>
          <w:highlight w:val="none"/>
          <w:lang w:val="en-US" w:eastAsia="zh-CN"/>
        </w:rPr>
        <w:t>智能运维系统应按照车站提供AFC、通信、站台门、供电的电源系统监测界面，既有AFC等系统可提供的数据及电源监测系统具体功能、界面设计在设计联络确认。系统应实现以下主要功能：</w:t>
      </w:r>
    </w:p>
    <w:p w14:paraId="73E212A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通过接口获取电源系统的各类参数，包括电源模块的工作状态、空气开关开闭状态、模块灯位显示状态、蓄电池组的工作情况等，涵盖电源系统的最小可维护单元。通过将参数数据与现场电源机柜和蓄电池机柜的实物进行高度还原的可视化设计，系统能够生成一个直观、易操作的可视化看板。看板不仅能够实时显示电源系统的运行状态，还能够提供详细的故障诊断信息，帮助维护人员快速定位和解决问题。</w:t>
      </w:r>
    </w:p>
    <w:p w14:paraId="0C6DDA8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在蓄电池的监测方面，智能运维系统实现了对各系统电池组电流、剩余容量，单节电池的温度、电压、内阻等关键参数的全面监测。确保蓄电池的正常运行，提前预警潜在的故障风险，避免因电池问题导致的系统瘫痪。</w:t>
      </w:r>
    </w:p>
    <w:p w14:paraId="56D12BCA">
      <w:pPr>
        <w:pStyle w:val="5"/>
        <w:ind w:left="0"/>
        <w:rPr>
          <w:rFonts w:hint="eastAsia"/>
          <w:i w:val="0"/>
          <w:iCs w:val="0"/>
          <w:color w:val="auto"/>
          <w:sz w:val="22"/>
          <w:szCs w:val="22"/>
          <w:highlight w:val="none"/>
        </w:rPr>
      </w:pPr>
      <w:bookmarkStart w:id="147" w:name="_Toc19764"/>
      <w:r>
        <w:rPr>
          <w:rFonts w:hint="eastAsia"/>
          <w:i w:val="0"/>
          <w:iCs w:val="0"/>
          <w:color w:val="auto"/>
          <w:sz w:val="22"/>
          <w:szCs w:val="22"/>
          <w:highlight w:val="none"/>
        </w:rPr>
        <w:t>人机交互界面</w:t>
      </w:r>
      <w:bookmarkEnd w:id="147"/>
    </w:p>
    <w:p w14:paraId="56D12BCB">
      <w:pPr>
        <w:pStyle w:val="6"/>
        <w:ind w:left="0"/>
        <w:rPr>
          <w:rFonts w:hint="eastAsia"/>
          <w:i w:val="0"/>
          <w:iCs w:val="0"/>
          <w:color w:val="auto"/>
          <w:sz w:val="21"/>
          <w:szCs w:val="21"/>
          <w:highlight w:val="none"/>
        </w:rPr>
      </w:pPr>
      <w:r>
        <w:rPr>
          <w:rFonts w:hint="eastAsia"/>
          <w:i w:val="0"/>
          <w:iCs w:val="0"/>
          <w:color w:val="auto"/>
          <w:sz w:val="21"/>
          <w:szCs w:val="21"/>
          <w:highlight w:val="none"/>
        </w:rPr>
        <w:t>用户界面设计</w:t>
      </w:r>
    </w:p>
    <w:p w14:paraId="56D12BC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具备良好的用户友好性，较高的个性化和图形化水平，并能通过系统的配置开发实现。系统应实现图形化的工作界面。用户可使用图形化的方式进行系统操作，如搜索设备等。系统界面设计应符合招标人的用户界面使用习惯。</w:t>
      </w:r>
    </w:p>
    <w:p w14:paraId="56D12BCD">
      <w:pPr>
        <w:pStyle w:val="6"/>
        <w:ind w:left="0"/>
        <w:rPr>
          <w:rFonts w:hint="eastAsia"/>
          <w:i w:val="0"/>
          <w:iCs w:val="0"/>
          <w:color w:val="auto"/>
          <w:sz w:val="21"/>
          <w:szCs w:val="21"/>
          <w:highlight w:val="none"/>
        </w:rPr>
      </w:pPr>
      <w:r>
        <w:rPr>
          <w:rFonts w:hint="eastAsia"/>
          <w:i w:val="0"/>
          <w:iCs w:val="0"/>
          <w:color w:val="auto"/>
          <w:sz w:val="21"/>
          <w:szCs w:val="21"/>
          <w:highlight w:val="none"/>
        </w:rPr>
        <w:t>交互方式设计</w:t>
      </w:r>
    </w:p>
    <w:p w14:paraId="56D12BC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根据实际情况，应提供交互方式设计方案，在设计联络阶段确定。系统应具备多渠道交互方式，包括PC端、看板大屏等；系统应具备文本、图片等交互方式。</w:t>
      </w:r>
    </w:p>
    <w:p w14:paraId="56D12BCF">
      <w:pPr>
        <w:pStyle w:val="6"/>
        <w:ind w:left="0"/>
        <w:rPr>
          <w:rFonts w:hint="eastAsia"/>
          <w:i w:val="0"/>
          <w:iCs w:val="0"/>
          <w:color w:val="auto"/>
          <w:sz w:val="21"/>
          <w:szCs w:val="21"/>
          <w:highlight w:val="none"/>
        </w:rPr>
      </w:pPr>
      <w:r>
        <w:rPr>
          <w:rFonts w:hint="eastAsia"/>
          <w:i w:val="0"/>
          <w:iCs w:val="0"/>
          <w:color w:val="auto"/>
          <w:sz w:val="21"/>
          <w:szCs w:val="21"/>
          <w:highlight w:val="none"/>
        </w:rPr>
        <w:t>数据呈现设计</w:t>
      </w:r>
    </w:p>
    <w:p w14:paraId="56D12BD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系统应根据实际情况提供数据呈现设计方案，在设计联络阶段确定。数据展现：应支持表格、柱形图、条形图、面积图、折线图、饼图、圆环图来展示数据；</w:t>
      </w:r>
    </w:p>
    <w:p w14:paraId="56D12BD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时间段展现：应支持选择时间段来展示数据；</w:t>
      </w:r>
    </w:p>
    <w:p w14:paraId="56D12BD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多维度展现：应支持选择一个或者多个维度展示数据；</w:t>
      </w:r>
    </w:p>
    <w:p w14:paraId="56D12BD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多图形展现：应支持选择一个图形和多个图形转化为展示报表，报表应支持数据穿透，对数据进行横向和纵向的对比分析。</w:t>
      </w:r>
    </w:p>
    <w:p w14:paraId="56D12BD4">
      <w:pPr>
        <w:pStyle w:val="6"/>
        <w:ind w:left="0"/>
        <w:rPr>
          <w:rFonts w:hint="eastAsia"/>
          <w:i w:val="0"/>
          <w:iCs w:val="0"/>
          <w:color w:val="auto"/>
          <w:sz w:val="21"/>
          <w:szCs w:val="21"/>
          <w:highlight w:val="none"/>
        </w:rPr>
      </w:pPr>
      <w:r>
        <w:rPr>
          <w:rFonts w:hint="eastAsia"/>
          <w:i w:val="0"/>
          <w:iCs w:val="0"/>
          <w:color w:val="auto"/>
          <w:sz w:val="21"/>
          <w:szCs w:val="21"/>
          <w:highlight w:val="none"/>
        </w:rPr>
        <w:t>页面风格切换要求</w:t>
      </w:r>
    </w:p>
    <w:p w14:paraId="56D12BD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页面风格切换要求满足个性化体验、适应不同场景、灵活性等要求。</w:t>
      </w:r>
    </w:p>
    <w:p w14:paraId="56D12BD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个性化体验：支持用户根据实际需求选择不同的风格或主题。</w:t>
      </w:r>
    </w:p>
    <w:p w14:paraId="56D12BD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适应不同场景：支持提供不同的风格或主题，以适用于不同的使用场景，如深色主题、浅色主题等。且应支持调整界面亮度或颜色方案。</w:t>
      </w:r>
    </w:p>
    <w:p w14:paraId="56D12BD8">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灵活性：需设计并提供多种风格或主题供用户选择，包括不同的颜色、字体、图标、布局等。</w:t>
      </w:r>
    </w:p>
    <w:p w14:paraId="56D12BD9">
      <w:pPr>
        <w:pStyle w:val="6"/>
        <w:ind w:left="0"/>
        <w:rPr>
          <w:rFonts w:hint="eastAsia"/>
          <w:i w:val="0"/>
          <w:iCs w:val="0"/>
          <w:color w:val="auto"/>
          <w:sz w:val="21"/>
          <w:szCs w:val="21"/>
          <w:highlight w:val="none"/>
        </w:rPr>
      </w:pPr>
      <w:r>
        <w:rPr>
          <w:rFonts w:hint="eastAsia"/>
          <w:i w:val="0"/>
          <w:iCs w:val="0"/>
          <w:color w:val="auto"/>
          <w:sz w:val="21"/>
          <w:szCs w:val="21"/>
          <w:highlight w:val="none"/>
        </w:rPr>
        <w:t>应用界面设计</w:t>
      </w:r>
    </w:p>
    <w:p w14:paraId="56D12BD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根据本工程实际情况提供基于PC端的全系统及各系统独自运行的交互界面，并在设计联络阶段共同商榷决定。</w:t>
      </w:r>
    </w:p>
    <w:p w14:paraId="56D12BD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智慧运维综合平台应通过可视化平台以大屏的方式展示线路整体的运维情况，显示信息包括但不限于以下内容：</w:t>
      </w:r>
    </w:p>
    <w:p w14:paraId="56D12BDD">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月度故障变化趋势：应支持按天统计线路下各专业设备的故障次数，并通过可视化的图表展示本月设备故障次数汇总。</w:t>
      </w:r>
    </w:p>
    <w:p w14:paraId="56D12BDE">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设备故障分析：应支持按月的方式统计线路下各专业设备的故障次数汇总，并统计故障的同比，环比值。</w:t>
      </w:r>
    </w:p>
    <w:p w14:paraId="56D12BDF">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线路设备运行概况：应支持实时展示当前线路下设备的运行情况，包括监控设备总数，运行设备总数，正常设备总数和故障设备总数。</w:t>
      </w:r>
    </w:p>
    <w:p w14:paraId="56D12BE4">
      <w:pPr>
        <w:pStyle w:val="5"/>
        <w:ind w:left="0"/>
        <w:rPr>
          <w:i w:val="0"/>
          <w:iCs w:val="0"/>
          <w:color w:val="auto"/>
          <w:sz w:val="22"/>
          <w:szCs w:val="22"/>
          <w:highlight w:val="none"/>
        </w:rPr>
      </w:pPr>
      <w:bookmarkStart w:id="148" w:name="bookmark120"/>
      <w:bookmarkEnd w:id="148"/>
      <w:bookmarkStart w:id="149" w:name="_Toc12888"/>
      <w:r>
        <w:rPr>
          <w:rFonts w:hint="eastAsia"/>
          <w:i w:val="0"/>
          <w:iCs w:val="0"/>
          <w:color w:val="auto"/>
          <w:sz w:val="22"/>
          <w:szCs w:val="22"/>
          <w:highlight w:val="none"/>
        </w:rPr>
        <w:t>数据接口</w:t>
      </w:r>
      <w:bookmarkEnd w:id="149"/>
    </w:p>
    <w:p w14:paraId="56D12BE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智能运维平台部署在中心云平台上，通过云平台的数据通道与各专业智能运维系统接入设备建立接口，详细的接口内容与协议等信息在各专业接口介绍章节中体现。</w:t>
      </w:r>
    </w:p>
    <w:p w14:paraId="56D12BE6">
      <w:pPr>
        <w:pStyle w:val="34"/>
        <w:kinsoku w:val="0"/>
        <w:overflowPunct w:val="0"/>
        <w:spacing w:line="360" w:lineRule="auto"/>
        <w:rPr>
          <w:rFonts w:hint="eastAsia" w:ascii="宋体" w:hAnsi="宋体" w:eastAsia="宋体" w:cs="仿宋"/>
          <w:i w:val="0"/>
          <w:iCs w:val="0"/>
          <w:color w:val="auto"/>
          <w:sz w:val="2"/>
          <w:szCs w:val="2"/>
          <w:highlight w:val="none"/>
        </w:rPr>
      </w:pPr>
    </w:p>
    <w:p w14:paraId="56D12BE7">
      <w:pPr>
        <w:pStyle w:val="4"/>
        <w:rPr>
          <w:i w:val="0"/>
          <w:iCs w:val="0"/>
          <w:color w:val="auto"/>
          <w:sz w:val="24"/>
          <w:szCs w:val="21"/>
          <w:highlight w:val="none"/>
        </w:rPr>
      </w:pPr>
      <w:bookmarkStart w:id="150" w:name="bookmark121"/>
      <w:bookmarkEnd w:id="150"/>
      <w:bookmarkStart w:id="151" w:name="_Toc3816"/>
      <w:r>
        <w:rPr>
          <w:rFonts w:hint="eastAsia"/>
          <w:i w:val="0"/>
          <w:iCs w:val="0"/>
          <w:color w:val="auto"/>
          <w:sz w:val="24"/>
          <w:szCs w:val="21"/>
          <w:highlight w:val="none"/>
        </w:rPr>
        <w:t>通信智能运维</w:t>
      </w:r>
      <w:bookmarkEnd w:id="151"/>
      <w:bookmarkStart w:id="152" w:name="bookmark122"/>
      <w:bookmarkEnd w:id="152"/>
    </w:p>
    <w:p w14:paraId="56D12BE8">
      <w:pPr>
        <w:pStyle w:val="5"/>
        <w:ind w:left="0"/>
        <w:rPr>
          <w:i w:val="0"/>
          <w:iCs w:val="0"/>
          <w:color w:val="auto"/>
          <w:sz w:val="22"/>
          <w:szCs w:val="22"/>
          <w:highlight w:val="none"/>
        </w:rPr>
      </w:pPr>
      <w:bookmarkStart w:id="153" w:name="bookmark123"/>
      <w:bookmarkEnd w:id="153"/>
      <w:bookmarkStart w:id="154" w:name="_Toc27762"/>
      <w:r>
        <w:rPr>
          <w:rFonts w:hint="eastAsia"/>
          <w:i w:val="0"/>
          <w:iCs w:val="0"/>
          <w:color w:val="auto"/>
          <w:sz w:val="22"/>
          <w:szCs w:val="22"/>
          <w:highlight w:val="none"/>
        </w:rPr>
        <w:t>系统功能</w:t>
      </w:r>
      <w:bookmarkEnd w:id="154"/>
    </w:p>
    <w:p w14:paraId="56D12BE9">
      <w:pPr>
        <w:pStyle w:val="6"/>
        <w:ind w:left="0"/>
        <w:rPr>
          <w:i w:val="0"/>
          <w:iCs w:val="0"/>
          <w:color w:val="auto"/>
          <w:sz w:val="21"/>
          <w:szCs w:val="21"/>
          <w:highlight w:val="none"/>
        </w:rPr>
      </w:pPr>
      <w:r>
        <w:rPr>
          <w:rFonts w:hint="eastAsia"/>
          <w:i w:val="0"/>
          <w:iCs w:val="0"/>
          <w:color w:val="auto"/>
          <w:sz w:val="21"/>
          <w:szCs w:val="21"/>
          <w:highlight w:val="none"/>
        </w:rPr>
        <w:t>数据采集</w:t>
      </w:r>
    </w:p>
    <w:p w14:paraId="56D12BE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zh-CN" w:eastAsia="zh-CN"/>
        </w:rPr>
        <w:t>通信智能运维通过部署自采集软件，实现对通信系统中服务器、交换机等关键设备的数据采集与智能分析功能。</w:t>
      </w:r>
      <w:r>
        <w:rPr>
          <w:rFonts w:hint="eastAsia"/>
          <w:i w:val="0"/>
          <w:iCs w:val="0"/>
          <w:color w:val="auto"/>
          <w:sz w:val="21"/>
          <w:szCs w:val="15"/>
          <w:highlight w:val="none"/>
          <w:lang w:val="en-US" w:eastAsia="zh-CN"/>
        </w:rPr>
        <w:t>数据采集点位包含不限于以下内容：</w:t>
      </w:r>
    </w:p>
    <w:p w14:paraId="123F81AA">
      <w:pPr>
        <w:pStyle w:val="7"/>
        <w:rPr>
          <w:i w:val="0"/>
          <w:iCs w:val="0"/>
          <w:color w:val="auto"/>
          <w:sz w:val="21"/>
          <w:szCs w:val="21"/>
          <w:highlight w:val="none"/>
        </w:rPr>
      </w:pPr>
      <w:r>
        <w:rPr>
          <w:rFonts w:hint="eastAsia"/>
          <w:i w:val="0"/>
          <w:iCs w:val="0"/>
          <w:color w:val="auto"/>
          <w:sz w:val="21"/>
          <w:szCs w:val="21"/>
          <w:highlight w:val="none"/>
          <w:lang w:val="en-US"/>
        </w:rPr>
        <w:t>传输系统</w:t>
      </w:r>
    </w:p>
    <w:p w14:paraId="295E1C38">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应可实现各系统</w:t>
      </w:r>
      <w:r>
        <w:rPr>
          <w:rFonts w:hint="eastAsia"/>
          <w:i w:val="0"/>
          <w:iCs w:val="0"/>
          <w:color w:val="auto"/>
          <w:sz w:val="21"/>
          <w:szCs w:val="15"/>
          <w:highlight w:val="none"/>
          <w:lang w:val="en-US" w:eastAsia="zh-CN"/>
        </w:rPr>
        <w:t>网管</w:t>
      </w:r>
      <w:r>
        <w:rPr>
          <w:rFonts w:hint="eastAsia"/>
          <w:i w:val="0"/>
          <w:iCs w:val="0"/>
          <w:color w:val="auto"/>
          <w:sz w:val="21"/>
          <w:szCs w:val="15"/>
          <w:highlight w:val="none"/>
          <w:lang w:val="zh-CN" w:eastAsia="zh-CN"/>
        </w:rPr>
        <w:t>服务器、工作站的CPU利用率、内存使用情况、网口实时网速、应用进程及占用CPU、内存资源、硬盘使用情况等参数，系统收到信息后进行存储、分析、显示，并对设备性能异常变化和劣化趋势进行预警或告警。</w:t>
      </w:r>
    </w:p>
    <w:p w14:paraId="1A6D526F">
      <w:pPr>
        <w:pStyle w:val="7"/>
        <w:rPr>
          <w:i w:val="0"/>
          <w:iCs w:val="0"/>
          <w:color w:val="auto"/>
          <w:sz w:val="21"/>
          <w:szCs w:val="21"/>
          <w:highlight w:val="none"/>
          <w:lang w:val="en-US"/>
        </w:rPr>
      </w:pPr>
      <w:r>
        <w:rPr>
          <w:rFonts w:hint="eastAsia"/>
          <w:i w:val="0"/>
          <w:iCs w:val="0"/>
          <w:color w:val="auto"/>
          <w:sz w:val="21"/>
          <w:szCs w:val="21"/>
          <w:highlight w:val="none"/>
          <w:lang w:val="en-US"/>
        </w:rPr>
        <w:t>无线系统</w:t>
      </w:r>
    </w:p>
    <w:p w14:paraId="6F0027B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应可实现系统</w:t>
      </w:r>
      <w:r>
        <w:rPr>
          <w:rFonts w:hint="eastAsia"/>
          <w:i w:val="0"/>
          <w:iCs w:val="0"/>
          <w:color w:val="auto"/>
          <w:sz w:val="21"/>
          <w:szCs w:val="15"/>
          <w:highlight w:val="none"/>
          <w:lang w:val="en-US" w:eastAsia="zh-CN"/>
        </w:rPr>
        <w:t>调度服务器</w:t>
      </w:r>
      <w:r>
        <w:rPr>
          <w:rFonts w:hint="eastAsia"/>
          <w:i w:val="0"/>
          <w:iCs w:val="0"/>
          <w:color w:val="auto"/>
          <w:sz w:val="21"/>
          <w:szCs w:val="15"/>
          <w:highlight w:val="none"/>
          <w:lang w:val="zh-CN" w:eastAsia="zh-CN"/>
        </w:rPr>
        <w:t>、</w:t>
      </w:r>
      <w:r>
        <w:rPr>
          <w:rFonts w:hint="eastAsia"/>
          <w:i w:val="0"/>
          <w:iCs w:val="0"/>
          <w:color w:val="auto"/>
          <w:sz w:val="21"/>
          <w:szCs w:val="15"/>
          <w:highlight w:val="none"/>
          <w:lang w:val="en-US" w:eastAsia="zh-CN"/>
        </w:rPr>
        <w:t>录音服务器、二开网管服务器、</w:t>
      </w:r>
      <w:r>
        <w:rPr>
          <w:rFonts w:hint="eastAsia"/>
          <w:i w:val="0"/>
          <w:iCs w:val="0"/>
          <w:color w:val="auto"/>
          <w:sz w:val="21"/>
          <w:szCs w:val="15"/>
          <w:highlight w:val="none"/>
          <w:lang w:val="zh-CN" w:eastAsia="zh-CN"/>
        </w:rPr>
        <w:t>工作站的CPU利用率、内存使用情况、网口实时网速、应用进程及占用CPU、内存资源、硬盘使用情况等参数，系统收到信息后进行存储、分析、显示，并对设备性能异常变化和劣化趋势进行预警或告警。</w:t>
      </w:r>
    </w:p>
    <w:p w14:paraId="74017F6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应可实现系统组网交换机的CPU、内存、板卡温度、端口状态、端口流量、端口光功率等数据参数，系统收到后进行存储、分析、显示，并对设备性能异常变化与劣化趋势进行预警或告警。</w:t>
      </w:r>
    </w:p>
    <w:p w14:paraId="7882B63D">
      <w:pPr>
        <w:pStyle w:val="7"/>
        <w:rPr>
          <w:i w:val="0"/>
          <w:iCs w:val="0"/>
          <w:color w:val="auto"/>
          <w:sz w:val="21"/>
          <w:szCs w:val="21"/>
          <w:highlight w:val="none"/>
          <w:lang w:val="en-US"/>
        </w:rPr>
      </w:pPr>
      <w:r>
        <w:rPr>
          <w:rFonts w:hint="eastAsia"/>
          <w:i w:val="0"/>
          <w:iCs w:val="0"/>
          <w:color w:val="auto"/>
          <w:sz w:val="21"/>
          <w:szCs w:val="21"/>
          <w:highlight w:val="none"/>
          <w:lang w:val="en-US"/>
        </w:rPr>
        <w:t>乘客信息系统</w:t>
      </w:r>
    </w:p>
    <w:p w14:paraId="4996382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应可实现系统中心服务器、接口服务器、存储服务器、车站服务器、</w:t>
      </w:r>
      <w:r>
        <w:rPr>
          <w:rFonts w:hint="eastAsia"/>
          <w:i w:val="0"/>
          <w:iCs w:val="0"/>
          <w:color w:val="auto"/>
          <w:sz w:val="21"/>
          <w:szCs w:val="15"/>
          <w:highlight w:val="none"/>
          <w:lang w:val="en-US" w:eastAsia="zh-CN"/>
        </w:rPr>
        <w:t>播放控制器、</w:t>
      </w:r>
      <w:r>
        <w:rPr>
          <w:rFonts w:hint="eastAsia"/>
          <w:i w:val="0"/>
          <w:iCs w:val="0"/>
          <w:color w:val="auto"/>
          <w:sz w:val="21"/>
          <w:szCs w:val="15"/>
          <w:highlight w:val="none"/>
          <w:lang w:val="zh-CN" w:eastAsia="zh-CN"/>
        </w:rPr>
        <w:t>工作站的CPU利用率、内存使用情况、网口实时网速、应用进程及占用CPU、内存资源、硬盘使用情况等参数，系统收到信息后进行存储、分析、显示，并对设备性能异常变化和劣化趋势进行预警或告警。</w:t>
      </w:r>
    </w:p>
    <w:p w14:paraId="22F5CD1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应可实现系统组网交换机的CPU、内存、板卡温度、端口状态、端口流量、端口光功率等数据参数，系统收到后进行存储、分析、显示，并对设备性能异常变化与劣化趋势进行预警或告警。</w:t>
      </w:r>
    </w:p>
    <w:p w14:paraId="4ACAEFA2">
      <w:pPr>
        <w:pStyle w:val="7"/>
        <w:rPr>
          <w:i w:val="0"/>
          <w:iCs w:val="0"/>
          <w:color w:val="auto"/>
          <w:sz w:val="21"/>
          <w:szCs w:val="21"/>
          <w:highlight w:val="none"/>
          <w:lang w:val="en-US"/>
        </w:rPr>
      </w:pPr>
      <w:r>
        <w:rPr>
          <w:rFonts w:hint="eastAsia"/>
          <w:i w:val="0"/>
          <w:iCs w:val="0"/>
          <w:color w:val="auto"/>
          <w:sz w:val="21"/>
          <w:szCs w:val="21"/>
          <w:highlight w:val="none"/>
          <w:lang w:val="en-US"/>
        </w:rPr>
        <w:t>视频监控系统</w:t>
      </w:r>
    </w:p>
    <w:p w14:paraId="6657FDB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应可实现系统</w:t>
      </w:r>
      <w:r>
        <w:rPr>
          <w:rFonts w:hint="eastAsia"/>
          <w:i w:val="0"/>
          <w:iCs w:val="0"/>
          <w:color w:val="auto"/>
          <w:sz w:val="21"/>
          <w:szCs w:val="15"/>
          <w:highlight w:val="none"/>
          <w:lang w:val="en-US" w:eastAsia="zh-CN"/>
        </w:rPr>
        <w:t>视频管理服务器</w:t>
      </w:r>
      <w:r>
        <w:rPr>
          <w:rFonts w:hint="eastAsia"/>
          <w:i w:val="0"/>
          <w:iCs w:val="0"/>
          <w:color w:val="auto"/>
          <w:sz w:val="21"/>
          <w:szCs w:val="15"/>
          <w:highlight w:val="none"/>
          <w:lang w:val="zh-CN" w:eastAsia="zh-CN"/>
        </w:rPr>
        <w:t>、</w:t>
      </w:r>
      <w:r>
        <w:rPr>
          <w:rFonts w:hint="eastAsia"/>
          <w:i w:val="0"/>
          <w:iCs w:val="0"/>
          <w:color w:val="auto"/>
          <w:sz w:val="21"/>
          <w:szCs w:val="15"/>
          <w:highlight w:val="none"/>
          <w:lang w:val="en-US" w:eastAsia="zh-CN"/>
        </w:rPr>
        <w:t>视频冗余服务器</w:t>
      </w:r>
      <w:r>
        <w:rPr>
          <w:rFonts w:hint="eastAsia"/>
          <w:i w:val="0"/>
          <w:iCs w:val="0"/>
          <w:color w:val="auto"/>
          <w:sz w:val="21"/>
          <w:szCs w:val="15"/>
          <w:highlight w:val="none"/>
          <w:lang w:val="zh-CN" w:eastAsia="zh-CN"/>
        </w:rPr>
        <w:t>、</w:t>
      </w:r>
      <w:r>
        <w:rPr>
          <w:rFonts w:hint="eastAsia"/>
          <w:i w:val="0"/>
          <w:iCs w:val="0"/>
          <w:color w:val="auto"/>
          <w:sz w:val="21"/>
          <w:szCs w:val="15"/>
          <w:highlight w:val="none"/>
          <w:lang w:val="en-US" w:eastAsia="zh-CN"/>
        </w:rPr>
        <w:t>流媒体服务器、车载转码网关服务器、</w:t>
      </w:r>
      <w:r>
        <w:rPr>
          <w:rFonts w:hint="eastAsia"/>
          <w:i w:val="0"/>
          <w:iCs w:val="0"/>
          <w:color w:val="auto"/>
          <w:sz w:val="21"/>
          <w:szCs w:val="15"/>
          <w:highlight w:val="none"/>
          <w:lang w:val="zh-CN" w:eastAsia="zh-CN"/>
        </w:rPr>
        <w:t>存储服务器、工作站的CPU利用率、内存使用情况、网口实时网速、应用进程及占用CPU、内存资源、硬盘使用情况等参数，系统收到信息后进行存储、分析、显示，并对设备性能异常变化和劣化趋势进行预警或告警。</w:t>
      </w:r>
    </w:p>
    <w:p w14:paraId="58ADCDA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应可实现系统组网交换机的CPU、内存、板卡温度、端口状态、端口流量、端口光功率等数据参数，系统收到后进行存储、分析、显示，并对设备性能异常变化与劣化趋势进行预警或告警。</w:t>
      </w:r>
    </w:p>
    <w:p w14:paraId="1EB6FD33">
      <w:pPr>
        <w:pStyle w:val="7"/>
        <w:rPr>
          <w:i w:val="0"/>
          <w:iCs w:val="0"/>
          <w:color w:val="auto"/>
          <w:sz w:val="21"/>
          <w:szCs w:val="21"/>
          <w:highlight w:val="none"/>
          <w:lang w:val="en-US"/>
        </w:rPr>
      </w:pPr>
      <w:r>
        <w:rPr>
          <w:rFonts w:hint="eastAsia"/>
          <w:i w:val="0"/>
          <w:iCs w:val="0"/>
          <w:color w:val="auto"/>
          <w:sz w:val="21"/>
          <w:szCs w:val="21"/>
          <w:highlight w:val="none"/>
          <w:lang w:val="en-US"/>
        </w:rPr>
        <w:t>广播系统</w:t>
      </w:r>
    </w:p>
    <w:p w14:paraId="6D1C413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应可实现系统</w:t>
      </w:r>
      <w:r>
        <w:rPr>
          <w:rFonts w:hint="eastAsia"/>
          <w:i w:val="0"/>
          <w:iCs w:val="0"/>
          <w:color w:val="auto"/>
          <w:sz w:val="21"/>
          <w:szCs w:val="15"/>
          <w:highlight w:val="none"/>
          <w:lang w:val="en-US" w:eastAsia="zh-CN"/>
        </w:rPr>
        <w:t>服务器、</w:t>
      </w:r>
      <w:r>
        <w:rPr>
          <w:rFonts w:hint="eastAsia"/>
          <w:i w:val="0"/>
          <w:iCs w:val="0"/>
          <w:color w:val="auto"/>
          <w:sz w:val="21"/>
          <w:szCs w:val="15"/>
          <w:highlight w:val="none"/>
          <w:lang w:val="zh-CN" w:eastAsia="zh-CN"/>
        </w:rPr>
        <w:t>工作站的CPU利用率、内存使用情况、网口实时网速、应用进程及占用CPU、内存资源、硬盘使用情况等参数，系统收到信息后进行存储、分析、显示，并对设备性能异常变化和劣化趋势进行预警或告警。</w:t>
      </w:r>
    </w:p>
    <w:p w14:paraId="6FFF34A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应可实现系统组网交换机的CPU、内存、板卡温度、端口状态、端口流量、端口光功率等数据参数，系统收到后进行存储、分析、显示，并对设备性能异常变化与劣化趋势进行预警或告警。</w:t>
      </w:r>
    </w:p>
    <w:p w14:paraId="2C939168">
      <w:pPr>
        <w:pStyle w:val="7"/>
        <w:rPr>
          <w:i w:val="0"/>
          <w:iCs w:val="0"/>
          <w:color w:val="auto"/>
          <w:sz w:val="21"/>
          <w:szCs w:val="21"/>
          <w:highlight w:val="none"/>
          <w:lang w:val="en-US"/>
        </w:rPr>
      </w:pPr>
      <w:r>
        <w:rPr>
          <w:rFonts w:hint="eastAsia"/>
          <w:i w:val="0"/>
          <w:iCs w:val="0"/>
          <w:color w:val="auto"/>
          <w:sz w:val="21"/>
          <w:szCs w:val="21"/>
          <w:highlight w:val="none"/>
          <w:lang w:val="en-US"/>
        </w:rPr>
        <w:t>专用电话系统（含集中录音）</w:t>
      </w:r>
    </w:p>
    <w:p w14:paraId="343E192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应可实现系统</w:t>
      </w:r>
      <w:r>
        <w:rPr>
          <w:rFonts w:hint="eastAsia"/>
          <w:i w:val="0"/>
          <w:iCs w:val="0"/>
          <w:color w:val="auto"/>
          <w:sz w:val="21"/>
          <w:szCs w:val="15"/>
          <w:highlight w:val="none"/>
          <w:lang w:val="en-US" w:eastAsia="zh-CN"/>
        </w:rPr>
        <w:t>网管服务器</w:t>
      </w:r>
      <w:r>
        <w:rPr>
          <w:rFonts w:hint="eastAsia"/>
          <w:i w:val="0"/>
          <w:iCs w:val="0"/>
          <w:color w:val="auto"/>
          <w:sz w:val="21"/>
          <w:szCs w:val="15"/>
          <w:highlight w:val="none"/>
          <w:lang w:val="zh-CN" w:eastAsia="zh-CN"/>
        </w:rPr>
        <w:t>、</w:t>
      </w:r>
      <w:r>
        <w:rPr>
          <w:rFonts w:hint="eastAsia"/>
          <w:i w:val="0"/>
          <w:iCs w:val="0"/>
          <w:color w:val="auto"/>
          <w:sz w:val="21"/>
          <w:szCs w:val="15"/>
          <w:highlight w:val="none"/>
          <w:lang w:val="en-US" w:eastAsia="zh-CN"/>
        </w:rPr>
        <w:t>录音服务器</w:t>
      </w:r>
      <w:r>
        <w:rPr>
          <w:rFonts w:hint="eastAsia"/>
          <w:i w:val="0"/>
          <w:iCs w:val="0"/>
          <w:color w:val="auto"/>
          <w:sz w:val="21"/>
          <w:szCs w:val="15"/>
          <w:highlight w:val="none"/>
          <w:lang w:val="zh-CN" w:eastAsia="zh-CN"/>
        </w:rPr>
        <w:t>、</w:t>
      </w:r>
      <w:r>
        <w:rPr>
          <w:rFonts w:hint="eastAsia"/>
          <w:i w:val="0"/>
          <w:iCs w:val="0"/>
          <w:color w:val="auto"/>
          <w:sz w:val="21"/>
          <w:szCs w:val="15"/>
          <w:highlight w:val="none"/>
          <w:lang w:val="en-US" w:eastAsia="zh-CN"/>
        </w:rPr>
        <w:t>录音仪、</w:t>
      </w:r>
      <w:r>
        <w:rPr>
          <w:rFonts w:hint="eastAsia"/>
          <w:i w:val="0"/>
          <w:iCs w:val="0"/>
          <w:color w:val="auto"/>
          <w:sz w:val="21"/>
          <w:szCs w:val="15"/>
          <w:highlight w:val="none"/>
          <w:lang w:val="zh-CN" w:eastAsia="zh-CN"/>
        </w:rPr>
        <w:t>工作站的CPU利用率、内存使用情况、网口实时网速、应用进程及占用CPU、内存资源、硬盘使用情况等参数，系统收到信息后进行存储、分析、显示，并对设备性能异常变化和劣化趋势进行预警或告警。</w:t>
      </w:r>
    </w:p>
    <w:p w14:paraId="4D58976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应可实现系统组网交换机的CPU、内存、板卡温度、端口状态、端口流量、端口光功率等数据参数，系统收到后进行存储、分析、显示，并对设备性能异常变化与劣化趋势进行预警或告警。</w:t>
      </w:r>
    </w:p>
    <w:p w14:paraId="5AB461BE">
      <w:pPr>
        <w:pStyle w:val="7"/>
        <w:rPr>
          <w:i w:val="0"/>
          <w:iCs w:val="0"/>
          <w:color w:val="auto"/>
          <w:sz w:val="21"/>
          <w:szCs w:val="21"/>
          <w:highlight w:val="none"/>
          <w:lang w:val="en-US"/>
        </w:rPr>
      </w:pPr>
      <w:r>
        <w:rPr>
          <w:rFonts w:hint="eastAsia"/>
          <w:i w:val="0"/>
          <w:iCs w:val="0"/>
          <w:color w:val="auto"/>
          <w:sz w:val="21"/>
          <w:szCs w:val="21"/>
          <w:highlight w:val="none"/>
          <w:lang w:val="en-US"/>
        </w:rPr>
        <w:t>公务电话系统</w:t>
      </w:r>
    </w:p>
    <w:p w14:paraId="5516996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应可实现系统</w:t>
      </w:r>
      <w:r>
        <w:rPr>
          <w:rFonts w:hint="eastAsia"/>
          <w:i w:val="0"/>
          <w:iCs w:val="0"/>
          <w:color w:val="auto"/>
          <w:sz w:val="21"/>
          <w:szCs w:val="15"/>
          <w:highlight w:val="none"/>
          <w:lang w:val="en-US" w:eastAsia="zh-CN"/>
        </w:rPr>
        <w:t>网管服务器</w:t>
      </w:r>
      <w:r>
        <w:rPr>
          <w:rFonts w:hint="eastAsia"/>
          <w:i w:val="0"/>
          <w:iCs w:val="0"/>
          <w:color w:val="auto"/>
          <w:sz w:val="21"/>
          <w:szCs w:val="15"/>
          <w:highlight w:val="none"/>
          <w:lang w:val="zh-CN" w:eastAsia="zh-CN"/>
        </w:rPr>
        <w:t>、工作站的CPU利用率、内存使用情况、网口实时网速、应用进程及占用CPU、内存资源、硬盘使用情况等参数，系统收到信息后进行存储、分析、显示，并对设备性能异常变化和劣化趋势进行预警或告警。</w:t>
      </w:r>
    </w:p>
    <w:p w14:paraId="5F06F28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应可实现系统组网交换机的CPU、内存、板卡温度、端口状态、端口流量、端口光功率等数据参数，系统收到后进行存储、分析、显示，并对设备性能异常变化与劣化趋势进行预警或告警。</w:t>
      </w:r>
    </w:p>
    <w:p w14:paraId="28933282">
      <w:pPr>
        <w:pStyle w:val="7"/>
        <w:rPr>
          <w:i w:val="0"/>
          <w:iCs w:val="0"/>
          <w:color w:val="auto"/>
          <w:sz w:val="21"/>
          <w:szCs w:val="21"/>
          <w:highlight w:val="none"/>
          <w:lang w:val="en-US"/>
        </w:rPr>
      </w:pPr>
      <w:r>
        <w:rPr>
          <w:rFonts w:hint="eastAsia"/>
          <w:i w:val="0"/>
          <w:iCs w:val="0"/>
          <w:color w:val="auto"/>
          <w:sz w:val="21"/>
          <w:szCs w:val="21"/>
          <w:highlight w:val="none"/>
          <w:lang w:val="en-US"/>
        </w:rPr>
        <w:t>其他</w:t>
      </w:r>
    </w:p>
    <w:p w14:paraId="56D12BE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投标人应根据通信各子系统的自身设备情况，对故障率相对较高或故障影响较大的设备，进行主要参数采集，以便通信智能运维系统进行相应智能分析。</w:t>
      </w:r>
    </w:p>
    <w:p w14:paraId="56D12BEF">
      <w:pPr>
        <w:pStyle w:val="6"/>
        <w:ind w:left="0"/>
        <w:rPr>
          <w:i w:val="0"/>
          <w:iCs w:val="0"/>
          <w:color w:val="auto"/>
          <w:sz w:val="21"/>
          <w:szCs w:val="21"/>
          <w:highlight w:val="none"/>
        </w:rPr>
      </w:pPr>
      <w:r>
        <w:rPr>
          <w:rFonts w:hint="eastAsia"/>
          <w:i w:val="0"/>
          <w:iCs w:val="0"/>
          <w:color w:val="auto"/>
          <w:sz w:val="21"/>
          <w:szCs w:val="21"/>
          <w:highlight w:val="none"/>
        </w:rPr>
        <w:t>数据分析</w:t>
      </w:r>
    </w:p>
    <w:p w14:paraId="1302785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数据分析功能作为故障智能诊断和定位以及预警分析的核心系统,通过采集通信各子系统的数据， 对设备进行状态预警、运行趋势预测、异常检测/故障诊断、统计分析，主要包含不限于以下分析功能点：</w:t>
      </w:r>
    </w:p>
    <w:p w14:paraId="1EBB0BD9">
      <w:pPr>
        <w:pStyle w:val="7"/>
        <w:rPr>
          <w:i w:val="0"/>
          <w:iCs w:val="0"/>
          <w:color w:val="auto"/>
          <w:szCs w:val="21"/>
          <w:highlight w:val="none"/>
          <w:lang w:val="en-US"/>
        </w:rPr>
      </w:pPr>
      <w:r>
        <w:rPr>
          <w:i w:val="0"/>
          <w:iCs w:val="0"/>
          <w:color w:val="auto"/>
          <w:sz w:val="21"/>
          <w:szCs w:val="24"/>
          <w:highlight w:val="none"/>
        </w:rPr>
        <w:t>设备状态预警</w:t>
      </w:r>
    </w:p>
    <w:p w14:paraId="08C2434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采集关键设备的实时状态数据，包括服务器/工作站的CPU利用率、内存使用率、网口实时网速、硬盘占用率、应用进程状态，以及交换机的端口实时速率、CPU利用率、内存使用率、板卡温度、端口丢包率和光口功率等，结合预设的阈值规则和机器学习模型对资源过载、网络瓶颈、硬件异常等现象进行预警。当某项指标超出预设范围时，可触发不同等级的预警，提示运维人员及时关注相关设备，避免设备状态进一步劣化。考虑到不同设备运行负载、部署环境和业务类型存在差异，预警模型需考虑结合历史数据的无监督模型自适应学习机制，针对每一台设备建立其运行行为画像，动态确定其专属阈值。</w:t>
      </w:r>
    </w:p>
    <w:p w14:paraId="1F9C8EAE">
      <w:pPr>
        <w:pStyle w:val="7"/>
        <w:rPr>
          <w:i w:val="0"/>
          <w:iCs w:val="0"/>
          <w:color w:val="auto"/>
          <w:sz w:val="21"/>
          <w:szCs w:val="21"/>
          <w:highlight w:val="none"/>
        </w:rPr>
      </w:pPr>
      <w:r>
        <w:rPr>
          <w:rFonts w:hint="eastAsia" w:ascii="Times New Roman" w:hAnsi="Times New Roman"/>
          <w:bCs w:val="0"/>
          <w:i w:val="0"/>
          <w:iCs w:val="0"/>
          <w:color w:val="auto"/>
          <w:sz w:val="21"/>
          <w:szCs w:val="15"/>
          <w:highlight w:val="none"/>
          <w:lang w:val="en-US"/>
        </w:rPr>
        <w:t>设备运行趋势预测</w:t>
      </w:r>
    </w:p>
    <w:p w14:paraId="541A7B6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对关键指标的历史数据进行分析，构建基于时间序列的预测模型，如深度学习模型，对关键指标进行短期与中长期趋势预测。通过滑动窗口将历史时间序列分割成子序列，从每个子序列中提取历史行为特征，训练预测模型。在应用时，模型分析过去一段时间的时间序列数据，预测未来数分钟或数个小时的设备性能变化趋势，从而支持容量规划和提前调度。预测结果以趋势曲线及置信区间的形式呈现，可实现对设备性能退化的预测。为满足不同业务场景对预测时长的差异化需求，系统界面支持灵活配置预测时间范围，用户可根据实际运维要求选择不同的预测长度（如10分钟、1小时、6小时等），从而实现对短期波动、周期性趋势或中长期设备性能退化的预测。</w:t>
      </w:r>
    </w:p>
    <w:p w14:paraId="16FD2897">
      <w:pPr>
        <w:pStyle w:val="7"/>
        <w:rPr>
          <w:rFonts w:ascii="Times New Roman" w:hAnsi="Times New Roman"/>
          <w:bCs w:val="0"/>
          <w:i w:val="0"/>
          <w:iCs w:val="0"/>
          <w:color w:val="auto"/>
          <w:sz w:val="21"/>
          <w:szCs w:val="15"/>
          <w:highlight w:val="none"/>
          <w:lang w:val="en-US"/>
        </w:rPr>
      </w:pPr>
      <w:r>
        <w:rPr>
          <w:rFonts w:ascii="Times New Roman" w:hAnsi="Times New Roman"/>
          <w:bCs w:val="0"/>
          <w:i w:val="0"/>
          <w:iCs w:val="0"/>
          <w:color w:val="auto"/>
          <w:sz w:val="21"/>
          <w:szCs w:val="15"/>
          <w:highlight w:val="none"/>
          <w:lang w:val="en-US"/>
        </w:rPr>
        <w:t>异常检测与故障诊断</w:t>
      </w:r>
    </w:p>
    <w:p w14:paraId="090ADA3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准确识别并定位设备各模块的运行状态，提升维修效率与降低故障影响。在初期缺少历史故障样本的阶段，采用无监督异常检测的方法，学习正常样本在特征空间的分布规律，在应用过程中，应可通过计算数据在特征空间中的偏离程度或重构误差，识别潜在异常。随着系统运行时间的增长和数据积累，构建设备多类型故障的知识库，并通过有监督的方式训练故障诊断模型，系统应可在故障诊断阶段，对当前数据进行分析，不仅能够判断是否存在故障，还可进一步定位问题发生的具体模块，从而辅助运维人员精准处理问题，减少排查时间。异常检测的准确率不低于92%，故障诊断的准确率不低于95%。</w:t>
      </w:r>
    </w:p>
    <w:p w14:paraId="0062FE2D">
      <w:pPr>
        <w:pStyle w:val="7"/>
        <w:rPr>
          <w:rFonts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数据统计分析功能</w:t>
      </w:r>
    </w:p>
    <w:p w14:paraId="70BDB7A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zh-CN" w:eastAsia="zh-CN"/>
        </w:rPr>
        <w:t>系统</w:t>
      </w:r>
      <w:r>
        <w:rPr>
          <w:rFonts w:hint="eastAsia"/>
          <w:i w:val="0"/>
          <w:iCs w:val="0"/>
          <w:color w:val="auto"/>
          <w:sz w:val="21"/>
          <w:szCs w:val="15"/>
          <w:highlight w:val="none"/>
          <w:lang w:val="en-US" w:eastAsia="zh-CN"/>
        </w:rPr>
        <w:t>应</w:t>
      </w:r>
      <w:r>
        <w:rPr>
          <w:rFonts w:hint="eastAsia"/>
          <w:i w:val="0"/>
          <w:iCs w:val="0"/>
          <w:color w:val="auto"/>
          <w:sz w:val="21"/>
          <w:szCs w:val="15"/>
          <w:highlight w:val="none"/>
          <w:lang w:val="zh-CN" w:eastAsia="zh-CN"/>
        </w:rPr>
        <w:t>提供完善的数据统计分析功能，实现对设备运行状态、预警信息、故障记录的多维度、多角度分析与对比。对各类设备在不同时间段内触发的预警和告警数量进行统计与趋势分析，同时支持按设备类型、站点、预警等级等维度进行分类统计，形成占比分布图。其次，对同一设备的关键指标进行环比与同比分析，识别长期性能退化趋势。此外，对每次故障发生时间、故障类型及维修时间进行统计，生成设备故障频率排行、平均维修时间统计、维修响应时效趋势图。通过多维统计与趋势分析，为运维优化提供数据支撑，提高运维的科学性。</w:t>
      </w:r>
    </w:p>
    <w:p w14:paraId="393C2B96">
      <w:pPr>
        <w:pStyle w:val="7"/>
        <w:rPr>
          <w:rFonts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网络分析功能</w:t>
      </w:r>
    </w:p>
    <w:p w14:paraId="5460E32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系统可</w:t>
      </w:r>
      <w:r>
        <w:rPr>
          <w:rFonts w:hint="eastAsia"/>
          <w:i w:val="0"/>
          <w:iCs w:val="0"/>
          <w:color w:val="auto"/>
          <w:sz w:val="21"/>
          <w:szCs w:val="15"/>
          <w:highlight w:val="none"/>
          <w:lang w:val="en-US" w:eastAsia="zh-CN"/>
        </w:rPr>
        <w:t>根据</w:t>
      </w:r>
      <w:r>
        <w:rPr>
          <w:rFonts w:hint="eastAsia"/>
          <w:i w:val="0"/>
          <w:iCs w:val="0"/>
          <w:color w:val="auto"/>
          <w:sz w:val="21"/>
          <w:szCs w:val="15"/>
          <w:highlight w:val="none"/>
          <w:lang w:val="zh-CN" w:eastAsia="zh-CN"/>
        </w:rPr>
        <w:t>对通信各子系统的交换机的</w:t>
      </w:r>
      <w:r>
        <w:rPr>
          <w:rFonts w:hint="eastAsia"/>
          <w:i w:val="0"/>
          <w:iCs w:val="0"/>
          <w:color w:val="auto"/>
          <w:sz w:val="21"/>
          <w:szCs w:val="15"/>
          <w:highlight w:val="none"/>
          <w:lang w:val="en-US" w:eastAsia="zh-CN"/>
        </w:rPr>
        <w:t>数据采集</w:t>
      </w:r>
      <w:r>
        <w:rPr>
          <w:rFonts w:hint="eastAsia"/>
          <w:i w:val="0"/>
          <w:iCs w:val="0"/>
          <w:color w:val="auto"/>
          <w:sz w:val="21"/>
          <w:szCs w:val="15"/>
          <w:highlight w:val="none"/>
          <w:lang w:val="zh-CN" w:eastAsia="zh-CN"/>
        </w:rPr>
        <w:t>，形成整体网络健康状态的自动检测与分析，对网络节点流量、丢包率、拥塞情况、光功率状态分析和诊断，实现对系统各网络节点的预警及故障定位，如视频监控系统某车站交换机端口出现流量异常后，导致站点视频监控网络延迟、丢包影响系统业务功能，系统因能对故障进行定位并给出处理建议；</w:t>
      </w:r>
    </w:p>
    <w:p w14:paraId="23F6F17D">
      <w:pPr>
        <w:pStyle w:val="7"/>
        <w:rPr>
          <w:rFonts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健康度分析功能</w:t>
      </w:r>
    </w:p>
    <w:p w14:paraId="539B033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系统应具备通信各子系统关键设备的健康评估功能，通过结合关键设备的使用年限、设备故障情况、设备性能状态等动态数据，实现对关键设备的健康度评价方式。</w:t>
      </w:r>
    </w:p>
    <w:p w14:paraId="7CD7B87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健康分析功能应具备设备状态维护决策支持及建议功能，通过设备健康分析报告提供：</w:t>
      </w:r>
    </w:p>
    <w:p w14:paraId="7ACC726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建议减少检修频次设备个数，分值高于设定分值的设备列入“建议减少检修频次设备”；</w:t>
      </w:r>
    </w:p>
    <w:p w14:paraId="104D32F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建议增加检修频次设备个数，分值低于设定分值的设备列入“建议增加检修频次设备”；</w:t>
      </w:r>
    </w:p>
    <w:p w14:paraId="414A909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根据健康评估结果实现各健康度（优、良、中、差）下的维修策略功能。</w:t>
      </w:r>
    </w:p>
    <w:p w14:paraId="1E9CE63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设备健康劣化时，提升实时监视程度及跟踪设备处理过程的功能。</w:t>
      </w:r>
    </w:p>
    <w:p w14:paraId="7CA99A2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设备失效时，跟踪设备处理过程的功能。</w:t>
      </w:r>
    </w:p>
    <w:p w14:paraId="118AC0C1">
      <w:pPr>
        <w:pStyle w:val="7"/>
        <w:rPr>
          <w:rFonts w:ascii="Times New Roman" w:hAnsi="Times New Roman"/>
          <w:bCs w:val="0"/>
          <w:i w:val="0"/>
          <w:iCs w:val="0"/>
          <w:color w:val="auto"/>
          <w:sz w:val="21"/>
          <w:szCs w:val="15"/>
          <w:highlight w:val="none"/>
          <w:lang w:val="en-US"/>
        </w:rPr>
      </w:pPr>
      <w:r>
        <w:rPr>
          <w:rFonts w:ascii="Times New Roman" w:hAnsi="Times New Roman"/>
          <w:bCs w:val="0"/>
          <w:i w:val="0"/>
          <w:iCs w:val="0"/>
          <w:color w:val="auto"/>
          <w:sz w:val="21"/>
          <w:szCs w:val="15"/>
          <w:highlight w:val="none"/>
          <w:lang w:val="en-US"/>
        </w:rPr>
        <w:t>设备质量评估功能</w:t>
      </w:r>
    </w:p>
    <w:p w14:paraId="13115AC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系统应具备对设备报警进行分析，应能形成设备质量评价结果，应可以对比查看各系统设备的质量评价结果。</w:t>
      </w:r>
    </w:p>
    <w:p w14:paraId="1BD4FDC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能通过对设备及主题应用环境下的多设备的关联性分析，抽取对设备健康损耗的健康度因子及关联因子，实现对设备的健康评分，并建立适用于不同设备类型的健康评价体系，形成设施设备服役状态的健康指数评价。</w:t>
      </w:r>
    </w:p>
    <w:p w14:paraId="55199C6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设备质量健康评价结果应直接反应通信设备当前的健康程度，当健康程度超过阈值设定时，即代表该通信设备需要进行维护关注。</w:t>
      </w:r>
    </w:p>
    <w:p w14:paraId="5293049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应能对以下设备进行质量评价：</w:t>
      </w:r>
    </w:p>
    <w:p w14:paraId="6D23425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通信设备质量评分报告、告警数趋势图、车站告警数对比图、分系统车站告警数对比图等。</w:t>
      </w:r>
    </w:p>
    <w:p w14:paraId="7CB59DC8">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健康度变化趋势。横坐标为日期，纵坐标为健康度值。展示设备健康度值的变化趋势；</w:t>
      </w:r>
    </w:p>
    <w:p w14:paraId="5E73044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 xml:space="preserve">故障分布。在故障分布区域中，页面主要以环状图和表格形式展示设备发生故障的次数和占比； </w:t>
      </w:r>
    </w:p>
    <w:p w14:paraId="7D77228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故障列表。展示设备发生故障记录信息，按照发生故障时间从近到远排序。列表有显示故障的名称，故障等级，故障原因，故障发生时间以及恢复时间，可以根据分页查询更远的时间发生的故障信息；</w:t>
      </w:r>
    </w:p>
    <w:p w14:paraId="5E748AF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设备评分。评分详情主要展示通信设备的告警、故障等扣分流水记录。根据扣分时间从近到远排序。列表记录分别展示设备的健康度，加减分情况，加减分原因以及加减分发生时间。有分页展示，可以查询更远的时间段扣分情况。</w:t>
      </w:r>
    </w:p>
    <w:p w14:paraId="3804956D">
      <w:pPr>
        <w:pStyle w:val="7"/>
        <w:rPr>
          <w:rFonts w:ascii="Times New Roman" w:hAnsi="Times New Roman"/>
          <w:bCs w:val="0"/>
          <w:i w:val="0"/>
          <w:iCs w:val="0"/>
          <w:color w:val="auto"/>
          <w:sz w:val="21"/>
          <w:szCs w:val="15"/>
          <w:highlight w:val="none"/>
          <w:lang w:val="en-US"/>
        </w:rPr>
      </w:pPr>
      <w:r>
        <w:rPr>
          <w:rFonts w:ascii="Times New Roman" w:hAnsi="Times New Roman"/>
          <w:bCs w:val="0"/>
          <w:i w:val="0"/>
          <w:iCs w:val="0"/>
          <w:color w:val="auto"/>
          <w:sz w:val="21"/>
          <w:szCs w:val="15"/>
          <w:highlight w:val="none"/>
          <w:lang w:val="en-US"/>
        </w:rPr>
        <w:t>维护管理功能</w:t>
      </w:r>
    </w:p>
    <w:p w14:paraId="22E5531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系统应提供运营生产设备的台账管理功能，系统界面可从线路号、站点、系统、所属机柜、设备名称、设备型号等维度展示信息，</w:t>
      </w:r>
      <w:r>
        <w:rPr>
          <w:rFonts w:hint="eastAsia"/>
          <w:i w:val="0"/>
          <w:iCs w:val="0"/>
          <w:color w:val="auto"/>
          <w:sz w:val="21"/>
          <w:szCs w:val="15"/>
          <w:highlight w:val="none"/>
          <w:lang w:val="en-US" w:eastAsia="zh-CN"/>
        </w:rPr>
        <w:t>并可提供交换机端口的使能配置功能，该功能通过</w:t>
      </w:r>
      <w:r>
        <w:rPr>
          <w:rFonts w:hint="eastAsia"/>
          <w:i w:val="0"/>
          <w:iCs w:val="0"/>
          <w:color w:val="auto"/>
          <w:sz w:val="21"/>
          <w:szCs w:val="15"/>
          <w:highlight w:val="none"/>
          <w:lang w:val="zh-CN" w:eastAsia="zh-CN"/>
        </w:rPr>
        <w:t>特殊账户权限在线编辑方式维护设备台账信息；并提供增、删、改、查等功能。</w:t>
      </w:r>
    </w:p>
    <w:p w14:paraId="52B045D5">
      <w:pPr>
        <w:pStyle w:val="7"/>
        <w:rPr>
          <w:rFonts w:ascii="Times New Roman" w:hAnsi="Times New Roman"/>
          <w:bCs w:val="0"/>
          <w:i w:val="0"/>
          <w:iCs w:val="0"/>
          <w:color w:val="auto"/>
          <w:sz w:val="21"/>
          <w:szCs w:val="15"/>
          <w:highlight w:val="none"/>
          <w:lang w:val="en-US"/>
        </w:rPr>
      </w:pPr>
      <w:r>
        <w:rPr>
          <w:rFonts w:ascii="Times New Roman" w:hAnsi="Times New Roman"/>
          <w:bCs w:val="0"/>
          <w:i w:val="0"/>
          <w:iCs w:val="0"/>
          <w:color w:val="auto"/>
          <w:sz w:val="21"/>
          <w:szCs w:val="15"/>
          <w:highlight w:val="none"/>
          <w:lang w:val="en-US"/>
        </w:rPr>
        <w:t>运行报告功能</w:t>
      </w:r>
    </w:p>
    <w:p w14:paraId="56D12BF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zh-CN" w:eastAsia="zh-CN"/>
        </w:rPr>
        <w:t>系统应提供基于统计分析数据的运行报告的功能，自动生成</w:t>
      </w:r>
      <w:r>
        <w:rPr>
          <w:rFonts w:hint="eastAsia"/>
          <w:i w:val="0"/>
          <w:iCs w:val="0"/>
          <w:color w:val="auto"/>
          <w:sz w:val="21"/>
          <w:szCs w:val="15"/>
          <w:highlight w:val="none"/>
          <w:lang w:val="en-US" w:eastAsia="zh-CN"/>
        </w:rPr>
        <w:t>各系统服务器、交换机运行状态的</w:t>
      </w:r>
      <w:r>
        <w:rPr>
          <w:rFonts w:hint="eastAsia"/>
          <w:i w:val="0"/>
          <w:iCs w:val="0"/>
          <w:color w:val="auto"/>
          <w:sz w:val="21"/>
          <w:szCs w:val="15"/>
          <w:highlight w:val="none"/>
          <w:lang w:val="zh-CN" w:eastAsia="zh-CN"/>
        </w:rPr>
        <w:t>日报、月报、季报、年报等，并提供统计分析结果的辅助决策建议内容；并可提供用户自定义生成报告功能</w:t>
      </w:r>
      <w:r>
        <w:rPr>
          <w:rFonts w:hint="eastAsia"/>
          <w:i w:val="0"/>
          <w:iCs w:val="0"/>
          <w:color w:val="auto"/>
          <w:sz w:val="21"/>
          <w:szCs w:val="15"/>
          <w:highlight w:val="none"/>
          <w:lang w:val="en-US" w:eastAsia="zh-CN"/>
        </w:rPr>
        <w:t>。</w:t>
      </w:r>
    </w:p>
    <w:p w14:paraId="12620468">
      <w:pPr>
        <w:rPr>
          <w:rFonts w:hint="eastAsia"/>
          <w:highlight w:val="none"/>
          <w:lang w:val="en-US" w:eastAsia="zh-CN"/>
        </w:rPr>
      </w:pPr>
    </w:p>
    <w:p w14:paraId="56D12BF6">
      <w:pPr>
        <w:pStyle w:val="5"/>
        <w:ind w:left="0"/>
        <w:rPr>
          <w:i w:val="0"/>
          <w:iCs w:val="0"/>
          <w:color w:val="auto"/>
          <w:sz w:val="22"/>
          <w:szCs w:val="22"/>
          <w:highlight w:val="none"/>
        </w:rPr>
      </w:pPr>
      <w:bookmarkStart w:id="155" w:name="_Toc196783841"/>
      <w:bookmarkEnd w:id="155"/>
      <w:bookmarkStart w:id="156" w:name="_Toc29840"/>
      <w:r>
        <w:rPr>
          <w:rFonts w:hint="eastAsia"/>
          <w:i w:val="0"/>
          <w:iCs w:val="0"/>
          <w:color w:val="auto"/>
          <w:sz w:val="22"/>
          <w:szCs w:val="22"/>
          <w:highlight w:val="none"/>
        </w:rPr>
        <w:t>系统接口</w:t>
      </w:r>
      <w:bookmarkEnd w:id="156"/>
    </w:p>
    <w:p w14:paraId="56D12BF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通信智能运维通过部署自采集软件实现对主机和数通类设备信息采集，无外部系统接口。</w:t>
      </w:r>
    </w:p>
    <w:p w14:paraId="56D12BF8">
      <w:pPr>
        <w:pStyle w:val="4"/>
        <w:rPr>
          <w:i w:val="0"/>
          <w:iCs w:val="0"/>
          <w:color w:val="auto"/>
          <w:sz w:val="24"/>
          <w:szCs w:val="21"/>
          <w:highlight w:val="none"/>
        </w:rPr>
      </w:pPr>
      <w:bookmarkStart w:id="157" w:name="bookmark125"/>
      <w:bookmarkEnd w:id="157"/>
      <w:bookmarkStart w:id="158" w:name="bookmark124"/>
      <w:bookmarkEnd w:id="158"/>
      <w:bookmarkStart w:id="159" w:name="_Toc19122"/>
      <w:r>
        <w:rPr>
          <w:rFonts w:hint="eastAsia"/>
          <w:i w:val="0"/>
          <w:iCs w:val="0"/>
          <w:color w:val="auto"/>
          <w:sz w:val="24"/>
          <w:szCs w:val="21"/>
          <w:highlight w:val="none"/>
        </w:rPr>
        <w:t>AFC智能运维</w:t>
      </w:r>
      <w:bookmarkEnd w:id="159"/>
    </w:p>
    <w:p w14:paraId="56D12BFA">
      <w:pPr>
        <w:pStyle w:val="5"/>
        <w:ind w:left="0"/>
        <w:rPr>
          <w:i w:val="0"/>
          <w:iCs w:val="0"/>
          <w:color w:val="auto"/>
          <w:sz w:val="22"/>
          <w:szCs w:val="22"/>
          <w:highlight w:val="none"/>
        </w:rPr>
      </w:pPr>
      <w:bookmarkStart w:id="160" w:name="bookmark126"/>
      <w:bookmarkEnd w:id="160"/>
      <w:bookmarkStart w:id="161" w:name="_Toc19147"/>
      <w:r>
        <w:rPr>
          <w:rFonts w:hint="eastAsia"/>
          <w:i w:val="0"/>
          <w:iCs w:val="0"/>
          <w:color w:val="auto"/>
          <w:sz w:val="22"/>
          <w:szCs w:val="22"/>
          <w:highlight w:val="none"/>
        </w:rPr>
        <w:t>系统功能</w:t>
      </w:r>
      <w:bookmarkEnd w:id="161"/>
    </w:p>
    <w:p w14:paraId="56D12BFB">
      <w:pPr>
        <w:pStyle w:val="6"/>
        <w:ind w:left="0"/>
        <w:rPr>
          <w:i w:val="0"/>
          <w:iCs w:val="0"/>
          <w:color w:val="auto"/>
          <w:sz w:val="21"/>
          <w:szCs w:val="21"/>
          <w:highlight w:val="none"/>
        </w:rPr>
      </w:pPr>
      <w:r>
        <w:rPr>
          <w:rFonts w:hint="eastAsia"/>
          <w:i w:val="0"/>
          <w:iCs w:val="0"/>
          <w:color w:val="auto"/>
          <w:sz w:val="21"/>
          <w:szCs w:val="21"/>
          <w:highlight w:val="none"/>
        </w:rPr>
        <w:t>设备状态监测</w:t>
      </w:r>
    </w:p>
    <w:p w14:paraId="56D12BF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AFC智能运维平台应可监控系统设备运行时的各项指标，包括设备监控、硬件监控、应用监控、日志监控、其他应用监控等，并将监控情况实时在监控界面更新，如有异常，实现声、光、信息通知等告警方式提醒相关人员，并建立相关故障处理知识库，出现故障通过大数据分析将相应处理方法提醒相关人员。</w:t>
      </w:r>
    </w:p>
    <w:p w14:paraId="56D12BF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应支持通过MQTT、SNMP、HTTP等通用协议制式，实时持续采集AFC状态监测数据，包含线路、车站、设备、设备状态、状态发生时间，其中设备可包含TVM、AGM等，不同设备状态可包含模块状态、总控状态、卡币故障、打印机故障、闸机动作次数等。</w:t>
      </w:r>
    </w:p>
    <w:p w14:paraId="0D037201">
      <w:pPr>
        <w:pStyle w:val="7"/>
        <w:rPr>
          <w:rFonts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车站服务器</w:t>
      </w:r>
    </w:p>
    <w:p w14:paraId="583952A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服务器的工作状态、服务器与上位系统通信状态、CPU利用率、内存利用率、磁盘空间使用率、业务进程数量及状态；系统收到后进行存储、分析、显示，并对设备性能异常变化与劣化趋势进行预警或告警。</w:t>
      </w:r>
    </w:p>
    <w:p w14:paraId="2A25872C">
      <w:pPr>
        <w:pStyle w:val="7"/>
        <w:rPr>
          <w:rFonts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车站交换机</w:t>
      </w:r>
    </w:p>
    <w:p w14:paraId="7CBF720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应可实现系统组网交换机的CPU、内存、板卡温度、端口状态、端口流量、端口光功率等数据参数，系统收到后进行存储、分析、显示，并对设备性能异常变化与劣化趋势进行预警或告警。</w:t>
      </w:r>
    </w:p>
    <w:p w14:paraId="57868EF2">
      <w:pPr>
        <w:pStyle w:val="7"/>
        <w:rPr>
          <w:rFonts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自动售票机</w:t>
      </w:r>
    </w:p>
    <w:p w14:paraId="6026C56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应可实现设备的交易流水号、纸币处理模块、纸币找零模块、硬币处理模块动作次数、发卡模块动作次数的采集，并对设备的动作次数进行存储与分析。</w:t>
      </w:r>
    </w:p>
    <w:p w14:paraId="4A71264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应可实现设备读写器、发票模块、发票模块电磁铁、发票模块卡票、机票箱盖板、硬币回收箱翻板、硬币补充箱、纸币找零模块等部件级的工作状态进行监测，并对设备的状态进行存储与分析。</w:t>
      </w:r>
    </w:p>
    <w:p w14:paraId="71D5CA9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应可实现设备各部件级的故障状态进行监测。</w:t>
      </w:r>
    </w:p>
    <w:p w14:paraId="31CA7639">
      <w:pPr>
        <w:pStyle w:val="7"/>
        <w:rPr>
          <w:rFonts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自动检票机</w:t>
      </w:r>
    </w:p>
    <w:p w14:paraId="3F26415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设备通道对射检测传感器、通道漫反射检测传感器、投票口开关、方向指示器、通行状态灯、闸门、读写器、扇门动作次数、票卡回收模块动作次数、车票传输通道等部件级的工作状态进行监测，并对设备的状态进行存储与分析。</w:t>
      </w:r>
    </w:p>
    <w:p w14:paraId="39A5C89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应可实现设备各部件级的故障状态进行监测。</w:t>
      </w:r>
    </w:p>
    <w:p w14:paraId="280D8A8C">
      <w:pPr>
        <w:pStyle w:val="7"/>
        <w:rPr>
          <w:rFonts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eastAsia="zh-CN"/>
        </w:rPr>
        <w:t>智能客服中心</w:t>
      </w:r>
    </w:p>
    <w:p w14:paraId="2A88E51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应可实现ISM主机设备的CPU利用率、内存利用率、磁盘空间使用率、业务进程数量及状态；系统收到后进行存储、分析、显示，并对设备性能异常变化与劣化趋势进行预警或告警。</w:t>
      </w:r>
    </w:p>
    <w:p w14:paraId="60C98117">
      <w:pPr>
        <w:pStyle w:val="142"/>
        <w:ind w:firstLine="420"/>
        <w:rPr>
          <w:rFonts w:hint="default"/>
          <w:i w:val="0"/>
          <w:iCs w:val="0"/>
          <w:color w:val="auto"/>
          <w:sz w:val="21"/>
          <w:szCs w:val="15"/>
          <w:highlight w:val="none"/>
          <w:lang w:val="en-US" w:eastAsia="zh-CN"/>
        </w:rPr>
      </w:pPr>
      <w:r>
        <w:rPr>
          <w:rFonts w:hint="eastAsia"/>
          <w:i w:val="0"/>
          <w:iCs w:val="0"/>
          <w:color w:val="auto"/>
          <w:sz w:val="21"/>
          <w:szCs w:val="15"/>
          <w:highlight w:val="none"/>
          <w:lang w:val="en-US" w:eastAsia="zh-CN"/>
        </w:rPr>
        <w:t>应可实现设备连接状态、设备故障状态、票卡发行模块总体状态、读写器总体状态、打印机总体状态、时钟同步状态、数据存储状态、电源状态进行监测，并对故障进行统计，分析诊断其异常状态；根据设备使用率及故障次数等信息，提出售票机启停、设置、使用建议。</w:t>
      </w:r>
    </w:p>
    <w:p w14:paraId="16D383D8">
      <w:pPr>
        <w:pStyle w:val="6"/>
        <w:ind w:left="0"/>
        <w:rPr>
          <w:rFonts w:hint="eastAsia"/>
          <w:i w:val="0"/>
          <w:iCs w:val="0"/>
          <w:color w:val="auto"/>
          <w:sz w:val="21"/>
          <w:szCs w:val="21"/>
          <w:highlight w:val="none"/>
        </w:rPr>
      </w:pPr>
      <w:r>
        <w:rPr>
          <w:rFonts w:hint="eastAsia"/>
          <w:i w:val="0"/>
          <w:iCs w:val="0"/>
          <w:color w:val="auto"/>
          <w:sz w:val="21"/>
          <w:szCs w:val="21"/>
          <w:highlight w:val="none"/>
        </w:rPr>
        <w:t>可视化管理功能</w:t>
      </w:r>
    </w:p>
    <w:p w14:paraId="17320F5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AFC智能运维系统须实现以图形化界面的视图直观诊断分析系统设备状态，对实时获取的设备状态数据进行监控，自动预警设备异常，通过远程诊断，运维人员不到现场也可以掌握设备情况，及时制定设备维保任务，指导维修人员排除故障。主要功能包括但不限于：网络的拓扑展示、设备可视化、业务拓扑可视化、可嵌套管理其他监控软件、可视化设置等。包含不限于以下可视化内容：</w:t>
      </w:r>
    </w:p>
    <w:tbl>
      <w:tblPr>
        <w:tblStyle w:val="88"/>
        <w:tblW w:w="82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0"/>
        <w:gridCol w:w="1268"/>
        <w:gridCol w:w="6308"/>
      </w:tblGrid>
      <w:tr w14:paraId="0E805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tcPr>
          <w:p w14:paraId="76838340">
            <w:pPr>
              <w:pStyle w:val="143"/>
              <w:bidi w:val="0"/>
              <w:rPr>
                <w:i w:val="0"/>
                <w:iCs w:val="0"/>
                <w:color w:val="auto"/>
                <w:sz w:val="21"/>
                <w:szCs w:val="21"/>
                <w:highlight w:val="none"/>
                <w:lang w:val="en-US"/>
              </w:rPr>
            </w:pPr>
            <w:r>
              <w:rPr>
                <w:i w:val="0"/>
                <w:iCs w:val="0"/>
                <w:color w:val="auto"/>
                <w:sz w:val="21"/>
                <w:szCs w:val="21"/>
                <w:highlight w:val="none"/>
                <w:lang w:val="en-US"/>
              </w:rPr>
              <w:t>序号</w:t>
            </w:r>
          </w:p>
        </w:tc>
        <w:tc>
          <w:tcPr>
            <w:tcW w:w="1268" w:type="dxa"/>
          </w:tcPr>
          <w:p w14:paraId="2E4F17C0">
            <w:pPr>
              <w:pStyle w:val="143"/>
              <w:bidi w:val="0"/>
              <w:rPr>
                <w:i w:val="0"/>
                <w:iCs w:val="0"/>
                <w:color w:val="auto"/>
                <w:sz w:val="21"/>
                <w:szCs w:val="21"/>
                <w:highlight w:val="none"/>
                <w:lang w:val="en-US"/>
              </w:rPr>
            </w:pPr>
            <w:r>
              <w:rPr>
                <w:i w:val="0"/>
                <w:iCs w:val="0"/>
                <w:color w:val="auto"/>
                <w:sz w:val="21"/>
                <w:szCs w:val="21"/>
                <w:highlight w:val="none"/>
                <w:lang w:val="en-US"/>
              </w:rPr>
              <w:t>功能</w:t>
            </w:r>
          </w:p>
        </w:tc>
        <w:tc>
          <w:tcPr>
            <w:tcW w:w="6308" w:type="dxa"/>
          </w:tcPr>
          <w:p w14:paraId="2B4EF100">
            <w:pPr>
              <w:pStyle w:val="143"/>
              <w:bidi w:val="0"/>
              <w:rPr>
                <w:i w:val="0"/>
                <w:iCs w:val="0"/>
                <w:color w:val="auto"/>
                <w:sz w:val="21"/>
                <w:szCs w:val="21"/>
                <w:highlight w:val="none"/>
                <w:lang w:val="en-US"/>
              </w:rPr>
            </w:pPr>
            <w:r>
              <w:rPr>
                <w:i w:val="0"/>
                <w:iCs w:val="0"/>
                <w:color w:val="auto"/>
                <w:sz w:val="21"/>
                <w:szCs w:val="21"/>
                <w:highlight w:val="none"/>
                <w:lang w:val="en-US"/>
              </w:rPr>
              <w:t>功能要求</w:t>
            </w:r>
          </w:p>
        </w:tc>
      </w:tr>
      <w:tr w14:paraId="3C2D3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2" w:hRule="atLeast"/>
          <w:jc w:val="center"/>
        </w:trPr>
        <w:tc>
          <w:tcPr>
            <w:tcW w:w="650" w:type="dxa"/>
            <w:vAlign w:val="center"/>
          </w:tcPr>
          <w:p w14:paraId="6C4CD66D">
            <w:pPr>
              <w:pStyle w:val="143"/>
              <w:bidi w:val="0"/>
              <w:rPr>
                <w:i w:val="0"/>
                <w:iCs w:val="0"/>
                <w:color w:val="auto"/>
                <w:sz w:val="21"/>
                <w:szCs w:val="21"/>
                <w:highlight w:val="none"/>
                <w:lang w:val="en-US"/>
              </w:rPr>
            </w:pPr>
            <w:r>
              <w:rPr>
                <w:i w:val="0"/>
                <w:iCs w:val="0"/>
                <w:color w:val="auto"/>
                <w:sz w:val="21"/>
                <w:szCs w:val="21"/>
                <w:highlight w:val="none"/>
                <w:lang w:val="en-US"/>
              </w:rPr>
              <w:t>1</w:t>
            </w:r>
          </w:p>
        </w:tc>
        <w:tc>
          <w:tcPr>
            <w:tcW w:w="1268" w:type="dxa"/>
            <w:vAlign w:val="center"/>
          </w:tcPr>
          <w:p w14:paraId="5ACAFE98">
            <w:pPr>
              <w:pStyle w:val="143"/>
              <w:bidi w:val="0"/>
              <w:rPr>
                <w:i w:val="0"/>
                <w:iCs w:val="0"/>
                <w:color w:val="auto"/>
                <w:sz w:val="21"/>
                <w:szCs w:val="21"/>
                <w:highlight w:val="none"/>
                <w:lang w:val="en-US"/>
              </w:rPr>
            </w:pPr>
            <w:r>
              <w:rPr>
                <w:i w:val="0"/>
                <w:iCs w:val="0"/>
                <w:color w:val="auto"/>
                <w:sz w:val="21"/>
                <w:szCs w:val="21"/>
                <w:highlight w:val="none"/>
                <w:lang w:val="en-US"/>
              </w:rPr>
              <w:t>网络拓扑</w:t>
            </w:r>
          </w:p>
          <w:p w14:paraId="3895F5BF">
            <w:pPr>
              <w:pStyle w:val="143"/>
              <w:bidi w:val="0"/>
              <w:rPr>
                <w:i w:val="0"/>
                <w:iCs w:val="0"/>
                <w:color w:val="auto"/>
                <w:sz w:val="21"/>
                <w:szCs w:val="21"/>
                <w:highlight w:val="none"/>
                <w:lang w:val="en-US"/>
              </w:rPr>
            </w:pPr>
            <w:r>
              <w:rPr>
                <w:i w:val="0"/>
                <w:iCs w:val="0"/>
                <w:color w:val="auto"/>
                <w:sz w:val="21"/>
                <w:szCs w:val="21"/>
                <w:highlight w:val="none"/>
                <w:lang w:val="en-US"/>
              </w:rPr>
              <w:t>展示</w:t>
            </w:r>
          </w:p>
        </w:tc>
        <w:tc>
          <w:tcPr>
            <w:tcW w:w="6308" w:type="dxa"/>
          </w:tcPr>
          <w:p w14:paraId="6C0162C5">
            <w:pPr>
              <w:pStyle w:val="143"/>
              <w:bidi w:val="0"/>
              <w:jc w:val="left"/>
              <w:rPr>
                <w:i w:val="0"/>
                <w:iCs w:val="0"/>
                <w:color w:val="auto"/>
                <w:sz w:val="21"/>
                <w:szCs w:val="21"/>
                <w:highlight w:val="none"/>
                <w:lang w:val="en-US"/>
              </w:rPr>
            </w:pPr>
            <w:r>
              <w:rPr>
                <w:i w:val="0"/>
                <w:iCs w:val="0"/>
                <w:color w:val="auto"/>
                <w:sz w:val="21"/>
                <w:szCs w:val="21"/>
                <w:highlight w:val="none"/>
                <w:lang w:val="en-US"/>
              </w:rPr>
              <w:t>支持展示网络拓扑，支持整体网络展示，也可按区域（如机房、车站等）局部展示；</w:t>
            </w:r>
          </w:p>
          <w:p w14:paraId="0C371D3A">
            <w:pPr>
              <w:pStyle w:val="143"/>
              <w:bidi w:val="0"/>
              <w:jc w:val="left"/>
              <w:rPr>
                <w:i w:val="0"/>
                <w:iCs w:val="0"/>
                <w:color w:val="auto"/>
                <w:sz w:val="21"/>
                <w:szCs w:val="21"/>
                <w:highlight w:val="none"/>
                <w:lang w:val="en-US"/>
              </w:rPr>
            </w:pPr>
            <w:r>
              <w:rPr>
                <w:i w:val="0"/>
                <w:iCs w:val="0"/>
                <w:color w:val="auto"/>
                <w:sz w:val="21"/>
                <w:szCs w:val="21"/>
                <w:highlight w:val="none"/>
                <w:lang w:val="en-US"/>
              </w:rPr>
              <w:t>拓扑图能够实时反映网络设备运行状态及变化；</w:t>
            </w:r>
          </w:p>
          <w:p w14:paraId="3968DEB6">
            <w:pPr>
              <w:pStyle w:val="143"/>
              <w:bidi w:val="0"/>
              <w:jc w:val="left"/>
              <w:rPr>
                <w:i w:val="0"/>
                <w:iCs w:val="0"/>
                <w:color w:val="auto"/>
                <w:sz w:val="21"/>
                <w:szCs w:val="21"/>
                <w:highlight w:val="none"/>
                <w:lang w:val="en-US"/>
              </w:rPr>
            </w:pPr>
            <w:r>
              <w:rPr>
                <w:i w:val="0"/>
                <w:iCs w:val="0"/>
                <w:color w:val="auto"/>
                <w:sz w:val="21"/>
                <w:szCs w:val="21"/>
                <w:highlight w:val="none"/>
                <w:lang w:val="en-US"/>
              </w:rPr>
              <w:t>鼠标悬停拓扑图上某单元时即可展现该设备核心运行信息；</w:t>
            </w:r>
          </w:p>
          <w:p w14:paraId="0734BF24">
            <w:pPr>
              <w:pStyle w:val="143"/>
              <w:bidi w:val="0"/>
              <w:jc w:val="left"/>
              <w:rPr>
                <w:i w:val="0"/>
                <w:iCs w:val="0"/>
                <w:color w:val="auto"/>
                <w:sz w:val="21"/>
                <w:szCs w:val="21"/>
                <w:highlight w:val="none"/>
                <w:lang w:val="en-US"/>
              </w:rPr>
            </w:pPr>
            <w:r>
              <w:rPr>
                <w:i w:val="0"/>
                <w:iCs w:val="0"/>
                <w:color w:val="auto"/>
                <w:sz w:val="21"/>
                <w:szCs w:val="21"/>
                <w:highlight w:val="none"/>
                <w:lang w:val="en-US"/>
              </w:rPr>
              <w:t>支持颜色变化，直观展现设备的性能变化，告警级别不同等；</w:t>
            </w:r>
          </w:p>
          <w:p w14:paraId="0D958573">
            <w:pPr>
              <w:pStyle w:val="143"/>
              <w:bidi w:val="0"/>
              <w:jc w:val="left"/>
              <w:rPr>
                <w:i w:val="0"/>
                <w:iCs w:val="0"/>
                <w:color w:val="auto"/>
                <w:sz w:val="21"/>
                <w:szCs w:val="21"/>
                <w:highlight w:val="none"/>
                <w:lang w:val="en-US"/>
              </w:rPr>
            </w:pPr>
            <w:r>
              <w:rPr>
                <w:i w:val="0"/>
                <w:iCs w:val="0"/>
                <w:color w:val="auto"/>
                <w:sz w:val="21"/>
                <w:szCs w:val="21"/>
                <w:highlight w:val="none"/>
                <w:lang w:val="en-US"/>
              </w:rPr>
              <w:t>在拓扑图上可直接显示线路峰值流量、广播流量、组播流量信息。</w:t>
            </w:r>
          </w:p>
        </w:tc>
      </w:tr>
      <w:tr w14:paraId="15834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650" w:type="dxa"/>
            <w:vAlign w:val="center"/>
          </w:tcPr>
          <w:p w14:paraId="2DAAFEEF">
            <w:pPr>
              <w:pStyle w:val="143"/>
              <w:bidi w:val="0"/>
              <w:rPr>
                <w:i w:val="0"/>
                <w:iCs w:val="0"/>
                <w:color w:val="auto"/>
                <w:sz w:val="21"/>
                <w:szCs w:val="21"/>
                <w:highlight w:val="none"/>
                <w:lang w:val="en-US"/>
              </w:rPr>
            </w:pPr>
            <w:r>
              <w:rPr>
                <w:i w:val="0"/>
                <w:iCs w:val="0"/>
                <w:color w:val="auto"/>
                <w:sz w:val="21"/>
                <w:szCs w:val="21"/>
                <w:highlight w:val="none"/>
                <w:lang w:val="en-US"/>
              </w:rPr>
              <w:t>2</w:t>
            </w:r>
          </w:p>
        </w:tc>
        <w:tc>
          <w:tcPr>
            <w:tcW w:w="1268" w:type="dxa"/>
            <w:vAlign w:val="center"/>
          </w:tcPr>
          <w:p w14:paraId="1402F024">
            <w:pPr>
              <w:pStyle w:val="143"/>
              <w:bidi w:val="0"/>
              <w:rPr>
                <w:i w:val="0"/>
                <w:iCs w:val="0"/>
                <w:color w:val="auto"/>
                <w:sz w:val="21"/>
                <w:szCs w:val="21"/>
                <w:highlight w:val="none"/>
                <w:lang w:val="en-US"/>
              </w:rPr>
            </w:pPr>
            <w:r>
              <w:rPr>
                <w:i w:val="0"/>
                <w:iCs w:val="0"/>
                <w:color w:val="auto"/>
                <w:sz w:val="21"/>
                <w:szCs w:val="21"/>
                <w:highlight w:val="none"/>
                <w:lang w:val="en-US"/>
              </w:rPr>
              <w:t>设备可视化</w:t>
            </w:r>
          </w:p>
        </w:tc>
        <w:tc>
          <w:tcPr>
            <w:tcW w:w="6308" w:type="dxa"/>
          </w:tcPr>
          <w:p w14:paraId="4FC35C56">
            <w:pPr>
              <w:pStyle w:val="143"/>
              <w:bidi w:val="0"/>
              <w:jc w:val="left"/>
              <w:rPr>
                <w:i w:val="0"/>
                <w:iCs w:val="0"/>
                <w:color w:val="auto"/>
                <w:sz w:val="21"/>
                <w:szCs w:val="21"/>
                <w:highlight w:val="none"/>
                <w:lang w:val="en-US"/>
              </w:rPr>
            </w:pPr>
            <w:r>
              <w:rPr>
                <w:i w:val="0"/>
                <w:iCs w:val="0"/>
                <w:color w:val="auto"/>
                <w:sz w:val="21"/>
                <w:szCs w:val="21"/>
                <w:highlight w:val="none"/>
                <w:lang w:val="en-US"/>
              </w:rPr>
              <w:t>能够按层级（机房—机柜—设备）进行归类管理；</w:t>
            </w:r>
          </w:p>
          <w:p w14:paraId="14BA1F1E">
            <w:pPr>
              <w:pStyle w:val="143"/>
              <w:bidi w:val="0"/>
              <w:jc w:val="left"/>
              <w:rPr>
                <w:i w:val="0"/>
                <w:iCs w:val="0"/>
                <w:color w:val="auto"/>
                <w:sz w:val="21"/>
                <w:szCs w:val="21"/>
                <w:highlight w:val="none"/>
                <w:lang w:val="en-US"/>
              </w:rPr>
            </w:pPr>
            <w:r>
              <w:rPr>
                <w:i w:val="0"/>
                <w:iCs w:val="0"/>
                <w:color w:val="auto"/>
                <w:sz w:val="21"/>
                <w:szCs w:val="21"/>
                <w:highlight w:val="none"/>
                <w:lang w:val="en-US"/>
              </w:rPr>
              <w:t>以视图的方式展示各层级相关所含设备，及运行告警情况；</w:t>
            </w:r>
          </w:p>
          <w:p w14:paraId="43488D80">
            <w:pPr>
              <w:pStyle w:val="143"/>
              <w:bidi w:val="0"/>
              <w:jc w:val="left"/>
              <w:rPr>
                <w:i w:val="0"/>
                <w:iCs w:val="0"/>
                <w:color w:val="auto"/>
                <w:sz w:val="21"/>
                <w:szCs w:val="21"/>
                <w:highlight w:val="none"/>
                <w:lang w:val="en-US"/>
              </w:rPr>
            </w:pPr>
            <w:r>
              <w:rPr>
                <w:i w:val="0"/>
                <w:iCs w:val="0"/>
                <w:color w:val="auto"/>
                <w:sz w:val="21"/>
                <w:szCs w:val="21"/>
                <w:highlight w:val="none"/>
                <w:lang w:val="en-US"/>
              </w:rPr>
              <w:t>可实现机房平面展示，进行机房空间管理；</w:t>
            </w:r>
          </w:p>
          <w:p w14:paraId="51694BE7">
            <w:pPr>
              <w:pStyle w:val="143"/>
              <w:bidi w:val="0"/>
              <w:jc w:val="left"/>
              <w:rPr>
                <w:i w:val="0"/>
                <w:iCs w:val="0"/>
                <w:color w:val="auto"/>
                <w:sz w:val="21"/>
                <w:szCs w:val="21"/>
                <w:highlight w:val="none"/>
                <w:lang w:val="en-US"/>
              </w:rPr>
            </w:pPr>
            <w:r>
              <w:rPr>
                <w:i w:val="0"/>
                <w:iCs w:val="0"/>
                <w:color w:val="auto"/>
                <w:sz w:val="21"/>
                <w:szCs w:val="21"/>
                <w:highlight w:val="none"/>
                <w:lang w:val="en-US"/>
              </w:rPr>
              <w:t>鼠标悬停在视图中某区域或设备时，可显示其运行的相关信息；</w:t>
            </w:r>
          </w:p>
          <w:p w14:paraId="4F91C60B">
            <w:pPr>
              <w:pStyle w:val="143"/>
              <w:bidi w:val="0"/>
              <w:jc w:val="left"/>
              <w:rPr>
                <w:i w:val="0"/>
                <w:iCs w:val="0"/>
                <w:color w:val="auto"/>
                <w:sz w:val="21"/>
                <w:szCs w:val="21"/>
                <w:highlight w:val="none"/>
                <w:lang w:val="en-US"/>
              </w:rPr>
            </w:pPr>
            <w:r>
              <w:rPr>
                <w:i w:val="0"/>
                <w:iCs w:val="0"/>
                <w:color w:val="auto"/>
                <w:sz w:val="21"/>
                <w:szCs w:val="21"/>
                <w:highlight w:val="none"/>
                <w:lang w:val="en-US"/>
              </w:rPr>
              <w:t>在选择某一具体设备时，以视图方式显示其面板，并点击面板可查看设备信息，如端口使用情况，运行状态等；</w:t>
            </w:r>
          </w:p>
          <w:p w14:paraId="266767C5">
            <w:pPr>
              <w:pStyle w:val="143"/>
              <w:bidi w:val="0"/>
              <w:jc w:val="left"/>
              <w:rPr>
                <w:i w:val="0"/>
                <w:iCs w:val="0"/>
                <w:color w:val="auto"/>
                <w:sz w:val="21"/>
                <w:szCs w:val="21"/>
                <w:highlight w:val="none"/>
                <w:lang w:val="en-US"/>
              </w:rPr>
            </w:pPr>
            <w:r>
              <w:rPr>
                <w:i w:val="0"/>
                <w:iCs w:val="0"/>
                <w:color w:val="auto"/>
                <w:sz w:val="21"/>
                <w:szCs w:val="21"/>
                <w:highlight w:val="none"/>
                <w:lang w:val="en-US"/>
              </w:rPr>
              <w:t>当有故障告警时，可快速定位相关设备的存放位置，落定故障设备。</w:t>
            </w:r>
          </w:p>
          <w:p w14:paraId="6804A6E3">
            <w:pPr>
              <w:pStyle w:val="143"/>
              <w:bidi w:val="0"/>
              <w:jc w:val="left"/>
              <w:rPr>
                <w:i w:val="0"/>
                <w:iCs w:val="0"/>
                <w:color w:val="auto"/>
                <w:sz w:val="21"/>
                <w:szCs w:val="21"/>
                <w:highlight w:val="none"/>
                <w:lang w:val="en-US"/>
              </w:rPr>
            </w:pPr>
            <w:r>
              <w:rPr>
                <w:i w:val="0"/>
                <w:iCs w:val="0"/>
                <w:color w:val="auto"/>
                <w:sz w:val="21"/>
                <w:szCs w:val="21"/>
                <w:highlight w:val="none"/>
                <w:lang w:val="en-US"/>
              </w:rPr>
              <w:t>透明展现业务关系，可以将网络、主机、数据库、应用、存储、虚拟化作为业务的组成单元，简单拖拽即可实现快速业务的构建；</w:t>
            </w:r>
          </w:p>
        </w:tc>
      </w:tr>
      <w:tr w14:paraId="5C5B8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0" w:type="dxa"/>
            <w:vAlign w:val="center"/>
          </w:tcPr>
          <w:p w14:paraId="683E305B">
            <w:pPr>
              <w:pStyle w:val="143"/>
              <w:bidi w:val="0"/>
              <w:rPr>
                <w:i w:val="0"/>
                <w:iCs w:val="0"/>
                <w:color w:val="auto"/>
                <w:sz w:val="21"/>
                <w:szCs w:val="21"/>
                <w:highlight w:val="none"/>
                <w:lang w:val="en-US"/>
              </w:rPr>
            </w:pPr>
            <w:r>
              <w:rPr>
                <w:i w:val="0"/>
                <w:iCs w:val="0"/>
                <w:color w:val="auto"/>
                <w:sz w:val="21"/>
                <w:szCs w:val="21"/>
                <w:highlight w:val="none"/>
                <w:lang w:val="en-US"/>
              </w:rPr>
              <w:t>3</w:t>
            </w:r>
          </w:p>
        </w:tc>
        <w:tc>
          <w:tcPr>
            <w:tcW w:w="1268" w:type="dxa"/>
            <w:vAlign w:val="center"/>
          </w:tcPr>
          <w:p w14:paraId="34D1EF85">
            <w:pPr>
              <w:pStyle w:val="143"/>
              <w:bidi w:val="0"/>
              <w:rPr>
                <w:i w:val="0"/>
                <w:iCs w:val="0"/>
                <w:color w:val="auto"/>
                <w:sz w:val="21"/>
                <w:szCs w:val="21"/>
                <w:highlight w:val="none"/>
                <w:lang w:val="en-US"/>
              </w:rPr>
            </w:pPr>
            <w:r>
              <w:rPr>
                <w:i w:val="0"/>
                <w:iCs w:val="0"/>
                <w:color w:val="auto"/>
                <w:sz w:val="21"/>
                <w:szCs w:val="21"/>
                <w:highlight w:val="none"/>
                <w:lang w:val="en-US"/>
              </w:rPr>
              <w:t>业务拓扑可视化</w:t>
            </w:r>
          </w:p>
        </w:tc>
        <w:tc>
          <w:tcPr>
            <w:tcW w:w="6308" w:type="dxa"/>
          </w:tcPr>
          <w:p w14:paraId="74DEA0B2">
            <w:pPr>
              <w:pStyle w:val="143"/>
              <w:bidi w:val="0"/>
              <w:jc w:val="left"/>
              <w:rPr>
                <w:i w:val="0"/>
                <w:iCs w:val="0"/>
                <w:color w:val="auto"/>
                <w:sz w:val="21"/>
                <w:szCs w:val="21"/>
                <w:highlight w:val="none"/>
                <w:lang w:val="en-US"/>
              </w:rPr>
            </w:pPr>
            <w:r>
              <w:rPr>
                <w:i w:val="0"/>
                <w:iCs w:val="0"/>
                <w:color w:val="auto"/>
                <w:sz w:val="21"/>
                <w:szCs w:val="21"/>
                <w:highlight w:val="none"/>
                <w:lang w:val="en-US"/>
              </w:rPr>
              <w:t>用户通过选择对应的业务查看该业务关联的设备的运行状态及网络连接状态及相关进程运行情况；</w:t>
            </w:r>
          </w:p>
          <w:p w14:paraId="1BC7D5A3">
            <w:pPr>
              <w:pStyle w:val="143"/>
              <w:bidi w:val="0"/>
              <w:jc w:val="left"/>
              <w:rPr>
                <w:i w:val="0"/>
                <w:iCs w:val="0"/>
                <w:color w:val="auto"/>
                <w:sz w:val="21"/>
                <w:szCs w:val="21"/>
                <w:highlight w:val="none"/>
                <w:lang w:val="en-US"/>
              </w:rPr>
            </w:pPr>
            <w:r>
              <w:rPr>
                <w:i w:val="0"/>
                <w:iCs w:val="0"/>
                <w:color w:val="auto"/>
                <w:sz w:val="21"/>
                <w:szCs w:val="21"/>
                <w:highlight w:val="none"/>
                <w:lang w:val="en-US"/>
              </w:rPr>
              <w:t>提供业务视角管理基础设施，系统可支持多种布局方式，将基础设置提升到业务视角，便于业务部门和网络部分的沟通和监控统一界面；便于第一时间实现业务故障的定位；</w:t>
            </w:r>
          </w:p>
        </w:tc>
      </w:tr>
      <w:tr w14:paraId="509C3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6" w:hRule="atLeast"/>
          <w:jc w:val="center"/>
        </w:trPr>
        <w:tc>
          <w:tcPr>
            <w:tcW w:w="650" w:type="dxa"/>
            <w:vAlign w:val="center"/>
          </w:tcPr>
          <w:p w14:paraId="3DC4B263">
            <w:pPr>
              <w:pStyle w:val="143"/>
              <w:bidi w:val="0"/>
              <w:rPr>
                <w:i w:val="0"/>
                <w:iCs w:val="0"/>
                <w:color w:val="auto"/>
                <w:sz w:val="21"/>
                <w:szCs w:val="21"/>
                <w:highlight w:val="none"/>
                <w:lang w:val="en-US"/>
              </w:rPr>
            </w:pPr>
            <w:r>
              <w:rPr>
                <w:rFonts w:hint="eastAsia"/>
                <w:i w:val="0"/>
                <w:iCs w:val="0"/>
                <w:color w:val="auto"/>
                <w:sz w:val="21"/>
                <w:szCs w:val="21"/>
                <w:highlight w:val="none"/>
                <w:lang w:val="en-US"/>
              </w:rPr>
              <w:t>4</w:t>
            </w:r>
          </w:p>
        </w:tc>
        <w:tc>
          <w:tcPr>
            <w:tcW w:w="1268" w:type="dxa"/>
            <w:vAlign w:val="center"/>
          </w:tcPr>
          <w:p w14:paraId="3DFC53A9">
            <w:pPr>
              <w:pStyle w:val="143"/>
              <w:bidi w:val="0"/>
              <w:rPr>
                <w:i w:val="0"/>
                <w:iCs w:val="0"/>
                <w:color w:val="auto"/>
                <w:sz w:val="21"/>
                <w:szCs w:val="21"/>
                <w:highlight w:val="none"/>
                <w:lang w:val="en-US"/>
              </w:rPr>
            </w:pPr>
            <w:r>
              <w:rPr>
                <w:i w:val="0"/>
                <w:iCs w:val="0"/>
                <w:color w:val="auto"/>
                <w:sz w:val="21"/>
                <w:szCs w:val="21"/>
                <w:highlight w:val="none"/>
                <w:lang w:val="en-US"/>
              </w:rPr>
              <w:t>可视化设置</w:t>
            </w:r>
          </w:p>
        </w:tc>
        <w:tc>
          <w:tcPr>
            <w:tcW w:w="6308" w:type="dxa"/>
          </w:tcPr>
          <w:p w14:paraId="1422501E">
            <w:pPr>
              <w:pStyle w:val="143"/>
              <w:bidi w:val="0"/>
              <w:jc w:val="left"/>
              <w:rPr>
                <w:i w:val="0"/>
                <w:iCs w:val="0"/>
                <w:color w:val="auto"/>
                <w:sz w:val="21"/>
                <w:szCs w:val="21"/>
                <w:highlight w:val="none"/>
                <w:lang w:val="en-US"/>
              </w:rPr>
            </w:pPr>
            <w:r>
              <w:rPr>
                <w:i w:val="0"/>
                <w:iCs w:val="0"/>
                <w:color w:val="auto"/>
                <w:sz w:val="21"/>
                <w:szCs w:val="21"/>
                <w:highlight w:val="none"/>
                <w:lang w:val="en-US"/>
              </w:rPr>
              <w:t>支持拓扑图的界面全屏显示，拓扑图的导出等操作；</w:t>
            </w:r>
          </w:p>
          <w:p w14:paraId="03683A96">
            <w:pPr>
              <w:pStyle w:val="143"/>
              <w:bidi w:val="0"/>
              <w:jc w:val="left"/>
              <w:rPr>
                <w:i w:val="0"/>
                <w:iCs w:val="0"/>
                <w:color w:val="auto"/>
                <w:sz w:val="21"/>
                <w:szCs w:val="21"/>
                <w:highlight w:val="none"/>
                <w:lang w:val="en-US"/>
              </w:rPr>
            </w:pPr>
            <w:r>
              <w:rPr>
                <w:i w:val="0"/>
                <w:iCs w:val="0"/>
                <w:color w:val="auto"/>
                <w:sz w:val="21"/>
                <w:szCs w:val="21"/>
                <w:highlight w:val="none"/>
                <w:lang w:val="en-US"/>
              </w:rPr>
              <w:t>提供以周维度的健康状态视图，提供趋势管理能力，在一张图上列出问题最多的设备和指标、关键指标环比变化最大的线路和主机等信息。</w:t>
            </w:r>
          </w:p>
        </w:tc>
      </w:tr>
    </w:tbl>
    <w:p w14:paraId="53BFC4B0">
      <w:pPr>
        <w:pStyle w:val="142"/>
        <w:ind w:firstLine="420"/>
        <w:rPr>
          <w:rFonts w:hint="eastAsia"/>
          <w:i w:val="0"/>
          <w:iCs w:val="0"/>
          <w:color w:val="auto"/>
          <w:sz w:val="21"/>
          <w:szCs w:val="15"/>
          <w:highlight w:val="none"/>
          <w:lang w:val="en-US" w:eastAsia="zh-CN"/>
        </w:rPr>
      </w:pPr>
    </w:p>
    <w:p w14:paraId="56D12C01">
      <w:pPr>
        <w:pStyle w:val="6"/>
        <w:ind w:left="0"/>
        <w:rPr>
          <w:i w:val="0"/>
          <w:iCs w:val="0"/>
          <w:color w:val="auto"/>
          <w:sz w:val="21"/>
          <w:szCs w:val="21"/>
          <w:highlight w:val="none"/>
        </w:rPr>
      </w:pPr>
      <w:r>
        <w:rPr>
          <w:rFonts w:hint="eastAsia"/>
          <w:i w:val="0"/>
          <w:iCs w:val="0"/>
          <w:color w:val="auto"/>
          <w:sz w:val="21"/>
          <w:szCs w:val="21"/>
          <w:highlight w:val="none"/>
        </w:rPr>
        <w:t>数据分析功能</w:t>
      </w:r>
    </w:p>
    <w:p w14:paraId="56D12C0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AFC智能运维系统应能提供数据分析功能，对指定时期内的统计分析出来的数据进行处理，分类，为决策分析提供依据。能保存以轮询周期为单位的原始数据保存，便于日后跟踪问题使用。数据分析维度包含不限于以下信息：</w:t>
      </w:r>
    </w:p>
    <w:p w14:paraId="1283A896">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设备可靠性统计分析：</w:t>
      </w:r>
    </w:p>
    <w:p w14:paraId="5FE7316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系统需实时计算设备完好率（完好设备数/总数×100%）与故障频率（故障次数/实际运行台时），支持按全线路、站点、设备类型（AGM/TVM/ISM） 三级钻取分析。完好率统计需区分计划性停机与突发故障，故障频率需关联设备生命周期状态（新装/维保/老化）。要求以15分钟为颗粒度保存原始状态数据，自动标记持续异常≥1小时的设备。输出按周/月生成的可靠性热力图，定位故障高发站点（如换乘站高峰期），并支持与历史同期数据对比偏差＞20%时自动告警。</w:t>
      </w:r>
    </w:p>
    <w:p w14:paraId="435EE4A8">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设备停机原因分析：</w:t>
      </w:r>
    </w:p>
    <w:p w14:paraId="2A76C94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基于故障停机率（停机台时/（运行台时+停机台时）×100%）与MTTR（总修复时长/故障次数），构建故障知识图谱，当单体设备MTTR超过同类设备均值50%时，自动推送维修方案库的历史处置案例。原始故障日志需保留≥1年，支持按故障代码、发生时间、影响范围联合查询。</w:t>
      </w:r>
    </w:p>
    <w:p w14:paraId="2A13ED14">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预防性维护决策支持</w:t>
      </w:r>
    </w:p>
    <w:p w14:paraId="597AD4A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提供需支持通过MTBF（正常运行总时长/故障次数）预测设备健康趋势：</w:t>
      </w:r>
    </w:p>
    <w:p w14:paraId="583D1A4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1）系统支持动态设定阈值：如新装设备MTBF≥1000小时，老化设备≥300小时</w:t>
      </w:r>
    </w:p>
    <w:p w14:paraId="3B27040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2）当MTBF连续下降时，系统可触发预防性维护建议；</w:t>
      </w:r>
    </w:p>
    <w:p w14:paraId="62D2EE7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3）系统可结合设备使用率（实际交易量/设计吞吐量×100%），识别超负荷设备（使用率≥90%持续2小时）输出维护优先级矩阵图，横轴为MTBF衰减率，纵轴为使用率，将设备分为四象限管理。对高风险设备（高衰减+高使用率）自动生成备件调配建议，降低故障对客运的影响。</w:t>
      </w:r>
    </w:p>
    <w:p w14:paraId="511233BA">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客流-设备均衡性优化</w:t>
      </w:r>
    </w:p>
    <w:p w14:paraId="425735C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系统可针对设备使用率不均衡问题，可统计分析如下内容：</w:t>
      </w:r>
    </w:p>
    <w:p w14:paraId="26B6A02F">
      <w:pPr>
        <w:pStyle w:val="142"/>
        <w:numPr>
          <w:ilvl w:val="0"/>
          <w:numId w:val="33"/>
        </w:numPr>
        <w:ind w:firstLine="420"/>
        <w:rPr>
          <w:i w:val="0"/>
          <w:iCs w:val="0"/>
          <w:color w:val="auto"/>
          <w:sz w:val="21"/>
          <w:szCs w:val="15"/>
          <w:highlight w:val="none"/>
          <w:lang w:val="en-US"/>
        </w:rPr>
      </w:pPr>
      <w:r>
        <w:rPr>
          <w:rFonts w:hint="eastAsia"/>
          <w:i w:val="0"/>
          <w:iCs w:val="0"/>
          <w:color w:val="auto"/>
          <w:sz w:val="21"/>
          <w:szCs w:val="15"/>
          <w:highlight w:val="none"/>
          <w:lang w:val="en-US"/>
        </w:rPr>
        <w:t>统计各AGM的进出站流量比（如A口进站占比70%，B口出站占比65%）</w:t>
      </w:r>
    </w:p>
    <w:p w14:paraId="472BE7D7">
      <w:pPr>
        <w:pStyle w:val="142"/>
        <w:numPr>
          <w:ilvl w:val="0"/>
          <w:numId w:val="33"/>
        </w:numPr>
        <w:ind w:firstLine="420"/>
        <w:rPr>
          <w:i w:val="0"/>
          <w:iCs w:val="0"/>
          <w:color w:val="auto"/>
          <w:sz w:val="21"/>
          <w:szCs w:val="15"/>
          <w:highlight w:val="none"/>
          <w:lang w:val="en-US"/>
        </w:rPr>
      </w:pPr>
      <w:r>
        <w:rPr>
          <w:rFonts w:hint="eastAsia"/>
          <w:i w:val="0"/>
          <w:iCs w:val="0"/>
          <w:color w:val="auto"/>
          <w:sz w:val="21"/>
          <w:szCs w:val="15"/>
          <w:highlight w:val="none"/>
          <w:lang w:val="en-US"/>
        </w:rPr>
        <w:t>分析交易失败率与客流量关联性（如高峰时段失败率陡升≥5倍时标红预警）</w:t>
      </w:r>
    </w:p>
    <w:p w14:paraId="7A6A08DB">
      <w:pPr>
        <w:pStyle w:val="142"/>
        <w:numPr>
          <w:ilvl w:val="0"/>
          <w:numId w:val="33"/>
        </w:numPr>
        <w:ind w:firstLine="420"/>
        <w:rPr>
          <w:i w:val="0"/>
          <w:iCs w:val="0"/>
          <w:color w:val="auto"/>
          <w:sz w:val="21"/>
          <w:szCs w:val="15"/>
          <w:highlight w:val="none"/>
        </w:rPr>
      </w:pPr>
      <w:r>
        <w:rPr>
          <w:rFonts w:hint="eastAsia"/>
          <w:i w:val="0"/>
          <w:iCs w:val="0"/>
          <w:color w:val="auto"/>
          <w:sz w:val="21"/>
          <w:szCs w:val="15"/>
          <w:highlight w:val="none"/>
          <w:lang w:val="en-US"/>
        </w:rPr>
        <w:t>系统可生成负载热力图，可视化显示各设备日均服务人次，输出设备调配方案，可具备站点终端设备的使用率进行分布时统计，对各AGM进出站、交易等数据进行分析和评估，分析各设备使用频率并输出统计报告，降低由于设备使用不均衡造成的故障比例。</w:t>
      </w:r>
    </w:p>
    <w:p w14:paraId="50E2AD06">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报表分析功能</w:t>
      </w:r>
    </w:p>
    <w:p w14:paraId="23149593">
      <w:pPr>
        <w:pStyle w:val="142"/>
        <w:numPr>
          <w:ilvl w:val="0"/>
          <w:numId w:val="34"/>
        </w:numPr>
        <w:ind w:firstLine="420"/>
        <w:rPr>
          <w:i w:val="0"/>
          <w:iCs w:val="0"/>
          <w:color w:val="auto"/>
          <w:sz w:val="21"/>
          <w:szCs w:val="15"/>
          <w:highlight w:val="none"/>
          <w:lang w:val="en-US"/>
        </w:rPr>
      </w:pPr>
      <w:r>
        <w:rPr>
          <w:rFonts w:hint="eastAsia"/>
          <w:i w:val="0"/>
          <w:iCs w:val="0"/>
          <w:color w:val="auto"/>
          <w:sz w:val="21"/>
          <w:szCs w:val="15"/>
          <w:highlight w:val="none"/>
          <w:lang w:val="en-US"/>
        </w:rPr>
        <w:t>系统提供强大的报表功能，内置资源运行的性能趋势、性能排名报表等，同时提供灵活方便的自定义报表功能。</w:t>
      </w:r>
    </w:p>
    <w:p w14:paraId="67BAEC6F">
      <w:pPr>
        <w:pStyle w:val="142"/>
        <w:numPr>
          <w:ilvl w:val="0"/>
          <w:numId w:val="34"/>
        </w:numPr>
        <w:ind w:firstLine="420"/>
        <w:rPr>
          <w:i w:val="0"/>
          <w:iCs w:val="0"/>
          <w:color w:val="auto"/>
          <w:sz w:val="21"/>
          <w:szCs w:val="15"/>
          <w:highlight w:val="none"/>
          <w:lang w:val="en-US"/>
        </w:rPr>
      </w:pPr>
      <w:r>
        <w:rPr>
          <w:rFonts w:hint="eastAsia"/>
          <w:i w:val="0"/>
          <w:iCs w:val="0"/>
          <w:color w:val="auto"/>
          <w:sz w:val="21"/>
          <w:szCs w:val="15"/>
          <w:highlight w:val="none"/>
          <w:lang w:val="en-US"/>
        </w:rPr>
        <w:t>支持自定义报表，以报表模板为基础，可根据模板，进行内容和报表推送方式的定制，支持用户个性化报表开发，提供方便的报表模板加载功能。</w:t>
      </w:r>
    </w:p>
    <w:p w14:paraId="090D5BD5">
      <w:pPr>
        <w:pStyle w:val="142"/>
        <w:numPr>
          <w:ilvl w:val="0"/>
          <w:numId w:val="34"/>
        </w:numPr>
        <w:ind w:firstLine="420"/>
        <w:rPr>
          <w:i w:val="0"/>
          <w:iCs w:val="0"/>
          <w:color w:val="auto"/>
          <w:sz w:val="21"/>
          <w:szCs w:val="15"/>
          <w:highlight w:val="none"/>
          <w:lang w:val="en-US"/>
        </w:rPr>
      </w:pPr>
      <w:r>
        <w:rPr>
          <w:rFonts w:hint="eastAsia"/>
          <w:i w:val="0"/>
          <w:iCs w:val="0"/>
          <w:color w:val="auto"/>
          <w:sz w:val="21"/>
          <w:szCs w:val="15"/>
          <w:highlight w:val="none"/>
          <w:lang w:val="en-US"/>
        </w:rPr>
        <w:t>自动提供每日或时段内全网或定义区域内各设备运行情况的巡检报告。</w:t>
      </w:r>
    </w:p>
    <w:p w14:paraId="56D12C0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支持历史记录任意时段拖拽查看，实现任意时段和时长数据的对比分析。</w:t>
      </w:r>
    </w:p>
    <w:p w14:paraId="56D12C09">
      <w:pPr>
        <w:pStyle w:val="6"/>
        <w:ind w:left="0"/>
        <w:rPr>
          <w:i w:val="0"/>
          <w:iCs w:val="0"/>
          <w:color w:val="auto"/>
          <w:sz w:val="21"/>
          <w:szCs w:val="21"/>
          <w:highlight w:val="none"/>
        </w:rPr>
      </w:pPr>
      <w:r>
        <w:rPr>
          <w:rFonts w:hint="eastAsia"/>
          <w:i w:val="0"/>
          <w:iCs w:val="0"/>
          <w:color w:val="auto"/>
          <w:sz w:val="21"/>
          <w:szCs w:val="21"/>
          <w:highlight w:val="none"/>
        </w:rPr>
        <w:t>故障诊断功能</w:t>
      </w:r>
    </w:p>
    <w:p w14:paraId="56D12C0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系统应基于数据分析后的数据，提供设备的故障诊断功能，通过历史数据、设备故障机理等维度，过滤无效故障数据，综合定位故障设备节点原因。包含但不限于以下设备故障诊断内容：</w:t>
      </w:r>
    </w:p>
    <w:p w14:paraId="56D12C0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1、进站闸机：系统可基于刷卡进站、扫码进站等应用场景，当设备出现异常时，能够综合诊断门模块、读写器、扫码头等模块及运行软件的状态，定位故障位置；</w:t>
      </w:r>
    </w:p>
    <w:p w14:paraId="56D12C0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2、出站闸机：系统可基于刷卡出站、投卡出站、扫码出站等应用场景，当设备出现异常时，能够综合诊断门模块、读写器、票卡回收模块、扫码头等模块及运行软件的状态，定位故障位置；</w:t>
      </w:r>
    </w:p>
    <w:p w14:paraId="58A7204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3、自动售票机：硬币购单程票无找零、纸币购单程票无找零、纸币购单程票有找零、储值卡/电子支付购单程票、纸币充值、电子支付充值等应用场景，当设备出现异常时，能够综合诊断硬币回收、纸币回收、纸币找零、硬币找零、票卡发售、读写器等模块及运行软件的状态，定位故障位置。</w:t>
      </w:r>
    </w:p>
    <w:p w14:paraId="1E8EAB19">
      <w:pPr>
        <w:pStyle w:val="6"/>
        <w:ind w:left="0"/>
        <w:rPr>
          <w:rFonts w:hint="eastAsia"/>
          <w:i w:val="0"/>
          <w:iCs w:val="0"/>
          <w:color w:val="auto"/>
          <w:sz w:val="21"/>
          <w:szCs w:val="21"/>
          <w:highlight w:val="none"/>
        </w:rPr>
      </w:pPr>
      <w:r>
        <w:rPr>
          <w:rFonts w:hint="eastAsia"/>
          <w:i w:val="0"/>
          <w:iCs w:val="0"/>
          <w:color w:val="auto"/>
          <w:sz w:val="21"/>
          <w:szCs w:val="21"/>
          <w:highlight w:val="none"/>
        </w:rPr>
        <w:t xml:space="preserve"> 可靠度分析功能</w:t>
      </w:r>
    </w:p>
    <w:p w14:paraId="1CF77A8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AFC智能运维系统</w:t>
      </w:r>
      <w:r>
        <w:rPr>
          <w:rFonts w:hint="eastAsia"/>
          <w:i w:val="0"/>
          <w:iCs w:val="0"/>
          <w:color w:val="auto"/>
          <w:sz w:val="21"/>
          <w:szCs w:val="15"/>
          <w:highlight w:val="none"/>
          <w:lang w:val="en-US" w:eastAsia="zh-CN"/>
        </w:rPr>
        <w:t>应</w:t>
      </w:r>
      <w:r>
        <w:rPr>
          <w:rFonts w:hint="eastAsia"/>
          <w:i w:val="0"/>
          <w:iCs w:val="0"/>
          <w:color w:val="auto"/>
          <w:sz w:val="21"/>
          <w:szCs w:val="15"/>
          <w:highlight w:val="none"/>
          <w:lang w:val="zh-CN" w:eastAsia="zh-CN"/>
        </w:rPr>
        <w:t>具备对进站/出站闸机的可靠性分析功能。通过对闸机动作次数、服役时长、历史维修与换件记录等多源数据的综合建模，量化设备当前的可靠状态，并提供可靠度得分与等级评估，辅助精细化运维管理和计划性检修。</w:t>
      </w:r>
    </w:p>
    <w:p w14:paraId="6246AD5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zh-CN" w:eastAsia="zh-CN"/>
        </w:rPr>
        <w:t>采用基于退化建模与统计分析相结合的方式进行建模，拟合设备故障随时间和使用强度的演化趋势；另一方面，通过状态评分函数结合动作频率、近一次维修时间间隔与故障密度等因素，计算设备的可靠度得分。当设备进行维修或更换关键部件后，模型将自动识别换件事件并修正可靠度曲线，防止因过度累积历史故障影响当前评估准确性。通过与维修策略联动，可有效优化检修计划，降低突发故障概率，提高闸机整体可用率。</w:t>
      </w:r>
    </w:p>
    <w:p w14:paraId="4D6FDE96">
      <w:pPr>
        <w:pStyle w:val="6"/>
        <w:ind w:left="0"/>
        <w:rPr>
          <w:rFonts w:hint="eastAsia"/>
          <w:i w:val="0"/>
          <w:iCs w:val="0"/>
          <w:color w:val="auto"/>
          <w:sz w:val="21"/>
          <w:szCs w:val="21"/>
          <w:highlight w:val="none"/>
        </w:rPr>
      </w:pPr>
      <w:r>
        <w:rPr>
          <w:rFonts w:hint="eastAsia"/>
          <w:i w:val="0"/>
          <w:iCs w:val="0"/>
          <w:color w:val="auto"/>
          <w:sz w:val="21"/>
          <w:szCs w:val="21"/>
          <w:highlight w:val="none"/>
        </w:rPr>
        <w:t xml:space="preserve"> 知识库功能</w:t>
      </w:r>
    </w:p>
    <w:p w14:paraId="57BB069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自动售检票系统智能运维平台可将技术资料标准化、结构化、知识化打造运维数据库，智能运维平台通过知识数据的导入，建立设备的维保知识，能提供更精确的指导维修。主要功能包括但不限于：知识关联、搜索功能、手册查询、设备排故指导等。包含不限于以下信息：</w:t>
      </w:r>
    </w:p>
    <w:tbl>
      <w:tblPr>
        <w:tblStyle w:val="88"/>
        <w:tblW w:w="84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5"/>
        <w:gridCol w:w="1020"/>
        <w:gridCol w:w="6624"/>
      </w:tblGrid>
      <w:tr w14:paraId="26DCD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785" w:type="dxa"/>
          </w:tcPr>
          <w:p w14:paraId="3CF9CB58">
            <w:pPr>
              <w:pStyle w:val="143"/>
              <w:bidi w:val="0"/>
              <w:rPr>
                <w:i w:val="0"/>
                <w:iCs w:val="0"/>
                <w:color w:val="auto"/>
                <w:sz w:val="21"/>
                <w:szCs w:val="21"/>
                <w:highlight w:val="none"/>
              </w:rPr>
            </w:pPr>
            <w:r>
              <w:rPr>
                <w:i w:val="0"/>
                <w:iCs w:val="0"/>
                <w:color w:val="auto"/>
                <w:sz w:val="21"/>
                <w:szCs w:val="21"/>
                <w:highlight w:val="none"/>
              </w:rPr>
              <w:t>序号</w:t>
            </w:r>
          </w:p>
        </w:tc>
        <w:tc>
          <w:tcPr>
            <w:tcW w:w="1020" w:type="dxa"/>
          </w:tcPr>
          <w:p w14:paraId="55FAB0AE">
            <w:pPr>
              <w:pStyle w:val="143"/>
              <w:bidi w:val="0"/>
              <w:rPr>
                <w:i w:val="0"/>
                <w:iCs w:val="0"/>
                <w:color w:val="auto"/>
                <w:sz w:val="21"/>
                <w:szCs w:val="21"/>
                <w:highlight w:val="none"/>
              </w:rPr>
            </w:pPr>
            <w:r>
              <w:rPr>
                <w:i w:val="0"/>
                <w:iCs w:val="0"/>
                <w:color w:val="auto"/>
                <w:sz w:val="21"/>
                <w:szCs w:val="21"/>
                <w:highlight w:val="none"/>
              </w:rPr>
              <w:t>功能</w:t>
            </w:r>
          </w:p>
        </w:tc>
        <w:tc>
          <w:tcPr>
            <w:tcW w:w="6624" w:type="dxa"/>
          </w:tcPr>
          <w:p w14:paraId="0D58E884">
            <w:pPr>
              <w:pStyle w:val="143"/>
              <w:bidi w:val="0"/>
              <w:rPr>
                <w:i w:val="0"/>
                <w:iCs w:val="0"/>
                <w:color w:val="auto"/>
                <w:sz w:val="21"/>
                <w:szCs w:val="21"/>
                <w:highlight w:val="none"/>
              </w:rPr>
            </w:pPr>
            <w:r>
              <w:rPr>
                <w:i w:val="0"/>
                <w:iCs w:val="0"/>
                <w:color w:val="auto"/>
                <w:sz w:val="21"/>
                <w:szCs w:val="21"/>
                <w:highlight w:val="none"/>
              </w:rPr>
              <w:t>功能要求</w:t>
            </w:r>
          </w:p>
        </w:tc>
      </w:tr>
      <w:tr w14:paraId="49FC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785" w:type="dxa"/>
            <w:vAlign w:val="center"/>
          </w:tcPr>
          <w:p w14:paraId="0194FE5B">
            <w:pPr>
              <w:pStyle w:val="143"/>
              <w:bidi w:val="0"/>
              <w:rPr>
                <w:i w:val="0"/>
                <w:iCs w:val="0"/>
                <w:color w:val="auto"/>
                <w:sz w:val="21"/>
                <w:szCs w:val="21"/>
                <w:highlight w:val="none"/>
              </w:rPr>
            </w:pPr>
            <w:r>
              <w:rPr>
                <w:i w:val="0"/>
                <w:iCs w:val="0"/>
                <w:color w:val="auto"/>
                <w:sz w:val="21"/>
                <w:szCs w:val="21"/>
                <w:highlight w:val="none"/>
              </w:rPr>
              <w:t>1</w:t>
            </w:r>
          </w:p>
        </w:tc>
        <w:tc>
          <w:tcPr>
            <w:tcW w:w="1020" w:type="dxa"/>
            <w:vAlign w:val="center"/>
          </w:tcPr>
          <w:p w14:paraId="4BEEA3E0">
            <w:pPr>
              <w:pStyle w:val="143"/>
              <w:bidi w:val="0"/>
              <w:rPr>
                <w:i w:val="0"/>
                <w:iCs w:val="0"/>
                <w:color w:val="auto"/>
                <w:sz w:val="21"/>
                <w:szCs w:val="21"/>
                <w:highlight w:val="none"/>
              </w:rPr>
            </w:pPr>
            <w:r>
              <w:rPr>
                <w:i w:val="0"/>
                <w:iCs w:val="0"/>
                <w:color w:val="auto"/>
                <w:sz w:val="21"/>
                <w:szCs w:val="21"/>
                <w:highlight w:val="none"/>
              </w:rPr>
              <w:t>知识库管理</w:t>
            </w:r>
          </w:p>
        </w:tc>
        <w:tc>
          <w:tcPr>
            <w:tcW w:w="6624" w:type="dxa"/>
          </w:tcPr>
          <w:p w14:paraId="4BEA2E30">
            <w:pPr>
              <w:pStyle w:val="143"/>
              <w:bidi w:val="0"/>
              <w:jc w:val="left"/>
              <w:rPr>
                <w:i w:val="0"/>
                <w:iCs w:val="0"/>
                <w:color w:val="auto"/>
                <w:sz w:val="21"/>
                <w:szCs w:val="21"/>
                <w:highlight w:val="none"/>
              </w:rPr>
            </w:pPr>
            <w:r>
              <w:rPr>
                <w:i w:val="0"/>
                <w:iCs w:val="0"/>
                <w:color w:val="auto"/>
                <w:sz w:val="21"/>
                <w:szCs w:val="21"/>
                <w:highlight w:val="none"/>
              </w:rPr>
              <w:t>支持知识的录入及审核，支持单条知识和批量导入的功能。知识支持分类，且需要审核通过才能显示；</w:t>
            </w:r>
          </w:p>
          <w:p w14:paraId="71FAD25C">
            <w:pPr>
              <w:pStyle w:val="143"/>
              <w:bidi w:val="0"/>
              <w:jc w:val="left"/>
              <w:rPr>
                <w:i w:val="0"/>
                <w:iCs w:val="0"/>
                <w:color w:val="auto"/>
                <w:sz w:val="21"/>
                <w:szCs w:val="21"/>
                <w:highlight w:val="none"/>
              </w:rPr>
            </w:pPr>
            <w:r>
              <w:rPr>
                <w:i w:val="0"/>
                <w:iCs w:val="0"/>
                <w:color w:val="auto"/>
                <w:sz w:val="21"/>
                <w:szCs w:val="21"/>
                <w:highlight w:val="none"/>
              </w:rPr>
              <w:t>支持知识关联，系统内的知识点有一些是存在相似或者内容关联等性质的，支持知识关联功能，使所有知识能够有效的被利用；</w:t>
            </w:r>
          </w:p>
          <w:p w14:paraId="3E64F4FB">
            <w:pPr>
              <w:pStyle w:val="143"/>
              <w:bidi w:val="0"/>
              <w:jc w:val="left"/>
              <w:rPr>
                <w:i w:val="0"/>
                <w:iCs w:val="0"/>
                <w:color w:val="auto"/>
                <w:sz w:val="21"/>
                <w:szCs w:val="21"/>
                <w:highlight w:val="none"/>
              </w:rPr>
            </w:pPr>
            <w:r>
              <w:rPr>
                <w:i w:val="0"/>
                <w:iCs w:val="0"/>
                <w:color w:val="auto"/>
                <w:sz w:val="21"/>
                <w:szCs w:val="21"/>
                <w:highlight w:val="none"/>
              </w:rPr>
              <w:t>支持搜索功能，支持分类搜索、快速搜索、高级搜索等功能。搜索准确并可以第一时间查询到满足条件的信息；</w:t>
            </w:r>
          </w:p>
          <w:p w14:paraId="421707D7">
            <w:pPr>
              <w:pStyle w:val="143"/>
              <w:bidi w:val="0"/>
              <w:jc w:val="left"/>
              <w:rPr>
                <w:i w:val="0"/>
                <w:iCs w:val="0"/>
                <w:color w:val="auto"/>
                <w:sz w:val="21"/>
                <w:szCs w:val="21"/>
                <w:highlight w:val="none"/>
              </w:rPr>
            </w:pPr>
            <w:r>
              <w:rPr>
                <w:i w:val="0"/>
                <w:iCs w:val="0"/>
                <w:color w:val="auto"/>
                <w:sz w:val="21"/>
                <w:szCs w:val="21"/>
                <w:highlight w:val="none"/>
              </w:rPr>
              <w:t>支持显示最新和最热知识，按照时间排序，方便使用人员快速查找；</w:t>
            </w:r>
          </w:p>
          <w:p w14:paraId="0894A7F6">
            <w:pPr>
              <w:pStyle w:val="143"/>
              <w:bidi w:val="0"/>
              <w:jc w:val="left"/>
              <w:rPr>
                <w:i w:val="0"/>
                <w:iCs w:val="0"/>
                <w:color w:val="auto"/>
                <w:sz w:val="21"/>
                <w:szCs w:val="21"/>
                <w:highlight w:val="none"/>
              </w:rPr>
            </w:pPr>
            <w:r>
              <w:rPr>
                <w:i w:val="0"/>
                <w:iCs w:val="0"/>
                <w:color w:val="auto"/>
                <w:sz w:val="21"/>
                <w:szCs w:val="21"/>
                <w:highlight w:val="none"/>
              </w:rPr>
              <w:t>提供任务列表，方便员工安排工作任务。不同的用户登录知识管理系统可以展示不同的内容，根据用户不同的权限和角色，展示出不同的菜单组合布局。</w:t>
            </w:r>
          </w:p>
        </w:tc>
      </w:tr>
    </w:tbl>
    <w:p w14:paraId="4D38A94D">
      <w:pPr>
        <w:pStyle w:val="142"/>
        <w:ind w:firstLine="420"/>
        <w:rPr>
          <w:rFonts w:hint="eastAsia"/>
          <w:i w:val="0"/>
          <w:iCs w:val="0"/>
          <w:color w:val="auto"/>
          <w:sz w:val="21"/>
          <w:szCs w:val="15"/>
          <w:highlight w:val="none"/>
          <w:lang w:val="en-US" w:eastAsia="zh-CN"/>
        </w:rPr>
      </w:pPr>
    </w:p>
    <w:p w14:paraId="56D12C0E">
      <w:pPr>
        <w:pStyle w:val="6"/>
        <w:ind w:left="0"/>
        <w:rPr>
          <w:rFonts w:hint="eastAsia"/>
          <w:i w:val="0"/>
          <w:iCs w:val="0"/>
          <w:color w:val="auto"/>
          <w:sz w:val="21"/>
          <w:szCs w:val="21"/>
          <w:highlight w:val="none"/>
        </w:rPr>
      </w:pPr>
      <w:r>
        <w:rPr>
          <w:rFonts w:hint="eastAsia"/>
          <w:i w:val="0"/>
          <w:iCs w:val="0"/>
          <w:color w:val="auto"/>
          <w:sz w:val="21"/>
          <w:szCs w:val="21"/>
          <w:highlight w:val="none"/>
        </w:rPr>
        <w:t>故障预警功能</w:t>
      </w:r>
    </w:p>
    <w:p w14:paraId="56D12C0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具备设备性能分析后的隐患预警功能，可基于动作次数、运行时间、设备最近一次故障时间、设备使用频率等，从而分析当前各模块工作组件的故障情况和实际故障发生之间的运作曲线，从而提前给出故障预警，介入到维修当中。包含但不限于以下预警范围：</w:t>
      </w:r>
    </w:p>
    <w:p w14:paraId="56D12C1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SC服务器性能状态趋势分析，能提供服务器设备指标异常的隐患分析；</w:t>
      </w:r>
    </w:p>
    <w:p w14:paraId="56D12C1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闸机动作次数与运行时间、故障次数的趋势分析，能提供闸机开关门、模块的隐患分析；</w:t>
      </w:r>
    </w:p>
    <w:p w14:paraId="56D12C1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车站交换机性能状态趋势分析，能提供交换机设备指标异常的隐患分析。</w:t>
      </w:r>
    </w:p>
    <w:p w14:paraId="56D12C13">
      <w:pPr>
        <w:pStyle w:val="5"/>
        <w:ind w:left="0"/>
        <w:rPr>
          <w:i w:val="0"/>
          <w:iCs w:val="0"/>
          <w:color w:val="auto"/>
          <w:sz w:val="22"/>
          <w:szCs w:val="22"/>
          <w:highlight w:val="none"/>
        </w:rPr>
      </w:pPr>
      <w:bookmarkStart w:id="162" w:name="bookmark127"/>
      <w:bookmarkEnd w:id="162"/>
      <w:bookmarkStart w:id="163" w:name="_Toc6448"/>
      <w:r>
        <w:rPr>
          <w:rFonts w:hint="eastAsia"/>
          <w:i w:val="0"/>
          <w:iCs w:val="0"/>
          <w:color w:val="auto"/>
          <w:sz w:val="22"/>
          <w:szCs w:val="22"/>
          <w:highlight w:val="none"/>
        </w:rPr>
        <w:t>系统接口</w:t>
      </w:r>
      <w:bookmarkEnd w:id="163"/>
    </w:p>
    <w:p w14:paraId="56D12C1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AFC智能运维系统部署于中心的云化服务器，与AFC系统在控制中心设置系统接口，通过控制中心综合监控网络上传至云化服务器，采用软件协议完成数据交换。</w:t>
      </w:r>
    </w:p>
    <w:p w14:paraId="56D12C15">
      <w:pPr>
        <w:pStyle w:val="4"/>
        <w:rPr>
          <w:i w:val="0"/>
          <w:iCs w:val="0"/>
          <w:color w:val="auto"/>
          <w:sz w:val="24"/>
          <w:szCs w:val="21"/>
          <w:highlight w:val="none"/>
        </w:rPr>
      </w:pPr>
      <w:bookmarkStart w:id="164" w:name="bookmark133"/>
      <w:bookmarkEnd w:id="164"/>
      <w:bookmarkStart w:id="165" w:name="bookmark128"/>
      <w:bookmarkEnd w:id="165"/>
      <w:bookmarkStart w:id="166" w:name="_Toc32609"/>
      <w:r>
        <w:rPr>
          <w:rFonts w:hint="eastAsia"/>
          <w:i w:val="0"/>
          <w:iCs w:val="0"/>
          <w:color w:val="auto"/>
          <w:sz w:val="24"/>
          <w:szCs w:val="21"/>
          <w:highlight w:val="none"/>
        </w:rPr>
        <w:t>电扶梯智能运维</w:t>
      </w:r>
      <w:bookmarkEnd w:id="166"/>
    </w:p>
    <w:p w14:paraId="56D12C1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从</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zh-CN" w:eastAsia="zh-CN"/>
        </w:rPr>
        <w:t>464台扶梯中，选取白鸽咀等6个站的99台高客流强度扶梯中的80台（</w:t>
      </w:r>
      <w:r>
        <w:rPr>
          <w:rFonts w:hint="eastAsia"/>
          <w:i w:val="0"/>
          <w:iCs w:val="0"/>
          <w:color w:val="auto"/>
          <w:sz w:val="21"/>
          <w:szCs w:val="15"/>
          <w:highlight w:val="none"/>
          <w:lang w:val="en-US" w:eastAsia="zh-CN"/>
        </w:rPr>
        <w:t>长庆</w:t>
      </w:r>
      <w:r>
        <w:rPr>
          <w:rFonts w:hint="eastAsia"/>
          <w:i w:val="0"/>
          <w:iCs w:val="0"/>
          <w:color w:val="auto"/>
          <w:sz w:val="21"/>
          <w:szCs w:val="15"/>
          <w:highlight w:val="none"/>
          <w:lang w:val="zh-CN" w:eastAsia="zh-CN"/>
        </w:rPr>
        <w:t>站康力</w:t>
      </w:r>
      <w:r>
        <w:rPr>
          <w:rFonts w:hint="eastAsia"/>
          <w:i w:val="0"/>
          <w:iCs w:val="0"/>
          <w:color w:val="auto"/>
          <w:sz w:val="21"/>
          <w:szCs w:val="15"/>
          <w:highlight w:val="none"/>
          <w:lang w:val="en-US" w:eastAsia="zh-CN"/>
        </w:rPr>
        <w:t>10</w:t>
      </w:r>
      <w:r>
        <w:rPr>
          <w:rFonts w:hint="eastAsia"/>
          <w:i w:val="0"/>
          <w:iCs w:val="0"/>
          <w:color w:val="auto"/>
          <w:sz w:val="21"/>
          <w:szCs w:val="15"/>
          <w:highlight w:val="none"/>
          <w:lang w:val="zh-CN" w:eastAsia="zh-CN"/>
        </w:rPr>
        <w:t>台、涧塘站康力9台、</w:t>
      </w:r>
      <w:r>
        <w:rPr>
          <w:rFonts w:hint="eastAsia"/>
          <w:i w:val="0"/>
          <w:iCs w:val="0"/>
          <w:color w:val="auto"/>
          <w:sz w:val="21"/>
          <w:szCs w:val="15"/>
          <w:highlight w:val="none"/>
          <w:lang w:val="en-US" w:eastAsia="zh-CN"/>
        </w:rPr>
        <w:t>长丰站康力10台、</w:t>
      </w:r>
      <w:r>
        <w:rPr>
          <w:rFonts w:hint="eastAsia"/>
          <w:i w:val="0"/>
          <w:iCs w:val="0"/>
          <w:color w:val="auto"/>
          <w:sz w:val="21"/>
          <w:szCs w:val="15"/>
          <w:highlight w:val="none"/>
          <w:lang w:val="zh-CN" w:eastAsia="zh-CN"/>
        </w:rPr>
        <w:t>白鸽咀站康力</w:t>
      </w:r>
      <w:r>
        <w:rPr>
          <w:rFonts w:hint="eastAsia"/>
          <w:i w:val="0"/>
          <w:iCs w:val="0"/>
          <w:color w:val="auto"/>
          <w:sz w:val="21"/>
          <w:szCs w:val="15"/>
          <w:highlight w:val="none"/>
          <w:lang w:val="en-US" w:eastAsia="zh-CN"/>
        </w:rPr>
        <w:t>2</w:t>
      </w:r>
      <w:r>
        <w:rPr>
          <w:rFonts w:hint="eastAsia"/>
          <w:i w:val="0"/>
          <w:iCs w:val="0"/>
          <w:color w:val="auto"/>
          <w:sz w:val="21"/>
          <w:szCs w:val="15"/>
          <w:highlight w:val="none"/>
          <w:lang w:val="zh-CN" w:eastAsia="zh-CN"/>
        </w:rPr>
        <w:t>4台、湘雅医院站康力</w:t>
      </w:r>
      <w:r>
        <w:rPr>
          <w:rFonts w:hint="eastAsia"/>
          <w:i w:val="0"/>
          <w:iCs w:val="0"/>
          <w:color w:val="auto"/>
          <w:sz w:val="21"/>
          <w:szCs w:val="15"/>
          <w:highlight w:val="none"/>
          <w:lang w:val="en-US" w:eastAsia="zh-CN"/>
        </w:rPr>
        <w:t>11</w:t>
      </w:r>
      <w:r>
        <w:rPr>
          <w:rFonts w:hint="eastAsia"/>
          <w:i w:val="0"/>
          <w:iCs w:val="0"/>
          <w:color w:val="auto"/>
          <w:sz w:val="21"/>
          <w:szCs w:val="15"/>
          <w:highlight w:val="none"/>
          <w:lang w:val="zh-CN" w:eastAsia="zh-CN"/>
        </w:rPr>
        <w:t>台、窑岭湘雅二医院站康力1</w:t>
      </w:r>
      <w:r>
        <w:rPr>
          <w:rFonts w:hint="eastAsia"/>
          <w:i w:val="0"/>
          <w:iCs w:val="0"/>
          <w:color w:val="auto"/>
          <w:sz w:val="21"/>
          <w:szCs w:val="15"/>
          <w:highlight w:val="none"/>
          <w:lang w:val="en-US" w:eastAsia="zh-CN"/>
        </w:rPr>
        <w:t>6</w:t>
      </w:r>
      <w:r>
        <w:rPr>
          <w:rFonts w:hint="eastAsia"/>
          <w:i w:val="0"/>
          <w:iCs w:val="0"/>
          <w:color w:val="auto"/>
          <w:sz w:val="21"/>
          <w:szCs w:val="15"/>
          <w:highlight w:val="none"/>
          <w:lang w:val="zh-CN" w:eastAsia="zh-CN"/>
        </w:rPr>
        <w:t>台）安装智能运维硬件设备，实现故障诊断、故障预测和全生命周期管理等功能。</w:t>
      </w:r>
    </w:p>
    <w:p w14:paraId="56D12C18">
      <w:pPr>
        <w:pStyle w:val="5"/>
        <w:ind w:left="0"/>
        <w:rPr>
          <w:i w:val="0"/>
          <w:iCs w:val="0"/>
          <w:color w:val="auto"/>
          <w:sz w:val="22"/>
          <w:szCs w:val="22"/>
          <w:highlight w:val="none"/>
        </w:rPr>
      </w:pPr>
      <w:bookmarkStart w:id="167" w:name="bookmark134"/>
      <w:bookmarkEnd w:id="167"/>
      <w:bookmarkStart w:id="168" w:name="_Toc24676"/>
      <w:r>
        <w:rPr>
          <w:rFonts w:hint="eastAsia"/>
          <w:i w:val="0"/>
          <w:iCs w:val="0"/>
          <w:color w:val="auto"/>
          <w:sz w:val="22"/>
          <w:szCs w:val="22"/>
          <w:highlight w:val="none"/>
        </w:rPr>
        <w:t>系统功能</w:t>
      </w:r>
      <w:bookmarkEnd w:id="168"/>
    </w:p>
    <w:p w14:paraId="56D12C19">
      <w:pPr>
        <w:pStyle w:val="6"/>
        <w:ind w:left="0"/>
        <w:rPr>
          <w:i w:val="0"/>
          <w:iCs w:val="0"/>
          <w:color w:val="auto"/>
          <w:sz w:val="21"/>
          <w:szCs w:val="21"/>
          <w:highlight w:val="none"/>
        </w:rPr>
      </w:pPr>
      <w:r>
        <w:rPr>
          <w:rFonts w:hint="eastAsia"/>
          <w:i w:val="0"/>
          <w:iCs w:val="0"/>
          <w:color w:val="auto"/>
          <w:sz w:val="21"/>
          <w:szCs w:val="21"/>
          <w:highlight w:val="none"/>
        </w:rPr>
        <w:t>设备台账</w:t>
      </w:r>
    </w:p>
    <w:p w14:paraId="56D12C1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设备台账包含长沙六号线自动扶梯基本信息，包括所有监测自动扶梯名称、位置、使用记录和运行信息。设备</w:t>
      </w:r>
      <w:r>
        <w:rPr>
          <w:rFonts w:hint="eastAsia"/>
          <w:i w:val="0"/>
          <w:iCs w:val="0"/>
          <w:color w:val="auto"/>
          <w:sz w:val="21"/>
          <w:szCs w:val="15"/>
          <w:highlight w:val="none"/>
          <w:lang w:val="en-US" w:eastAsia="zh-CN"/>
        </w:rPr>
        <w:t>档案</w:t>
      </w:r>
      <w:r>
        <w:rPr>
          <w:rFonts w:hint="eastAsia"/>
          <w:i w:val="0"/>
          <w:iCs w:val="0"/>
          <w:color w:val="auto"/>
          <w:sz w:val="21"/>
          <w:szCs w:val="15"/>
          <w:highlight w:val="none"/>
          <w:lang w:val="zh-CN" w:eastAsia="zh-CN"/>
        </w:rPr>
        <w:t>包括设备ID信息、设计参数信息、厂家型号等相关数据库的重要设备档案信息。</w:t>
      </w:r>
    </w:p>
    <w:p w14:paraId="56D12C1B">
      <w:pPr>
        <w:pStyle w:val="6"/>
        <w:ind w:left="0"/>
        <w:rPr>
          <w:i w:val="0"/>
          <w:iCs w:val="0"/>
          <w:color w:val="auto"/>
          <w:sz w:val="21"/>
          <w:szCs w:val="21"/>
          <w:highlight w:val="none"/>
        </w:rPr>
      </w:pPr>
      <w:r>
        <w:rPr>
          <w:rFonts w:hint="eastAsia"/>
          <w:i w:val="0"/>
          <w:iCs w:val="0"/>
          <w:color w:val="auto"/>
          <w:sz w:val="21"/>
          <w:szCs w:val="21"/>
          <w:highlight w:val="none"/>
        </w:rPr>
        <w:t>实时监测</w:t>
      </w:r>
    </w:p>
    <w:p w14:paraId="56D12C1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提供自动扶梯设备组态图与运行参数变化，实时呈现振动、PLC 等关键数据，确保模拟图与监控画面一致；实现系统通讯、设备运行、安全开关等既有数据的实时监视，以及电机、减速机等新增振动和温度数据的监测；具备界面缩放、历史回放等多种操作功能，支持组态大屏展示提供自动扶梯设备组态图与运行参数变化，实时呈现振动、PLC 等关键数据，确保模拟图与监控画面一致；可实现系统通讯、设备运行、安全开关等既有数据的实时监视，以及电机、减速机等新增振动和温度数据的监测；具备界面缩放、历史回放等多种操作功能，支持组态大屏展示。</w:t>
      </w:r>
    </w:p>
    <w:p w14:paraId="56D12C1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电扶梯智能运维系统数据来源包括新增传感器定位和既有数据接口两部分。每部梯的数据传输架构如下图所示。在每部梯设置电扶梯采集单元，采集单元下挂各类传感器，包括电机驱动端振动传感器、减速机振动传感器、底座振动传感器、温度传感器等；同时采集单元支持串口通信，与电扶梯既有控制箱进行数据交互，获取电扶梯自身设备相关信息。传感器测点和接口上传数据内容分别如下方表格内容所示。</w:t>
      </w:r>
    </w:p>
    <w:p w14:paraId="56D12C1E">
      <w:pPr>
        <w:pStyle w:val="34"/>
        <w:kinsoku w:val="0"/>
        <w:overflowPunct w:val="0"/>
        <w:spacing w:line="360" w:lineRule="auto"/>
        <w:ind w:firstLine="420" w:firstLineChars="200"/>
        <w:jc w:val="center"/>
        <w:rPr>
          <w:rFonts w:hint="eastAsia" w:ascii="宋体" w:hAnsi="宋体" w:eastAsia="宋体" w:cs="仿宋"/>
          <w:i w:val="0"/>
          <w:iCs w:val="0"/>
          <w:color w:val="auto"/>
          <w:spacing w:val="-4"/>
          <w:sz w:val="16"/>
          <w:szCs w:val="16"/>
          <w:highlight w:val="none"/>
        </w:rPr>
      </w:pPr>
      <w:r>
        <w:rPr>
          <w:rFonts w:hint="eastAsia"/>
          <w:i w:val="0"/>
          <w:iCs w:val="0"/>
          <w:color w:val="auto"/>
          <w:sz w:val="21"/>
          <w:szCs w:val="20"/>
          <w:highlight w:val="none"/>
        </w:rPr>
        <w:drawing>
          <wp:inline distT="0" distB="0" distL="0" distR="0">
            <wp:extent cx="3848735" cy="1828800"/>
            <wp:effectExtent l="0" t="0" r="6985" b="0"/>
            <wp:docPr id="1658235148" name="图片 12" descr="日程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235148" name="图片 12" descr="日程表&#10;&#10;AI 生成的内容可能不正确。"/>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848735" cy="1828800"/>
                    </a:xfrm>
                    <a:prstGeom prst="rect">
                      <a:avLst/>
                    </a:prstGeom>
                    <a:noFill/>
                    <a:ln>
                      <a:noFill/>
                    </a:ln>
                  </pic:spPr>
                </pic:pic>
              </a:graphicData>
            </a:graphic>
          </wp:inline>
        </w:drawing>
      </w:r>
    </w:p>
    <w:p w14:paraId="56D12C1F">
      <w:pPr>
        <w:pStyle w:val="34"/>
        <w:kinsoku w:val="0"/>
        <w:overflowPunct w:val="0"/>
        <w:spacing w:line="360" w:lineRule="auto"/>
        <w:ind w:firstLine="304" w:firstLineChars="200"/>
        <w:rPr>
          <w:rFonts w:hint="eastAsia" w:ascii="宋体" w:hAnsi="宋体" w:eastAsia="宋体" w:cs="仿宋"/>
          <w:i w:val="0"/>
          <w:iCs w:val="0"/>
          <w:color w:val="auto"/>
          <w:spacing w:val="-4"/>
          <w:sz w:val="16"/>
          <w:szCs w:val="16"/>
          <w:highlight w:val="none"/>
        </w:rPr>
      </w:pPr>
    </w:p>
    <w:p w14:paraId="56D12C2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新增传感器测点数据：</w:t>
      </w:r>
    </w:p>
    <w:tbl>
      <w:tblPr>
        <w:tblStyle w:val="88"/>
        <w:tblW w:w="0" w:type="auto"/>
        <w:jc w:val="center"/>
        <w:tblLayout w:type="fixed"/>
        <w:tblCellMar>
          <w:top w:w="0" w:type="dxa"/>
          <w:left w:w="0" w:type="dxa"/>
          <w:bottom w:w="0" w:type="dxa"/>
          <w:right w:w="0" w:type="dxa"/>
        </w:tblCellMar>
      </w:tblPr>
      <w:tblGrid>
        <w:gridCol w:w="1987"/>
        <w:gridCol w:w="3762"/>
      </w:tblGrid>
      <w:tr w14:paraId="56D12C23">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shd w:val="clear" w:color="auto" w:fill="D5D5D5"/>
          </w:tcPr>
          <w:p w14:paraId="56D12C21">
            <w:pPr>
              <w:pStyle w:val="143"/>
              <w:bidi w:val="0"/>
              <w:rPr>
                <w:rFonts w:hint="eastAsia"/>
                <w:i w:val="0"/>
                <w:iCs w:val="0"/>
                <w:color w:val="auto"/>
                <w:sz w:val="21"/>
                <w:szCs w:val="21"/>
                <w:highlight w:val="none"/>
              </w:rPr>
            </w:pPr>
            <w:r>
              <w:rPr>
                <w:rFonts w:hint="eastAsia"/>
                <w:i w:val="0"/>
                <w:iCs w:val="0"/>
                <w:color w:val="auto"/>
                <w:sz w:val="21"/>
                <w:szCs w:val="21"/>
                <w:highlight w:val="none"/>
              </w:rPr>
              <w:t>序号</w:t>
            </w:r>
          </w:p>
        </w:tc>
        <w:tc>
          <w:tcPr>
            <w:tcW w:w="3762" w:type="dxa"/>
            <w:tcBorders>
              <w:top w:val="single" w:color="000000" w:sz="4" w:space="0"/>
              <w:left w:val="nil"/>
              <w:bottom w:val="single" w:color="000000" w:sz="4" w:space="0"/>
              <w:right w:val="single" w:color="000000" w:sz="4" w:space="0"/>
            </w:tcBorders>
            <w:shd w:val="clear" w:color="auto" w:fill="D5D5D5"/>
          </w:tcPr>
          <w:p w14:paraId="56D12C22">
            <w:pPr>
              <w:pStyle w:val="143"/>
              <w:bidi w:val="0"/>
              <w:rPr>
                <w:rFonts w:hint="eastAsia"/>
                <w:i w:val="0"/>
                <w:iCs w:val="0"/>
                <w:color w:val="auto"/>
                <w:sz w:val="21"/>
                <w:szCs w:val="21"/>
                <w:highlight w:val="none"/>
              </w:rPr>
            </w:pPr>
            <w:r>
              <w:rPr>
                <w:rFonts w:hint="eastAsia"/>
                <w:i w:val="0"/>
                <w:iCs w:val="0"/>
                <w:color w:val="auto"/>
                <w:sz w:val="21"/>
                <w:szCs w:val="21"/>
                <w:highlight w:val="none"/>
              </w:rPr>
              <w:t>数据内容</w:t>
            </w:r>
          </w:p>
        </w:tc>
      </w:tr>
      <w:tr w14:paraId="56D12C26">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tcPr>
          <w:p w14:paraId="56D12C24">
            <w:pPr>
              <w:pStyle w:val="143"/>
              <w:bidi w:val="0"/>
              <w:rPr>
                <w:rFonts w:hint="eastAsia"/>
                <w:i w:val="0"/>
                <w:iCs w:val="0"/>
                <w:color w:val="auto"/>
                <w:sz w:val="21"/>
                <w:szCs w:val="21"/>
                <w:highlight w:val="none"/>
              </w:rPr>
            </w:pPr>
            <w:r>
              <w:rPr>
                <w:rFonts w:hint="eastAsia"/>
                <w:i w:val="0"/>
                <w:iCs w:val="0"/>
                <w:color w:val="auto"/>
                <w:sz w:val="21"/>
                <w:szCs w:val="21"/>
                <w:highlight w:val="none"/>
              </w:rPr>
              <w:t>1</w:t>
            </w:r>
          </w:p>
        </w:tc>
        <w:tc>
          <w:tcPr>
            <w:tcW w:w="3762" w:type="dxa"/>
            <w:tcBorders>
              <w:top w:val="single" w:color="000000" w:sz="4" w:space="0"/>
              <w:left w:val="nil"/>
              <w:bottom w:val="single" w:color="000000" w:sz="4" w:space="0"/>
              <w:right w:val="single" w:color="000000" w:sz="4" w:space="0"/>
            </w:tcBorders>
          </w:tcPr>
          <w:p w14:paraId="56D12C25">
            <w:pPr>
              <w:pStyle w:val="143"/>
              <w:bidi w:val="0"/>
              <w:rPr>
                <w:rFonts w:hint="eastAsia"/>
                <w:i w:val="0"/>
                <w:iCs w:val="0"/>
                <w:color w:val="auto"/>
                <w:sz w:val="21"/>
                <w:szCs w:val="21"/>
                <w:highlight w:val="none"/>
              </w:rPr>
            </w:pPr>
            <w:r>
              <w:rPr>
                <w:rFonts w:hint="eastAsia"/>
                <w:i w:val="0"/>
                <w:iCs w:val="0"/>
                <w:color w:val="auto"/>
                <w:sz w:val="21"/>
                <w:szCs w:val="21"/>
                <w:highlight w:val="none"/>
              </w:rPr>
              <w:t>电机驱动端横向振动</w:t>
            </w:r>
          </w:p>
        </w:tc>
      </w:tr>
      <w:tr w14:paraId="56D12C29">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tcPr>
          <w:p w14:paraId="56D12C27">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3762" w:type="dxa"/>
            <w:tcBorders>
              <w:top w:val="single" w:color="000000" w:sz="4" w:space="0"/>
              <w:left w:val="nil"/>
              <w:bottom w:val="single" w:color="000000" w:sz="4" w:space="0"/>
              <w:right w:val="single" w:color="000000" w:sz="4" w:space="0"/>
            </w:tcBorders>
          </w:tcPr>
          <w:p w14:paraId="56D12C28">
            <w:pPr>
              <w:pStyle w:val="143"/>
              <w:bidi w:val="0"/>
              <w:rPr>
                <w:rFonts w:hint="eastAsia"/>
                <w:i w:val="0"/>
                <w:iCs w:val="0"/>
                <w:color w:val="auto"/>
                <w:sz w:val="21"/>
                <w:szCs w:val="21"/>
                <w:highlight w:val="none"/>
              </w:rPr>
            </w:pPr>
            <w:r>
              <w:rPr>
                <w:rFonts w:hint="eastAsia"/>
                <w:i w:val="0"/>
                <w:iCs w:val="0"/>
                <w:color w:val="auto"/>
                <w:sz w:val="21"/>
                <w:szCs w:val="21"/>
                <w:highlight w:val="none"/>
              </w:rPr>
              <w:t>电机驱动端纵向振动</w:t>
            </w:r>
          </w:p>
        </w:tc>
      </w:tr>
      <w:tr w14:paraId="56D12C2C">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tcPr>
          <w:p w14:paraId="56D12C2A">
            <w:pPr>
              <w:pStyle w:val="143"/>
              <w:bidi w:val="0"/>
              <w:rPr>
                <w:rFonts w:hint="eastAsia"/>
                <w:i w:val="0"/>
                <w:iCs w:val="0"/>
                <w:color w:val="auto"/>
                <w:sz w:val="21"/>
                <w:szCs w:val="21"/>
                <w:highlight w:val="none"/>
              </w:rPr>
            </w:pPr>
            <w:r>
              <w:rPr>
                <w:rFonts w:hint="eastAsia"/>
                <w:i w:val="0"/>
                <w:iCs w:val="0"/>
                <w:color w:val="auto"/>
                <w:sz w:val="21"/>
                <w:szCs w:val="21"/>
                <w:highlight w:val="none"/>
              </w:rPr>
              <w:t>3</w:t>
            </w:r>
          </w:p>
        </w:tc>
        <w:tc>
          <w:tcPr>
            <w:tcW w:w="3762" w:type="dxa"/>
            <w:tcBorders>
              <w:top w:val="single" w:color="000000" w:sz="4" w:space="0"/>
              <w:left w:val="nil"/>
              <w:bottom w:val="single" w:color="000000" w:sz="4" w:space="0"/>
              <w:right w:val="single" w:color="000000" w:sz="4" w:space="0"/>
            </w:tcBorders>
          </w:tcPr>
          <w:p w14:paraId="56D12C2B">
            <w:pPr>
              <w:pStyle w:val="143"/>
              <w:bidi w:val="0"/>
              <w:rPr>
                <w:rFonts w:hint="eastAsia"/>
                <w:i w:val="0"/>
                <w:iCs w:val="0"/>
                <w:color w:val="auto"/>
                <w:sz w:val="21"/>
                <w:szCs w:val="21"/>
                <w:highlight w:val="none"/>
              </w:rPr>
            </w:pPr>
            <w:r>
              <w:rPr>
                <w:rFonts w:hint="eastAsia"/>
                <w:i w:val="0"/>
                <w:iCs w:val="0"/>
                <w:color w:val="auto"/>
                <w:sz w:val="21"/>
                <w:szCs w:val="21"/>
                <w:highlight w:val="none"/>
              </w:rPr>
              <w:t>电机驱动端轴向振动</w:t>
            </w:r>
          </w:p>
        </w:tc>
      </w:tr>
      <w:tr w14:paraId="56D12C2F">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tcPr>
          <w:p w14:paraId="56D12C2D">
            <w:pPr>
              <w:pStyle w:val="143"/>
              <w:bidi w:val="0"/>
              <w:rPr>
                <w:rFonts w:hint="eastAsia"/>
                <w:i w:val="0"/>
                <w:iCs w:val="0"/>
                <w:color w:val="auto"/>
                <w:sz w:val="21"/>
                <w:szCs w:val="21"/>
                <w:highlight w:val="none"/>
              </w:rPr>
            </w:pPr>
            <w:r>
              <w:rPr>
                <w:rFonts w:hint="eastAsia"/>
                <w:i w:val="0"/>
                <w:iCs w:val="0"/>
                <w:color w:val="auto"/>
                <w:sz w:val="21"/>
                <w:szCs w:val="21"/>
                <w:highlight w:val="none"/>
              </w:rPr>
              <w:t>4</w:t>
            </w:r>
          </w:p>
        </w:tc>
        <w:tc>
          <w:tcPr>
            <w:tcW w:w="3762" w:type="dxa"/>
            <w:tcBorders>
              <w:top w:val="single" w:color="000000" w:sz="4" w:space="0"/>
              <w:left w:val="nil"/>
              <w:bottom w:val="single" w:color="000000" w:sz="4" w:space="0"/>
              <w:right w:val="single" w:color="000000" w:sz="4" w:space="0"/>
            </w:tcBorders>
          </w:tcPr>
          <w:p w14:paraId="56D12C2E">
            <w:pPr>
              <w:pStyle w:val="143"/>
              <w:bidi w:val="0"/>
              <w:rPr>
                <w:rFonts w:hint="eastAsia"/>
                <w:i w:val="0"/>
                <w:iCs w:val="0"/>
                <w:color w:val="auto"/>
                <w:sz w:val="21"/>
                <w:szCs w:val="21"/>
                <w:highlight w:val="none"/>
              </w:rPr>
            </w:pPr>
            <w:r>
              <w:rPr>
                <w:rFonts w:hint="eastAsia"/>
                <w:i w:val="0"/>
                <w:iCs w:val="0"/>
                <w:color w:val="auto"/>
                <w:sz w:val="21"/>
                <w:szCs w:val="21"/>
                <w:highlight w:val="none"/>
              </w:rPr>
              <w:t>减速机横向振动</w:t>
            </w:r>
          </w:p>
        </w:tc>
      </w:tr>
      <w:tr w14:paraId="56D12C32">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tcPr>
          <w:p w14:paraId="56D12C30">
            <w:pPr>
              <w:pStyle w:val="143"/>
              <w:bidi w:val="0"/>
              <w:rPr>
                <w:rFonts w:hint="eastAsia"/>
                <w:i w:val="0"/>
                <w:iCs w:val="0"/>
                <w:color w:val="auto"/>
                <w:sz w:val="21"/>
                <w:szCs w:val="21"/>
                <w:highlight w:val="none"/>
              </w:rPr>
            </w:pPr>
            <w:r>
              <w:rPr>
                <w:rFonts w:hint="eastAsia"/>
                <w:i w:val="0"/>
                <w:iCs w:val="0"/>
                <w:color w:val="auto"/>
                <w:sz w:val="21"/>
                <w:szCs w:val="21"/>
                <w:highlight w:val="none"/>
              </w:rPr>
              <w:t>5</w:t>
            </w:r>
          </w:p>
        </w:tc>
        <w:tc>
          <w:tcPr>
            <w:tcW w:w="3762" w:type="dxa"/>
            <w:tcBorders>
              <w:top w:val="single" w:color="000000" w:sz="4" w:space="0"/>
              <w:left w:val="nil"/>
              <w:bottom w:val="single" w:color="000000" w:sz="4" w:space="0"/>
              <w:right w:val="single" w:color="000000" w:sz="4" w:space="0"/>
            </w:tcBorders>
          </w:tcPr>
          <w:p w14:paraId="56D12C31">
            <w:pPr>
              <w:pStyle w:val="143"/>
              <w:bidi w:val="0"/>
              <w:rPr>
                <w:rFonts w:hint="eastAsia"/>
                <w:i w:val="0"/>
                <w:iCs w:val="0"/>
                <w:color w:val="auto"/>
                <w:sz w:val="21"/>
                <w:szCs w:val="21"/>
                <w:highlight w:val="none"/>
              </w:rPr>
            </w:pPr>
            <w:r>
              <w:rPr>
                <w:rFonts w:hint="eastAsia"/>
                <w:i w:val="0"/>
                <w:iCs w:val="0"/>
                <w:color w:val="auto"/>
                <w:sz w:val="21"/>
                <w:szCs w:val="21"/>
                <w:highlight w:val="none"/>
              </w:rPr>
              <w:t>减速机纵向振动</w:t>
            </w:r>
          </w:p>
        </w:tc>
      </w:tr>
      <w:tr w14:paraId="56D12C35">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tcPr>
          <w:p w14:paraId="56D12C33">
            <w:pPr>
              <w:pStyle w:val="143"/>
              <w:bidi w:val="0"/>
              <w:rPr>
                <w:rFonts w:hint="eastAsia"/>
                <w:i w:val="0"/>
                <w:iCs w:val="0"/>
                <w:color w:val="auto"/>
                <w:sz w:val="21"/>
                <w:szCs w:val="21"/>
                <w:highlight w:val="none"/>
              </w:rPr>
            </w:pPr>
            <w:r>
              <w:rPr>
                <w:rFonts w:hint="eastAsia"/>
                <w:i w:val="0"/>
                <w:iCs w:val="0"/>
                <w:color w:val="auto"/>
                <w:sz w:val="21"/>
                <w:szCs w:val="21"/>
                <w:highlight w:val="none"/>
              </w:rPr>
              <w:t>6</w:t>
            </w:r>
          </w:p>
        </w:tc>
        <w:tc>
          <w:tcPr>
            <w:tcW w:w="3762" w:type="dxa"/>
            <w:tcBorders>
              <w:top w:val="single" w:color="000000" w:sz="4" w:space="0"/>
              <w:left w:val="nil"/>
              <w:bottom w:val="single" w:color="000000" w:sz="4" w:space="0"/>
              <w:right w:val="single" w:color="000000" w:sz="4" w:space="0"/>
            </w:tcBorders>
          </w:tcPr>
          <w:p w14:paraId="56D12C34">
            <w:pPr>
              <w:pStyle w:val="143"/>
              <w:bidi w:val="0"/>
              <w:rPr>
                <w:rFonts w:hint="eastAsia"/>
                <w:i w:val="0"/>
                <w:iCs w:val="0"/>
                <w:color w:val="auto"/>
                <w:sz w:val="21"/>
                <w:szCs w:val="21"/>
                <w:highlight w:val="none"/>
              </w:rPr>
            </w:pPr>
            <w:r>
              <w:rPr>
                <w:rFonts w:hint="eastAsia"/>
                <w:i w:val="0"/>
                <w:iCs w:val="0"/>
                <w:color w:val="auto"/>
                <w:sz w:val="21"/>
                <w:szCs w:val="21"/>
                <w:highlight w:val="none"/>
              </w:rPr>
              <w:t>底座振动</w:t>
            </w:r>
          </w:p>
        </w:tc>
      </w:tr>
      <w:tr w14:paraId="56D12C38">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tcPr>
          <w:p w14:paraId="56D12C36">
            <w:pPr>
              <w:pStyle w:val="143"/>
              <w:bidi w:val="0"/>
              <w:rPr>
                <w:rFonts w:hint="eastAsia"/>
                <w:i w:val="0"/>
                <w:iCs w:val="0"/>
                <w:color w:val="auto"/>
                <w:sz w:val="21"/>
                <w:szCs w:val="21"/>
                <w:highlight w:val="none"/>
              </w:rPr>
            </w:pPr>
            <w:r>
              <w:rPr>
                <w:rFonts w:hint="eastAsia"/>
                <w:i w:val="0"/>
                <w:iCs w:val="0"/>
                <w:color w:val="auto"/>
                <w:sz w:val="21"/>
                <w:szCs w:val="21"/>
                <w:highlight w:val="none"/>
              </w:rPr>
              <w:t>8</w:t>
            </w:r>
          </w:p>
        </w:tc>
        <w:tc>
          <w:tcPr>
            <w:tcW w:w="3762" w:type="dxa"/>
            <w:tcBorders>
              <w:top w:val="single" w:color="000000" w:sz="4" w:space="0"/>
              <w:left w:val="nil"/>
              <w:bottom w:val="single" w:color="000000" w:sz="4" w:space="0"/>
              <w:right w:val="single" w:color="000000" w:sz="4" w:space="0"/>
            </w:tcBorders>
          </w:tcPr>
          <w:p w14:paraId="56D12C37">
            <w:pPr>
              <w:pStyle w:val="143"/>
              <w:bidi w:val="0"/>
              <w:rPr>
                <w:rFonts w:hint="eastAsia"/>
                <w:i w:val="0"/>
                <w:iCs w:val="0"/>
                <w:color w:val="auto"/>
                <w:sz w:val="21"/>
                <w:szCs w:val="21"/>
                <w:highlight w:val="none"/>
              </w:rPr>
            </w:pPr>
            <w:r>
              <w:rPr>
                <w:rFonts w:hint="eastAsia"/>
                <w:i w:val="0"/>
                <w:iCs w:val="0"/>
                <w:color w:val="auto"/>
                <w:sz w:val="21"/>
                <w:szCs w:val="21"/>
                <w:highlight w:val="none"/>
              </w:rPr>
              <w:t>扶手带温度（左）</w:t>
            </w:r>
          </w:p>
        </w:tc>
      </w:tr>
      <w:tr w14:paraId="56D12C3B">
        <w:tblPrEx>
          <w:tblCellMar>
            <w:top w:w="0" w:type="dxa"/>
            <w:left w:w="0" w:type="dxa"/>
            <w:bottom w:w="0" w:type="dxa"/>
            <w:right w:w="0" w:type="dxa"/>
          </w:tblCellMar>
        </w:tblPrEx>
        <w:trPr>
          <w:trHeight w:val="23" w:hRule="atLeast"/>
          <w:jc w:val="center"/>
        </w:trPr>
        <w:tc>
          <w:tcPr>
            <w:tcW w:w="1987" w:type="dxa"/>
            <w:tcBorders>
              <w:top w:val="single" w:color="000000" w:sz="4" w:space="0"/>
              <w:left w:val="single" w:color="000000" w:sz="4" w:space="0"/>
              <w:bottom w:val="single" w:color="000000" w:sz="4" w:space="0"/>
              <w:right w:val="single" w:color="000000" w:sz="4" w:space="0"/>
            </w:tcBorders>
          </w:tcPr>
          <w:p w14:paraId="56D12C39">
            <w:pPr>
              <w:pStyle w:val="143"/>
              <w:bidi w:val="0"/>
              <w:rPr>
                <w:rFonts w:hint="eastAsia"/>
                <w:i w:val="0"/>
                <w:iCs w:val="0"/>
                <w:color w:val="auto"/>
                <w:sz w:val="21"/>
                <w:szCs w:val="21"/>
                <w:highlight w:val="none"/>
              </w:rPr>
            </w:pPr>
            <w:r>
              <w:rPr>
                <w:rFonts w:hint="eastAsia"/>
                <w:i w:val="0"/>
                <w:iCs w:val="0"/>
                <w:color w:val="auto"/>
                <w:sz w:val="21"/>
                <w:szCs w:val="21"/>
                <w:highlight w:val="none"/>
              </w:rPr>
              <w:t>9</w:t>
            </w:r>
          </w:p>
        </w:tc>
        <w:tc>
          <w:tcPr>
            <w:tcW w:w="3762" w:type="dxa"/>
            <w:tcBorders>
              <w:top w:val="single" w:color="000000" w:sz="4" w:space="0"/>
              <w:left w:val="nil"/>
              <w:bottom w:val="single" w:color="000000" w:sz="4" w:space="0"/>
              <w:right w:val="single" w:color="000000" w:sz="4" w:space="0"/>
            </w:tcBorders>
          </w:tcPr>
          <w:p w14:paraId="56D12C3A">
            <w:pPr>
              <w:pStyle w:val="143"/>
              <w:bidi w:val="0"/>
              <w:rPr>
                <w:rFonts w:hint="eastAsia"/>
                <w:i w:val="0"/>
                <w:iCs w:val="0"/>
                <w:color w:val="auto"/>
                <w:sz w:val="21"/>
                <w:szCs w:val="21"/>
                <w:highlight w:val="none"/>
              </w:rPr>
            </w:pPr>
            <w:r>
              <w:rPr>
                <w:rFonts w:hint="eastAsia"/>
                <w:i w:val="0"/>
                <w:iCs w:val="0"/>
                <w:color w:val="auto"/>
                <w:sz w:val="21"/>
                <w:szCs w:val="21"/>
                <w:highlight w:val="none"/>
              </w:rPr>
              <w:t>扶手带温度（右）</w:t>
            </w:r>
          </w:p>
        </w:tc>
      </w:tr>
    </w:tbl>
    <w:p w14:paraId="56D12C3C">
      <w:pPr>
        <w:pStyle w:val="34"/>
        <w:kinsoku w:val="0"/>
        <w:overflowPunct w:val="0"/>
        <w:spacing w:line="360" w:lineRule="auto"/>
        <w:rPr>
          <w:rFonts w:hint="eastAsia" w:ascii="宋体" w:hAnsi="宋体" w:eastAsia="宋体" w:cs="仿宋"/>
          <w:i w:val="0"/>
          <w:iCs w:val="0"/>
          <w:color w:val="auto"/>
          <w:sz w:val="2"/>
          <w:szCs w:val="2"/>
          <w:highlight w:val="none"/>
        </w:rPr>
      </w:pPr>
    </w:p>
    <w:p w14:paraId="56D12C3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基于GB_T24476《电梯物联网企业应用平台基本要求》，自动扶梯现有监测点位为：</w:t>
      </w:r>
    </w:p>
    <w:p w14:paraId="56D12C3E">
      <w:pPr>
        <w:pStyle w:val="34"/>
        <w:kinsoku w:val="0"/>
        <w:overflowPunct w:val="0"/>
        <w:spacing w:line="360" w:lineRule="auto"/>
        <w:rPr>
          <w:rFonts w:hint="eastAsia" w:ascii="宋体" w:hAnsi="宋体" w:eastAsia="宋体" w:cs="仿宋"/>
          <w:i w:val="0"/>
          <w:iCs w:val="0"/>
          <w:color w:val="auto"/>
          <w:sz w:val="2"/>
          <w:szCs w:val="2"/>
          <w:highlight w:val="none"/>
        </w:rPr>
      </w:pPr>
    </w:p>
    <w:tbl>
      <w:tblPr>
        <w:tblStyle w:val="88"/>
        <w:tblW w:w="6004" w:type="dxa"/>
        <w:jc w:val="center"/>
        <w:tblLayout w:type="fixed"/>
        <w:tblCellMar>
          <w:top w:w="0" w:type="dxa"/>
          <w:left w:w="0" w:type="dxa"/>
          <w:bottom w:w="0" w:type="dxa"/>
          <w:right w:w="0" w:type="dxa"/>
        </w:tblCellMar>
      </w:tblPr>
      <w:tblGrid>
        <w:gridCol w:w="1493"/>
        <w:gridCol w:w="4511"/>
      </w:tblGrid>
      <w:tr w14:paraId="56D12C41">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shd w:val="clear" w:color="auto" w:fill="D5D5D5"/>
          </w:tcPr>
          <w:p w14:paraId="56D12C3F">
            <w:pPr>
              <w:pStyle w:val="143"/>
              <w:bidi w:val="0"/>
              <w:rPr>
                <w:rFonts w:hint="eastAsia"/>
                <w:i w:val="0"/>
                <w:iCs w:val="0"/>
                <w:color w:val="auto"/>
                <w:sz w:val="21"/>
                <w:szCs w:val="21"/>
                <w:highlight w:val="none"/>
              </w:rPr>
            </w:pPr>
            <w:r>
              <w:rPr>
                <w:rFonts w:hint="eastAsia"/>
                <w:i w:val="0"/>
                <w:iCs w:val="0"/>
                <w:color w:val="auto"/>
                <w:sz w:val="21"/>
                <w:szCs w:val="21"/>
                <w:highlight w:val="none"/>
              </w:rPr>
              <w:t>序号</w:t>
            </w:r>
          </w:p>
        </w:tc>
        <w:tc>
          <w:tcPr>
            <w:tcW w:w="4511" w:type="dxa"/>
            <w:tcBorders>
              <w:top w:val="single" w:color="000000" w:sz="4" w:space="0"/>
              <w:left w:val="nil"/>
              <w:bottom w:val="single" w:color="000000" w:sz="4" w:space="0"/>
              <w:right w:val="single" w:color="000000" w:sz="4" w:space="0"/>
            </w:tcBorders>
            <w:shd w:val="clear" w:color="auto" w:fill="D5D5D5"/>
          </w:tcPr>
          <w:p w14:paraId="56D12C40">
            <w:pPr>
              <w:pStyle w:val="143"/>
              <w:bidi w:val="0"/>
              <w:rPr>
                <w:rFonts w:hint="eastAsia"/>
                <w:i w:val="0"/>
                <w:iCs w:val="0"/>
                <w:color w:val="auto"/>
                <w:sz w:val="21"/>
                <w:szCs w:val="21"/>
                <w:highlight w:val="none"/>
              </w:rPr>
            </w:pPr>
            <w:r>
              <w:rPr>
                <w:rFonts w:hint="eastAsia"/>
                <w:i w:val="0"/>
                <w:iCs w:val="0"/>
                <w:color w:val="auto"/>
                <w:sz w:val="21"/>
                <w:szCs w:val="21"/>
                <w:highlight w:val="none"/>
              </w:rPr>
              <w:t>数据内容</w:t>
            </w:r>
          </w:p>
        </w:tc>
      </w:tr>
      <w:tr w14:paraId="56D12C44">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42">
            <w:pPr>
              <w:pStyle w:val="143"/>
              <w:bidi w:val="0"/>
              <w:rPr>
                <w:rFonts w:hint="eastAsia"/>
                <w:i w:val="0"/>
                <w:iCs w:val="0"/>
                <w:color w:val="auto"/>
                <w:sz w:val="21"/>
                <w:szCs w:val="21"/>
                <w:highlight w:val="none"/>
              </w:rPr>
            </w:pPr>
            <w:r>
              <w:rPr>
                <w:rFonts w:hint="eastAsia"/>
                <w:i w:val="0"/>
                <w:iCs w:val="0"/>
                <w:color w:val="auto"/>
                <w:sz w:val="21"/>
                <w:szCs w:val="21"/>
                <w:highlight w:val="none"/>
              </w:rPr>
              <w:t>1</w:t>
            </w:r>
          </w:p>
        </w:tc>
        <w:tc>
          <w:tcPr>
            <w:tcW w:w="4511" w:type="dxa"/>
            <w:tcBorders>
              <w:top w:val="single" w:color="000000" w:sz="4" w:space="0"/>
              <w:left w:val="nil"/>
              <w:bottom w:val="single" w:color="000000" w:sz="4" w:space="0"/>
              <w:right w:val="single" w:color="000000" w:sz="4" w:space="0"/>
            </w:tcBorders>
          </w:tcPr>
          <w:p w14:paraId="56D12C43">
            <w:pPr>
              <w:pStyle w:val="143"/>
              <w:bidi w:val="0"/>
              <w:rPr>
                <w:rFonts w:hint="eastAsia"/>
                <w:i w:val="0"/>
                <w:iCs w:val="0"/>
                <w:color w:val="auto"/>
                <w:sz w:val="21"/>
                <w:szCs w:val="21"/>
                <w:highlight w:val="none"/>
              </w:rPr>
            </w:pPr>
            <w:r>
              <w:rPr>
                <w:rFonts w:hint="eastAsia"/>
                <w:i w:val="0"/>
                <w:iCs w:val="0"/>
                <w:color w:val="auto"/>
                <w:sz w:val="21"/>
                <w:szCs w:val="21"/>
                <w:highlight w:val="none"/>
              </w:rPr>
              <w:t>正常停止</w:t>
            </w:r>
          </w:p>
        </w:tc>
      </w:tr>
      <w:tr w14:paraId="56D12C47">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45">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4511" w:type="dxa"/>
            <w:tcBorders>
              <w:top w:val="single" w:color="000000" w:sz="4" w:space="0"/>
              <w:left w:val="nil"/>
              <w:bottom w:val="single" w:color="000000" w:sz="4" w:space="0"/>
              <w:right w:val="single" w:color="000000" w:sz="4" w:space="0"/>
            </w:tcBorders>
          </w:tcPr>
          <w:p w14:paraId="56D12C46">
            <w:pPr>
              <w:pStyle w:val="143"/>
              <w:bidi w:val="0"/>
              <w:rPr>
                <w:rFonts w:hint="eastAsia"/>
                <w:i w:val="0"/>
                <w:iCs w:val="0"/>
                <w:color w:val="auto"/>
                <w:sz w:val="21"/>
                <w:szCs w:val="21"/>
                <w:highlight w:val="none"/>
              </w:rPr>
            </w:pPr>
            <w:r>
              <w:rPr>
                <w:rFonts w:hint="eastAsia"/>
                <w:i w:val="0"/>
                <w:iCs w:val="0"/>
                <w:color w:val="auto"/>
                <w:sz w:val="21"/>
                <w:szCs w:val="21"/>
                <w:highlight w:val="none"/>
              </w:rPr>
              <w:t>上行运转</w:t>
            </w:r>
          </w:p>
        </w:tc>
      </w:tr>
      <w:tr w14:paraId="56D12C4A">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48">
            <w:pPr>
              <w:pStyle w:val="143"/>
              <w:bidi w:val="0"/>
              <w:rPr>
                <w:rFonts w:hint="eastAsia"/>
                <w:i w:val="0"/>
                <w:iCs w:val="0"/>
                <w:color w:val="auto"/>
                <w:sz w:val="21"/>
                <w:szCs w:val="21"/>
                <w:highlight w:val="none"/>
              </w:rPr>
            </w:pPr>
            <w:r>
              <w:rPr>
                <w:rFonts w:hint="eastAsia"/>
                <w:i w:val="0"/>
                <w:iCs w:val="0"/>
                <w:color w:val="auto"/>
                <w:sz w:val="21"/>
                <w:szCs w:val="21"/>
                <w:highlight w:val="none"/>
              </w:rPr>
              <w:t>3</w:t>
            </w:r>
          </w:p>
        </w:tc>
        <w:tc>
          <w:tcPr>
            <w:tcW w:w="4511" w:type="dxa"/>
            <w:tcBorders>
              <w:top w:val="single" w:color="000000" w:sz="4" w:space="0"/>
              <w:left w:val="nil"/>
              <w:bottom w:val="single" w:color="000000" w:sz="4" w:space="0"/>
              <w:right w:val="single" w:color="000000" w:sz="4" w:space="0"/>
            </w:tcBorders>
          </w:tcPr>
          <w:p w14:paraId="56D12C49">
            <w:pPr>
              <w:pStyle w:val="143"/>
              <w:bidi w:val="0"/>
              <w:rPr>
                <w:rFonts w:hint="eastAsia"/>
                <w:i w:val="0"/>
                <w:iCs w:val="0"/>
                <w:color w:val="auto"/>
                <w:sz w:val="21"/>
                <w:szCs w:val="21"/>
                <w:highlight w:val="none"/>
              </w:rPr>
            </w:pPr>
            <w:r>
              <w:rPr>
                <w:rFonts w:hint="eastAsia"/>
                <w:i w:val="0"/>
                <w:iCs w:val="0"/>
                <w:color w:val="auto"/>
                <w:sz w:val="21"/>
                <w:szCs w:val="21"/>
                <w:highlight w:val="none"/>
              </w:rPr>
              <w:t>下行运转</w:t>
            </w:r>
          </w:p>
        </w:tc>
      </w:tr>
      <w:tr w14:paraId="56D12C4D">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4B">
            <w:pPr>
              <w:pStyle w:val="143"/>
              <w:bidi w:val="0"/>
              <w:rPr>
                <w:rFonts w:hint="eastAsia"/>
                <w:i w:val="0"/>
                <w:iCs w:val="0"/>
                <w:color w:val="auto"/>
                <w:sz w:val="21"/>
                <w:szCs w:val="21"/>
                <w:highlight w:val="none"/>
              </w:rPr>
            </w:pPr>
            <w:r>
              <w:rPr>
                <w:rFonts w:hint="eastAsia"/>
                <w:i w:val="0"/>
                <w:iCs w:val="0"/>
                <w:color w:val="auto"/>
                <w:sz w:val="21"/>
                <w:szCs w:val="21"/>
                <w:highlight w:val="none"/>
              </w:rPr>
              <w:t>4</w:t>
            </w:r>
          </w:p>
        </w:tc>
        <w:tc>
          <w:tcPr>
            <w:tcW w:w="4511" w:type="dxa"/>
            <w:tcBorders>
              <w:top w:val="single" w:color="000000" w:sz="4" w:space="0"/>
              <w:left w:val="nil"/>
              <w:bottom w:val="single" w:color="000000" w:sz="4" w:space="0"/>
              <w:right w:val="single" w:color="000000" w:sz="4" w:space="0"/>
            </w:tcBorders>
          </w:tcPr>
          <w:p w14:paraId="56D12C4C">
            <w:pPr>
              <w:pStyle w:val="143"/>
              <w:bidi w:val="0"/>
              <w:rPr>
                <w:rFonts w:hint="eastAsia"/>
                <w:i w:val="0"/>
                <w:iCs w:val="0"/>
                <w:color w:val="auto"/>
                <w:sz w:val="21"/>
                <w:szCs w:val="21"/>
                <w:highlight w:val="none"/>
              </w:rPr>
            </w:pPr>
            <w:r>
              <w:rPr>
                <w:rFonts w:hint="eastAsia"/>
                <w:i w:val="0"/>
                <w:iCs w:val="0"/>
                <w:color w:val="auto"/>
                <w:sz w:val="21"/>
                <w:szCs w:val="21"/>
                <w:highlight w:val="none"/>
              </w:rPr>
              <w:t>检修状态</w:t>
            </w:r>
          </w:p>
        </w:tc>
      </w:tr>
      <w:tr w14:paraId="56D12C50">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4E">
            <w:pPr>
              <w:pStyle w:val="143"/>
              <w:bidi w:val="0"/>
              <w:rPr>
                <w:rFonts w:hint="eastAsia"/>
                <w:i w:val="0"/>
                <w:iCs w:val="0"/>
                <w:color w:val="auto"/>
                <w:sz w:val="21"/>
                <w:szCs w:val="21"/>
                <w:highlight w:val="none"/>
              </w:rPr>
            </w:pPr>
            <w:r>
              <w:rPr>
                <w:rFonts w:hint="eastAsia"/>
                <w:i w:val="0"/>
                <w:iCs w:val="0"/>
                <w:color w:val="auto"/>
                <w:sz w:val="21"/>
                <w:szCs w:val="21"/>
                <w:highlight w:val="none"/>
              </w:rPr>
              <w:t>5</w:t>
            </w:r>
          </w:p>
        </w:tc>
        <w:tc>
          <w:tcPr>
            <w:tcW w:w="4511" w:type="dxa"/>
            <w:tcBorders>
              <w:top w:val="single" w:color="000000" w:sz="4" w:space="0"/>
              <w:left w:val="nil"/>
              <w:bottom w:val="single" w:color="000000" w:sz="4" w:space="0"/>
              <w:right w:val="single" w:color="000000" w:sz="4" w:space="0"/>
            </w:tcBorders>
          </w:tcPr>
          <w:p w14:paraId="56D12C4F">
            <w:pPr>
              <w:pStyle w:val="143"/>
              <w:bidi w:val="0"/>
              <w:rPr>
                <w:rFonts w:hint="eastAsia"/>
                <w:i w:val="0"/>
                <w:iCs w:val="0"/>
                <w:color w:val="auto"/>
                <w:sz w:val="21"/>
                <w:szCs w:val="21"/>
                <w:highlight w:val="none"/>
              </w:rPr>
            </w:pPr>
            <w:r>
              <w:rPr>
                <w:rFonts w:hint="eastAsia"/>
                <w:i w:val="0"/>
                <w:iCs w:val="0"/>
                <w:color w:val="auto"/>
                <w:sz w:val="21"/>
                <w:szCs w:val="21"/>
                <w:highlight w:val="none"/>
              </w:rPr>
              <w:t>上部紧急停止</w:t>
            </w:r>
          </w:p>
        </w:tc>
      </w:tr>
      <w:tr w14:paraId="56D12C53">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51">
            <w:pPr>
              <w:pStyle w:val="143"/>
              <w:bidi w:val="0"/>
              <w:rPr>
                <w:rFonts w:hint="eastAsia"/>
                <w:i w:val="0"/>
                <w:iCs w:val="0"/>
                <w:color w:val="auto"/>
                <w:sz w:val="21"/>
                <w:szCs w:val="21"/>
                <w:highlight w:val="none"/>
              </w:rPr>
            </w:pPr>
            <w:r>
              <w:rPr>
                <w:rFonts w:hint="eastAsia"/>
                <w:i w:val="0"/>
                <w:iCs w:val="0"/>
                <w:color w:val="auto"/>
                <w:sz w:val="21"/>
                <w:szCs w:val="21"/>
                <w:highlight w:val="none"/>
              </w:rPr>
              <w:t>6</w:t>
            </w:r>
          </w:p>
        </w:tc>
        <w:tc>
          <w:tcPr>
            <w:tcW w:w="4511" w:type="dxa"/>
            <w:tcBorders>
              <w:top w:val="single" w:color="000000" w:sz="4" w:space="0"/>
              <w:left w:val="nil"/>
              <w:bottom w:val="single" w:color="000000" w:sz="4" w:space="0"/>
              <w:right w:val="single" w:color="000000" w:sz="4" w:space="0"/>
            </w:tcBorders>
          </w:tcPr>
          <w:p w14:paraId="56D12C52">
            <w:pPr>
              <w:pStyle w:val="143"/>
              <w:bidi w:val="0"/>
              <w:rPr>
                <w:rFonts w:hint="eastAsia"/>
                <w:i w:val="0"/>
                <w:iCs w:val="0"/>
                <w:color w:val="auto"/>
                <w:sz w:val="21"/>
                <w:szCs w:val="21"/>
                <w:highlight w:val="none"/>
              </w:rPr>
            </w:pPr>
            <w:r>
              <w:rPr>
                <w:rFonts w:hint="eastAsia"/>
                <w:i w:val="0"/>
                <w:iCs w:val="0"/>
                <w:color w:val="auto"/>
                <w:sz w:val="21"/>
                <w:szCs w:val="21"/>
                <w:highlight w:val="none"/>
              </w:rPr>
              <w:t>下部紧急停止</w:t>
            </w:r>
          </w:p>
        </w:tc>
      </w:tr>
      <w:tr w14:paraId="56D12C56">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54">
            <w:pPr>
              <w:pStyle w:val="143"/>
              <w:bidi w:val="0"/>
              <w:rPr>
                <w:rFonts w:hint="eastAsia"/>
                <w:i w:val="0"/>
                <w:iCs w:val="0"/>
                <w:color w:val="auto"/>
                <w:sz w:val="21"/>
                <w:szCs w:val="21"/>
                <w:highlight w:val="none"/>
              </w:rPr>
            </w:pPr>
            <w:r>
              <w:rPr>
                <w:rFonts w:hint="eastAsia"/>
                <w:i w:val="0"/>
                <w:iCs w:val="0"/>
                <w:color w:val="auto"/>
                <w:sz w:val="21"/>
                <w:szCs w:val="21"/>
                <w:highlight w:val="none"/>
              </w:rPr>
              <w:t>7</w:t>
            </w:r>
          </w:p>
        </w:tc>
        <w:tc>
          <w:tcPr>
            <w:tcW w:w="4511" w:type="dxa"/>
            <w:tcBorders>
              <w:top w:val="single" w:color="000000" w:sz="4" w:space="0"/>
              <w:left w:val="nil"/>
              <w:bottom w:val="single" w:color="000000" w:sz="4" w:space="0"/>
              <w:right w:val="single" w:color="000000" w:sz="4" w:space="0"/>
            </w:tcBorders>
          </w:tcPr>
          <w:p w14:paraId="56D12C55">
            <w:pPr>
              <w:pStyle w:val="143"/>
              <w:bidi w:val="0"/>
              <w:rPr>
                <w:rFonts w:hint="eastAsia"/>
                <w:i w:val="0"/>
                <w:iCs w:val="0"/>
                <w:color w:val="auto"/>
                <w:sz w:val="21"/>
                <w:szCs w:val="21"/>
                <w:highlight w:val="none"/>
              </w:rPr>
            </w:pPr>
            <w:r>
              <w:rPr>
                <w:rFonts w:hint="eastAsia"/>
                <w:i w:val="0"/>
                <w:iCs w:val="0"/>
                <w:color w:val="auto"/>
                <w:sz w:val="21"/>
                <w:szCs w:val="21"/>
                <w:highlight w:val="none"/>
              </w:rPr>
              <w:t>中部紧急停止</w:t>
            </w:r>
          </w:p>
        </w:tc>
      </w:tr>
      <w:tr w14:paraId="56D12C59">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57">
            <w:pPr>
              <w:pStyle w:val="143"/>
              <w:bidi w:val="0"/>
              <w:rPr>
                <w:rFonts w:hint="eastAsia"/>
                <w:i w:val="0"/>
                <w:iCs w:val="0"/>
                <w:color w:val="auto"/>
                <w:sz w:val="21"/>
                <w:szCs w:val="21"/>
                <w:highlight w:val="none"/>
              </w:rPr>
            </w:pPr>
            <w:r>
              <w:rPr>
                <w:rFonts w:hint="eastAsia"/>
                <w:i w:val="0"/>
                <w:iCs w:val="0"/>
                <w:color w:val="auto"/>
                <w:sz w:val="21"/>
                <w:szCs w:val="21"/>
                <w:highlight w:val="none"/>
              </w:rPr>
              <w:t>8</w:t>
            </w:r>
          </w:p>
        </w:tc>
        <w:tc>
          <w:tcPr>
            <w:tcW w:w="4511" w:type="dxa"/>
            <w:tcBorders>
              <w:top w:val="single" w:color="000000" w:sz="4" w:space="0"/>
              <w:left w:val="nil"/>
              <w:bottom w:val="single" w:color="000000" w:sz="4" w:space="0"/>
              <w:right w:val="single" w:color="000000" w:sz="4" w:space="0"/>
            </w:tcBorders>
          </w:tcPr>
          <w:p w14:paraId="56D12C58">
            <w:pPr>
              <w:pStyle w:val="143"/>
              <w:bidi w:val="0"/>
              <w:rPr>
                <w:rFonts w:hint="eastAsia"/>
                <w:i w:val="0"/>
                <w:iCs w:val="0"/>
                <w:color w:val="auto"/>
                <w:sz w:val="21"/>
                <w:szCs w:val="21"/>
                <w:highlight w:val="none"/>
              </w:rPr>
            </w:pPr>
            <w:r>
              <w:rPr>
                <w:rFonts w:hint="eastAsia"/>
                <w:i w:val="0"/>
                <w:iCs w:val="0"/>
                <w:color w:val="auto"/>
                <w:sz w:val="21"/>
                <w:szCs w:val="21"/>
                <w:highlight w:val="none"/>
              </w:rPr>
              <w:t>梳齿安全开关(上部左)</w:t>
            </w:r>
          </w:p>
        </w:tc>
      </w:tr>
      <w:tr w14:paraId="56D12C5C">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5A">
            <w:pPr>
              <w:pStyle w:val="143"/>
              <w:bidi w:val="0"/>
              <w:rPr>
                <w:rFonts w:hint="eastAsia"/>
                <w:i w:val="0"/>
                <w:iCs w:val="0"/>
                <w:color w:val="auto"/>
                <w:sz w:val="21"/>
                <w:szCs w:val="21"/>
                <w:highlight w:val="none"/>
              </w:rPr>
            </w:pPr>
            <w:r>
              <w:rPr>
                <w:rFonts w:hint="eastAsia"/>
                <w:i w:val="0"/>
                <w:iCs w:val="0"/>
                <w:color w:val="auto"/>
                <w:sz w:val="21"/>
                <w:szCs w:val="21"/>
                <w:highlight w:val="none"/>
              </w:rPr>
              <w:t>9</w:t>
            </w:r>
          </w:p>
        </w:tc>
        <w:tc>
          <w:tcPr>
            <w:tcW w:w="4511" w:type="dxa"/>
            <w:tcBorders>
              <w:top w:val="single" w:color="000000" w:sz="4" w:space="0"/>
              <w:left w:val="nil"/>
              <w:bottom w:val="single" w:color="000000" w:sz="4" w:space="0"/>
              <w:right w:val="single" w:color="000000" w:sz="4" w:space="0"/>
            </w:tcBorders>
          </w:tcPr>
          <w:p w14:paraId="56D12C5B">
            <w:pPr>
              <w:pStyle w:val="143"/>
              <w:bidi w:val="0"/>
              <w:rPr>
                <w:rFonts w:hint="eastAsia"/>
                <w:i w:val="0"/>
                <w:iCs w:val="0"/>
                <w:color w:val="auto"/>
                <w:sz w:val="21"/>
                <w:szCs w:val="21"/>
                <w:highlight w:val="none"/>
              </w:rPr>
            </w:pPr>
            <w:r>
              <w:rPr>
                <w:rFonts w:hint="eastAsia"/>
                <w:i w:val="0"/>
                <w:iCs w:val="0"/>
                <w:color w:val="auto"/>
                <w:sz w:val="21"/>
                <w:szCs w:val="21"/>
                <w:highlight w:val="none"/>
              </w:rPr>
              <w:t>梳齿安全开关(上部右)</w:t>
            </w:r>
          </w:p>
        </w:tc>
      </w:tr>
      <w:tr w14:paraId="56D12C5F">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5D">
            <w:pPr>
              <w:pStyle w:val="143"/>
              <w:bidi w:val="0"/>
              <w:rPr>
                <w:rFonts w:hint="eastAsia"/>
                <w:i w:val="0"/>
                <w:iCs w:val="0"/>
                <w:color w:val="auto"/>
                <w:sz w:val="21"/>
                <w:szCs w:val="21"/>
                <w:highlight w:val="none"/>
              </w:rPr>
            </w:pPr>
            <w:r>
              <w:rPr>
                <w:rFonts w:hint="eastAsia"/>
                <w:i w:val="0"/>
                <w:iCs w:val="0"/>
                <w:color w:val="auto"/>
                <w:sz w:val="21"/>
                <w:szCs w:val="21"/>
                <w:highlight w:val="none"/>
              </w:rPr>
              <w:t>10</w:t>
            </w:r>
          </w:p>
        </w:tc>
        <w:tc>
          <w:tcPr>
            <w:tcW w:w="4511" w:type="dxa"/>
            <w:tcBorders>
              <w:top w:val="single" w:color="000000" w:sz="4" w:space="0"/>
              <w:left w:val="nil"/>
              <w:bottom w:val="single" w:color="000000" w:sz="4" w:space="0"/>
              <w:right w:val="single" w:color="000000" w:sz="4" w:space="0"/>
            </w:tcBorders>
          </w:tcPr>
          <w:p w14:paraId="56D12C5E">
            <w:pPr>
              <w:pStyle w:val="143"/>
              <w:bidi w:val="0"/>
              <w:rPr>
                <w:rFonts w:hint="eastAsia"/>
                <w:i w:val="0"/>
                <w:iCs w:val="0"/>
                <w:color w:val="auto"/>
                <w:sz w:val="21"/>
                <w:szCs w:val="21"/>
                <w:highlight w:val="none"/>
              </w:rPr>
            </w:pPr>
            <w:r>
              <w:rPr>
                <w:rFonts w:hint="eastAsia"/>
                <w:i w:val="0"/>
                <w:iCs w:val="0"/>
                <w:color w:val="auto"/>
                <w:sz w:val="21"/>
                <w:szCs w:val="21"/>
                <w:highlight w:val="none"/>
              </w:rPr>
              <w:t>梳齿安全开关(下部左)</w:t>
            </w:r>
          </w:p>
        </w:tc>
      </w:tr>
      <w:tr w14:paraId="56D12C62">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60">
            <w:pPr>
              <w:pStyle w:val="143"/>
              <w:bidi w:val="0"/>
              <w:rPr>
                <w:rFonts w:hint="eastAsia"/>
                <w:i w:val="0"/>
                <w:iCs w:val="0"/>
                <w:color w:val="auto"/>
                <w:sz w:val="21"/>
                <w:szCs w:val="21"/>
                <w:highlight w:val="none"/>
              </w:rPr>
            </w:pPr>
            <w:r>
              <w:rPr>
                <w:rFonts w:hint="eastAsia"/>
                <w:i w:val="0"/>
                <w:iCs w:val="0"/>
                <w:color w:val="auto"/>
                <w:sz w:val="21"/>
                <w:szCs w:val="21"/>
                <w:highlight w:val="none"/>
              </w:rPr>
              <w:t>11</w:t>
            </w:r>
          </w:p>
        </w:tc>
        <w:tc>
          <w:tcPr>
            <w:tcW w:w="4511" w:type="dxa"/>
            <w:tcBorders>
              <w:top w:val="single" w:color="000000" w:sz="4" w:space="0"/>
              <w:left w:val="nil"/>
              <w:bottom w:val="single" w:color="000000" w:sz="4" w:space="0"/>
              <w:right w:val="single" w:color="000000" w:sz="4" w:space="0"/>
            </w:tcBorders>
          </w:tcPr>
          <w:p w14:paraId="56D12C61">
            <w:pPr>
              <w:pStyle w:val="143"/>
              <w:bidi w:val="0"/>
              <w:rPr>
                <w:rFonts w:hint="eastAsia"/>
                <w:i w:val="0"/>
                <w:iCs w:val="0"/>
                <w:color w:val="auto"/>
                <w:sz w:val="21"/>
                <w:szCs w:val="21"/>
                <w:highlight w:val="none"/>
              </w:rPr>
            </w:pPr>
            <w:r>
              <w:rPr>
                <w:rFonts w:hint="eastAsia"/>
                <w:i w:val="0"/>
                <w:iCs w:val="0"/>
                <w:color w:val="auto"/>
                <w:sz w:val="21"/>
                <w:szCs w:val="21"/>
                <w:highlight w:val="none"/>
              </w:rPr>
              <w:t>梳齿安全开关(下部右)</w:t>
            </w:r>
          </w:p>
        </w:tc>
      </w:tr>
      <w:tr w14:paraId="56D12C65">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63">
            <w:pPr>
              <w:pStyle w:val="143"/>
              <w:bidi w:val="0"/>
              <w:rPr>
                <w:rFonts w:hint="eastAsia"/>
                <w:i w:val="0"/>
                <w:iCs w:val="0"/>
                <w:color w:val="auto"/>
                <w:sz w:val="21"/>
                <w:szCs w:val="21"/>
                <w:highlight w:val="none"/>
              </w:rPr>
            </w:pPr>
            <w:r>
              <w:rPr>
                <w:rFonts w:hint="eastAsia"/>
                <w:i w:val="0"/>
                <w:iCs w:val="0"/>
                <w:color w:val="auto"/>
                <w:sz w:val="21"/>
                <w:szCs w:val="21"/>
                <w:highlight w:val="none"/>
              </w:rPr>
              <w:t>12</w:t>
            </w:r>
          </w:p>
        </w:tc>
        <w:tc>
          <w:tcPr>
            <w:tcW w:w="4511" w:type="dxa"/>
            <w:tcBorders>
              <w:top w:val="single" w:color="000000" w:sz="4" w:space="0"/>
              <w:left w:val="nil"/>
              <w:bottom w:val="single" w:color="000000" w:sz="4" w:space="0"/>
              <w:right w:val="single" w:color="000000" w:sz="4" w:space="0"/>
            </w:tcBorders>
          </w:tcPr>
          <w:p w14:paraId="56D12C64">
            <w:pPr>
              <w:pStyle w:val="143"/>
              <w:bidi w:val="0"/>
              <w:rPr>
                <w:rFonts w:hint="eastAsia"/>
                <w:i w:val="0"/>
                <w:iCs w:val="0"/>
                <w:color w:val="auto"/>
                <w:sz w:val="21"/>
                <w:szCs w:val="21"/>
                <w:highlight w:val="none"/>
              </w:rPr>
            </w:pPr>
            <w:r>
              <w:rPr>
                <w:rFonts w:hint="eastAsia"/>
                <w:i w:val="0"/>
                <w:iCs w:val="0"/>
                <w:color w:val="auto"/>
                <w:sz w:val="21"/>
                <w:szCs w:val="21"/>
                <w:highlight w:val="none"/>
              </w:rPr>
              <w:t>围裙板安全开关(上部左)</w:t>
            </w:r>
          </w:p>
        </w:tc>
      </w:tr>
      <w:tr w14:paraId="56D12C68">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66">
            <w:pPr>
              <w:pStyle w:val="143"/>
              <w:bidi w:val="0"/>
              <w:rPr>
                <w:rFonts w:hint="eastAsia"/>
                <w:i w:val="0"/>
                <w:iCs w:val="0"/>
                <w:color w:val="auto"/>
                <w:sz w:val="21"/>
                <w:szCs w:val="21"/>
                <w:highlight w:val="none"/>
              </w:rPr>
            </w:pPr>
            <w:r>
              <w:rPr>
                <w:rFonts w:hint="eastAsia"/>
                <w:i w:val="0"/>
                <w:iCs w:val="0"/>
                <w:color w:val="auto"/>
                <w:sz w:val="21"/>
                <w:szCs w:val="21"/>
                <w:highlight w:val="none"/>
              </w:rPr>
              <w:t>13</w:t>
            </w:r>
          </w:p>
        </w:tc>
        <w:tc>
          <w:tcPr>
            <w:tcW w:w="4511" w:type="dxa"/>
            <w:tcBorders>
              <w:top w:val="single" w:color="000000" w:sz="4" w:space="0"/>
              <w:left w:val="nil"/>
              <w:bottom w:val="single" w:color="000000" w:sz="4" w:space="0"/>
              <w:right w:val="single" w:color="000000" w:sz="4" w:space="0"/>
            </w:tcBorders>
          </w:tcPr>
          <w:p w14:paraId="56D12C67">
            <w:pPr>
              <w:pStyle w:val="143"/>
              <w:bidi w:val="0"/>
              <w:rPr>
                <w:rFonts w:hint="eastAsia"/>
                <w:i w:val="0"/>
                <w:iCs w:val="0"/>
                <w:color w:val="auto"/>
                <w:sz w:val="21"/>
                <w:szCs w:val="21"/>
                <w:highlight w:val="none"/>
              </w:rPr>
            </w:pPr>
            <w:r>
              <w:rPr>
                <w:rFonts w:hint="eastAsia"/>
                <w:i w:val="0"/>
                <w:iCs w:val="0"/>
                <w:color w:val="auto"/>
                <w:sz w:val="21"/>
                <w:szCs w:val="21"/>
                <w:highlight w:val="none"/>
              </w:rPr>
              <w:t>围裙板安全开关(上部右)</w:t>
            </w:r>
          </w:p>
        </w:tc>
      </w:tr>
      <w:tr w14:paraId="56D12C6B">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69">
            <w:pPr>
              <w:pStyle w:val="143"/>
              <w:bidi w:val="0"/>
              <w:rPr>
                <w:rFonts w:hint="eastAsia"/>
                <w:i w:val="0"/>
                <w:iCs w:val="0"/>
                <w:color w:val="auto"/>
                <w:sz w:val="21"/>
                <w:szCs w:val="21"/>
                <w:highlight w:val="none"/>
              </w:rPr>
            </w:pPr>
            <w:r>
              <w:rPr>
                <w:rFonts w:hint="eastAsia"/>
                <w:i w:val="0"/>
                <w:iCs w:val="0"/>
                <w:color w:val="auto"/>
                <w:sz w:val="21"/>
                <w:szCs w:val="21"/>
                <w:highlight w:val="none"/>
              </w:rPr>
              <w:t>14</w:t>
            </w:r>
          </w:p>
        </w:tc>
        <w:tc>
          <w:tcPr>
            <w:tcW w:w="4511" w:type="dxa"/>
            <w:tcBorders>
              <w:top w:val="single" w:color="000000" w:sz="4" w:space="0"/>
              <w:left w:val="nil"/>
              <w:bottom w:val="single" w:color="000000" w:sz="4" w:space="0"/>
              <w:right w:val="single" w:color="000000" w:sz="4" w:space="0"/>
            </w:tcBorders>
          </w:tcPr>
          <w:p w14:paraId="56D12C6A">
            <w:pPr>
              <w:pStyle w:val="143"/>
              <w:bidi w:val="0"/>
              <w:rPr>
                <w:rFonts w:hint="eastAsia"/>
                <w:i w:val="0"/>
                <w:iCs w:val="0"/>
                <w:color w:val="auto"/>
                <w:sz w:val="21"/>
                <w:szCs w:val="21"/>
                <w:highlight w:val="none"/>
              </w:rPr>
            </w:pPr>
            <w:r>
              <w:rPr>
                <w:rFonts w:hint="eastAsia"/>
                <w:i w:val="0"/>
                <w:iCs w:val="0"/>
                <w:color w:val="auto"/>
                <w:sz w:val="21"/>
                <w:szCs w:val="21"/>
                <w:highlight w:val="none"/>
              </w:rPr>
              <w:t>围裙板安全开关(中部左)</w:t>
            </w:r>
          </w:p>
        </w:tc>
      </w:tr>
      <w:tr w14:paraId="56D12C6E">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6C">
            <w:pPr>
              <w:pStyle w:val="143"/>
              <w:bidi w:val="0"/>
              <w:rPr>
                <w:rFonts w:hint="eastAsia"/>
                <w:i w:val="0"/>
                <w:iCs w:val="0"/>
                <w:color w:val="auto"/>
                <w:sz w:val="21"/>
                <w:szCs w:val="21"/>
                <w:highlight w:val="none"/>
              </w:rPr>
            </w:pPr>
            <w:r>
              <w:rPr>
                <w:rFonts w:hint="eastAsia"/>
                <w:i w:val="0"/>
                <w:iCs w:val="0"/>
                <w:color w:val="auto"/>
                <w:sz w:val="21"/>
                <w:szCs w:val="21"/>
                <w:highlight w:val="none"/>
              </w:rPr>
              <w:t>15</w:t>
            </w:r>
          </w:p>
        </w:tc>
        <w:tc>
          <w:tcPr>
            <w:tcW w:w="4511" w:type="dxa"/>
            <w:tcBorders>
              <w:top w:val="single" w:color="000000" w:sz="4" w:space="0"/>
              <w:left w:val="nil"/>
              <w:bottom w:val="single" w:color="000000" w:sz="4" w:space="0"/>
              <w:right w:val="single" w:color="000000" w:sz="4" w:space="0"/>
            </w:tcBorders>
          </w:tcPr>
          <w:p w14:paraId="56D12C6D">
            <w:pPr>
              <w:pStyle w:val="143"/>
              <w:bidi w:val="0"/>
              <w:rPr>
                <w:rFonts w:hint="eastAsia"/>
                <w:i w:val="0"/>
                <w:iCs w:val="0"/>
                <w:color w:val="auto"/>
                <w:sz w:val="21"/>
                <w:szCs w:val="21"/>
                <w:highlight w:val="none"/>
              </w:rPr>
            </w:pPr>
            <w:r>
              <w:rPr>
                <w:rFonts w:hint="eastAsia"/>
                <w:i w:val="0"/>
                <w:iCs w:val="0"/>
                <w:color w:val="auto"/>
                <w:sz w:val="21"/>
                <w:szCs w:val="21"/>
                <w:highlight w:val="none"/>
              </w:rPr>
              <w:t>围裙板安全开关(中部右)</w:t>
            </w:r>
          </w:p>
        </w:tc>
      </w:tr>
      <w:tr w14:paraId="56D12C71">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6F">
            <w:pPr>
              <w:pStyle w:val="143"/>
              <w:bidi w:val="0"/>
              <w:rPr>
                <w:rFonts w:hint="eastAsia"/>
                <w:i w:val="0"/>
                <w:iCs w:val="0"/>
                <w:color w:val="auto"/>
                <w:sz w:val="21"/>
                <w:szCs w:val="21"/>
                <w:highlight w:val="none"/>
              </w:rPr>
            </w:pPr>
            <w:r>
              <w:rPr>
                <w:rFonts w:hint="eastAsia"/>
                <w:i w:val="0"/>
                <w:iCs w:val="0"/>
                <w:color w:val="auto"/>
                <w:sz w:val="21"/>
                <w:szCs w:val="21"/>
                <w:highlight w:val="none"/>
              </w:rPr>
              <w:t>16</w:t>
            </w:r>
          </w:p>
        </w:tc>
        <w:tc>
          <w:tcPr>
            <w:tcW w:w="4511" w:type="dxa"/>
            <w:tcBorders>
              <w:top w:val="single" w:color="000000" w:sz="4" w:space="0"/>
              <w:left w:val="nil"/>
              <w:bottom w:val="single" w:color="000000" w:sz="4" w:space="0"/>
              <w:right w:val="single" w:color="000000" w:sz="4" w:space="0"/>
            </w:tcBorders>
          </w:tcPr>
          <w:p w14:paraId="56D12C70">
            <w:pPr>
              <w:pStyle w:val="143"/>
              <w:bidi w:val="0"/>
              <w:rPr>
                <w:rFonts w:hint="eastAsia"/>
                <w:i w:val="0"/>
                <w:iCs w:val="0"/>
                <w:color w:val="auto"/>
                <w:sz w:val="21"/>
                <w:szCs w:val="21"/>
                <w:highlight w:val="none"/>
              </w:rPr>
            </w:pPr>
            <w:r>
              <w:rPr>
                <w:rFonts w:hint="eastAsia"/>
                <w:i w:val="0"/>
                <w:iCs w:val="0"/>
                <w:color w:val="auto"/>
                <w:sz w:val="21"/>
                <w:szCs w:val="21"/>
                <w:highlight w:val="none"/>
              </w:rPr>
              <w:t>围裙板安全开关(下部左)</w:t>
            </w:r>
          </w:p>
        </w:tc>
      </w:tr>
      <w:tr w14:paraId="56D12C74">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72">
            <w:pPr>
              <w:pStyle w:val="143"/>
              <w:bidi w:val="0"/>
              <w:rPr>
                <w:rFonts w:hint="eastAsia"/>
                <w:i w:val="0"/>
                <w:iCs w:val="0"/>
                <w:color w:val="auto"/>
                <w:sz w:val="21"/>
                <w:szCs w:val="21"/>
                <w:highlight w:val="none"/>
              </w:rPr>
            </w:pPr>
            <w:r>
              <w:rPr>
                <w:rFonts w:hint="eastAsia"/>
                <w:i w:val="0"/>
                <w:iCs w:val="0"/>
                <w:color w:val="auto"/>
                <w:sz w:val="21"/>
                <w:szCs w:val="21"/>
                <w:highlight w:val="none"/>
              </w:rPr>
              <w:t>17</w:t>
            </w:r>
          </w:p>
        </w:tc>
        <w:tc>
          <w:tcPr>
            <w:tcW w:w="4511" w:type="dxa"/>
            <w:tcBorders>
              <w:top w:val="single" w:color="000000" w:sz="4" w:space="0"/>
              <w:left w:val="nil"/>
              <w:bottom w:val="single" w:color="000000" w:sz="4" w:space="0"/>
              <w:right w:val="single" w:color="000000" w:sz="4" w:space="0"/>
            </w:tcBorders>
          </w:tcPr>
          <w:p w14:paraId="56D12C73">
            <w:pPr>
              <w:pStyle w:val="143"/>
              <w:bidi w:val="0"/>
              <w:rPr>
                <w:rFonts w:hint="eastAsia"/>
                <w:i w:val="0"/>
                <w:iCs w:val="0"/>
                <w:color w:val="auto"/>
                <w:sz w:val="21"/>
                <w:szCs w:val="21"/>
                <w:highlight w:val="none"/>
              </w:rPr>
            </w:pPr>
            <w:r>
              <w:rPr>
                <w:rFonts w:hint="eastAsia"/>
                <w:i w:val="0"/>
                <w:iCs w:val="0"/>
                <w:color w:val="auto"/>
                <w:sz w:val="21"/>
                <w:szCs w:val="21"/>
                <w:highlight w:val="none"/>
              </w:rPr>
              <w:t>围裙板安全开关(下部右)</w:t>
            </w:r>
          </w:p>
        </w:tc>
      </w:tr>
      <w:tr w14:paraId="56D12C77">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75">
            <w:pPr>
              <w:pStyle w:val="143"/>
              <w:bidi w:val="0"/>
              <w:rPr>
                <w:rFonts w:hint="eastAsia"/>
                <w:i w:val="0"/>
                <w:iCs w:val="0"/>
                <w:color w:val="auto"/>
                <w:sz w:val="21"/>
                <w:szCs w:val="21"/>
                <w:highlight w:val="none"/>
              </w:rPr>
            </w:pPr>
            <w:r>
              <w:rPr>
                <w:rFonts w:hint="eastAsia"/>
                <w:i w:val="0"/>
                <w:iCs w:val="0"/>
                <w:color w:val="auto"/>
                <w:sz w:val="21"/>
                <w:szCs w:val="21"/>
                <w:highlight w:val="none"/>
              </w:rPr>
              <w:t>18</w:t>
            </w:r>
          </w:p>
        </w:tc>
        <w:tc>
          <w:tcPr>
            <w:tcW w:w="4511" w:type="dxa"/>
            <w:tcBorders>
              <w:top w:val="single" w:color="000000" w:sz="4" w:space="0"/>
              <w:left w:val="nil"/>
              <w:bottom w:val="single" w:color="000000" w:sz="4" w:space="0"/>
              <w:right w:val="single" w:color="000000" w:sz="4" w:space="0"/>
            </w:tcBorders>
          </w:tcPr>
          <w:p w14:paraId="56D12C76">
            <w:pPr>
              <w:pStyle w:val="143"/>
              <w:bidi w:val="0"/>
              <w:rPr>
                <w:rFonts w:hint="eastAsia"/>
                <w:i w:val="0"/>
                <w:iCs w:val="0"/>
                <w:color w:val="auto"/>
                <w:sz w:val="21"/>
                <w:szCs w:val="21"/>
                <w:highlight w:val="none"/>
              </w:rPr>
            </w:pPr>
            <w:r>
              <w:rPr>
                <w:rFonts w:hint="eastAsia"/>
                <w:i w:val="0"/>
                <w:iCs w:val="0"/>
                <w:color w:val="auto"/>
                <w:sz w:val="21"/>
                <w:szCs w:val="21"/>
                <w:highlight w:val="none"/>
              </w:rPr>
              <w:t>扶手带入口保护安全装置(上部左)</w:t>
            </w:r>
          </w:p>
        </w:tc>
      </w:tr>
      <w:tr w14:paraId="56D12C7A">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78">
            <w:pPr>
              <w:pStyle w:val="143"/>
              <w:bidi w:val="0"/>
              <w:rPr>
                <w:rFonts w:hint="eastAsia"/>
                <w:i w:val="0"/>
                <w:iCs w:val="0"/>
                <w:color w:val="auto"/>
                <w:sz w:val="21"/>
                <w:szCs w:val="21"/>
                <w:highlight w:val="none"/>
              </w:rPr>
            </w:pPr>
            <w:r>
              <w:rPr>
                <w:rFonts w:hint="eastAsia"/>
                <w:i w:val="0"/>
                <w:iCs w:val="0"/>
                <w:color w:val="auto"/>
                <w:sz w:val="21"/>
                <w:szCs w:val="21"/>
                <w:highlight w:val="none"/>
              </w:rPr>
              <w:t>19</w:t>
            </w:r>
          </w:p>
        </w:tc>
        <w:tc>
          <w:tcPr>
            <w:tcW w:w="4511" w:type="dxa"/>
            <w:tcBorders>
              <w:top w:val="single" w:color="000000" w:sz="4" w:space="0"/>
              <w:left w:val="nil"/>
              <w:bottom w:val="single" w:color="000000" w:sz="4" w:space="0"/>
              <w:right w:val="single" w:color="000000" w:sz="4" w:space="0"/>
            </w:tcBorders>
          </w:tcPr>
          <w:p w14:paraId="56D12C79">
            <w:pPr>
              <w:pStyle w:val="143"/>
              <w:bidi w:val="0"/>
              <w:rPr>
                <w:rFonts w:hint="eastAsia"/>
                <w:i w:val="0"/>
                <w:iCs w:val="0"/>
                <w:color w:val="auto"/>
                <w:sz w:val="21"/>
                <w:szCs w:val="21"/>
                <w:highlight w:val="none"/>
              </w:rPr>
            </w:pPr>
            <w:r>
              <w:rPr>
                <w:rFonts w:hint="eastAsia"/>
                <w:i w:val="0"/>
                <w:iCs w:val="0"/>
                <w:color w:val="auto"/>
                <w:sz w:val="21"/>
                <w:szCs w:val="21"/>
                <w:highlight w:val="none"/>
              </w:rPr>
              <w:t>扶手带入口保护安全装置(上部右)</w:t>
            </w:r>
          </w:p>
        </w:tc>
      </w:tr>
      <w:tr w14:paraId="56D12C7D">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7B">
            <w:pPr>
              <w:pStyle w:val="143"/>
              <w:bidi w:val="0"/>
              <w:rPr>
                <w:rFonts w:hint="eastAsia"/>
                <w:i w:val="0"/>
                <w:iCs w:val="0"/>
                <w:color w:val="auto"/>
                <w:sz w:val="21"/>
                <w:szCs w:val="21"/>
                <w:highlight w:val="none"/>
              </w:rPr>
            </w:pPr>
            <w:r>
              <w:rPr>
                <w:rFonts w:hint="eastAsia"/>
                <w:i w:val="0"/>
                <w:iCs w:val="0"/>
                <w:color w:val="auto"/>
                <w:sz w:val="21"/>
                <w:szCs w:val="21"/>
                <w:highlight w:val="none"/>
              </w:rPr>
              <w:t>20</w:t>
            </w:r>
          </w:p>
        </w:tc>
        <w:tc>
          <w:tcPr>
            <w:tcW w:w="4511" w:type="dxa"/>
            <w:tcBorders>
              <w:top w:val="single" w:color="000000" w:sz="4" w:space="0"/>
              <w:left w:val="nil"/>
              <w:bottom w:val="single" w:color="000000" w:sz="4" w:space="0"/>
              <w:right w:val="single" w:color="000000" w:sz="4" w:space="0"/>
            </w:tcBorders>
          </w:tcPr>
          <w:p w14:paraId="56D12C7C">
            <w:pPr>
              <w:pStyle w:val="143"/>
              <w:bidi w:val="0"/>
              <w:rPr>
                <w:rFonts w:hint="eastAsia"/>
                <w:i w:val="0"/>
                <w:iCs w:val="0"/>
                <w:color w:val="auto"/>
                <w:sz w:val="21"/>
                <w:szCs w:val="21"/>
                <w:highlight w:val="none"/>
              </w:rPr>
            </w:pPr>
            <w:r>
              <w:rPr>
                <w:rFonts w:hint="eastAsia"/>
                <w:i w:val="0"/>
                <w:iCs w:val="0"/>
                <w:color w:val="auto"/>
                <w:sz w:val="21"/>
                <w:szCs w:val="21"/>
                <w:highlight w:val="none"/>
              </w:rPr>
              <w:t>扶手带入口保护安全装置(下部左)</w:t>
            </w:r>
          </w:p>
        </w:tc>
      </w:tr>
      <w:tr w14:paraId="56D12C80">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7E">
            <w:pPr>
              <w:pStyle w:val="143"/>
              <w:bidi w:val="0"/>
              <w:rPr>
                <w:rFonts w:hint="eastAsia"/>
                <w:i w:val="0"/>
                <w:iCs w:val="0"/>
                <w:color w:val="auto"/>
                <w:sz w:val="21"/>
                <w:szCs w:val="21"/>
                <w:highlight w:val="none"/>
              </w:rPr>
            </w:pPr>
            <w:r>
              <w:rPr>
                <w:rFonts w:hint="eastAsia"/>
                <w:i w:val="0"/>
                <w:iCs w:val="0"/>
                <w:color w:val="auto"/>
                <w:sz w:val="21"/>
                <w:szCs w:val="21"/>
                <w:highlight w:val="none"/>
              </w:rPr>
              <w:t>21</w:t>
            </w:r>
          </w:p>
        </w:tc>
        <w:tc>
          <w:tcPr>
            <w:tcW w:w="4511" w:type="dxa"/>
            <w:tcBorders>
              <w:top w:val="single" w:color="000000" w:sz="4" w:space="0"/>
              <w:left w:val="nil"/>
              <w:bottom w:val="single" w:color="000000" w:sz="4" w:space="0"/>
              <w:right w:val="single" w:color="000000" w:sz="4" w:space="0"/>
            </w:tcBorders>
          </w:tcPr>
          <w:p w14:paraId="56D12C7F">
            <w:pPr>
              <w:pStyle w:val="143"/>
              <w:bidi w:val="0"/>
              <w:rPr>
                <w:rFonts w:hint="eastAsia"/>
                <w:i w:val="0"/>
                <w:iCs w:val="0"/>
                <w:color w:val="auto"/>
                <w:sz w:val="21"/>
                <w:szCs w:val="21"/>
                <w:highlight w:val="none"/>
              </w:rPr>
            </w:pPr>
            <w:r>
              <w:rPr>
                <w:rFonts w:hint="eastAsia"/>
                <w:i w:val="0"/>
                <w:iCs w:val="0"/>
                <w:color w:val="auto"/>
                <w:sz w:val="21"/>
                <w:szCs w:val="21"/>
                <w:highlight w:val="none"/>
              </w:rPr>
              <w:t>扶手带入口保护安全装置(下部右)</w:t>
            </w:r>
          </w:p>
        </w:tc>
      </w:tr>
      <w:tr w14:paraId="56D12C83">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81">
            <w:pPr>
              <w:pStyle w:val="143"/>
              <w:bidi w:val="0"/>
              <w:rPr>
                <w:rFonts w:hint="eastAsia"/>
                <w:i w:val="0"/>
                <w:iCs w:val="0"/>
                <w:color w:val="auto"/>
                <w:sz w:val="21"/>
                <w:szCs w:val="21"/>
                <w:highlight w:val="none"/>
              </w:rPr>
            </w:pPr>
            <w:r>
              <w:rPr>
                <w:rFonts w:hint="eastAsia"/>
                <w:i w:val="0"/>
                <w:iCs w:val="0"/>
                <w:color w:val="auto"/>
                <w:sz w:val="21"/>
                <w:szCs w:val="21"/>
                <w:highlight w:val="none"/>
              </w:rPr>
              <w:t>22</w:t>
            </w:r>
          </w:p>
        </w:tc>
        <w:tc>
          <w:tcPr>
            <w:tcW w:w="4511" w:type="dxa"/>
            <w:tcBorders>
              <w:top w:val="single" w:color="000000" w:sz="4" w:space="0"/>
              <w:left w:val="nil"/>
              <w:bottom w:val="single" w:color="000000" w:sz="4" w:space="0"/>
              <w:right w:val="single" w:color="000000" w:sz="4" w:space="0"/>
            </w:tcBorders>
          </w:tcPr>
          <w:p w14:paraId="56D12C82">
            <w:pPr>
              <w:pStyle w:val="143"/>
              <w:bidi w:val="0"/>
              <w:rPr>
                <w:rFonts w:hint="eastAsia"/>
                <w:i w:val="0"/>
                <w:iCs w:val="0"/>
                <w:color w:val="auto"/>
                <w:sz w:val="21"/>
                <w:szCs w:val="21"/>
                <w:highlight w:val="none"/>
              </w:rPr>
            </w:pPr>
            <w:r>
              <w:rPr>
                <w:rFonts w:hint="eastAsia"/>
                <w:i w:val="0"/>
                <w:iCs w:val="0"/>
                <w:color w:val="auto"/>
                <w:sz w:val="21"/>
                <w:szCs w:val="21"/>
                <w:highlight w:val="none"/>
              </w:rPr>
              <w:t>马达过载保护(过热)</w:t>
            </w:r>
          </w:p>
        </w:tc>
      </w:tr>
      <w:tr w14:paraId="56D12C86">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84">
            <w:pPr>
              <w:pStyle w:val="143"/>
              <w:bidi w:val="0"/>
              <w:rPr>
                <w:rFonts w:hint="eastAsia"/>
                <w:i w:val="0"/>
                <w:iCs w:val="0"/>
                <w:color w:val="auto"/>
                <w:sz w:val="21"/>
                <w:szCs w:val="21"/>
                <w:highlight w:val="none"/>
              </w:rPr>
            </w:pPr>
            <w:r>
              <w:rPr>
                <w:rFonts w:hint="eastAsia"/>
                <w:i w:val="0"/>
                <w:iCs w:val="0"/>
                <w:color w:val="auto"/>
                <w:sz w:val="21"/>
                <w:szCs w:val="21"/>
                <w:highlight w:val="none"/>
              </w:rPr>
              <w:t>23</w:t>
            </w:r>
          </w:p>
        </w:tc>
        <w:tc>
          <w:tcPr>
            <w:tcW w:w="4511" w:type="dxa"/>
            <w:tcBorders>
              <w:top w:val="single" w:color="000000" w:sz="4" w:space="0"/>
              <w:left w:val="nil"/>
              <w:bottom w:val="single" w:color="000000" w:sz="4" w:space="0"/>
              <w:right w:val="single" w:color="000000" w:sz="4" w:space="0"/>
            </w:tcBorders>
          </w:tcPr>
          <w:p w14:paraId="56D12C85">
            <w:pPr>
              <w:pStyle w:val="143"/>
              <w:bidi w:val="0"/>
              <w:rPr>
                <w:rFonts w:hint="eastAsia"/>
                <w:i w:val="0"/>
                <w:iCs w:val="0"/>
                <w:color w:val="auto"/>
                <w:sz w:val="21"/>
                <w:szCs w:val="21"/>
                <w:highlight w:val="none"/>
              </w:rPr>
            </w:pPr>
            <w:r>
              <w:rPr>
                <w:rFonts w:hint="eastAsia"/>
                <w:i w:val="0"/>
                <w:iCs w:val="0"/>
                <w:color w:val="auto"/>
                <w:sz w:val="21"/>
                <w:szCs w:val="21"/>
                <w:highlight w:val="none"/>
              </w:rPr>
              <w:t>错相保护装置</w:t>
            </w:r>
          </w:p>
        </w:tc>
      </w:tr>
      <w:tr w14:paraId="56D12C89">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87">
            <w:pPr>
              <w:pStyle w:val="143"/>
              <w:bidi w:val="0"/>
              <w:rPr>
                <w:rFonts w:hint="eastAsia"/>
                <w:i w:val="0"/>
                <w:iCs w:val="0"/>
                <w:color w:val="auto"/>
                <w:sz w:val="21"/>
                <w:szCs w:val="21"/>
                <w:highlight w:val="none"/>
              </w:rPr>
            </w:pPr>
            <w:r>
              <w:rPr>
                <w:rFonts w:hint="eastAsia"/>
                <w:i w:val="0"/>
                <w:iCs w:val="0"/>
                <w:color w:val="auto"/>
                <w:sz w:val="21"/>
                <w:szCs w:val="21"/>
                <w:highlight w:val="none"/>
              </w:rPr>
              <w:t>24</w:t>
            </w:r>
          </w:p>
        </w:tc>
        <w:tc>
          <w:tcPr>
            <w:tcW w:w="4511" w:type="dxa"/>
            <w:tcBorders>
              <w:top w:val="single" w:color="000000" w:sz="4" w:space="0"/>
              <w:left w:val="nil"/>
              <w:bottom w:val="single" w:color="000000" w:sz="4" w:space="0"/>
              <w:right w:val="single" w:color="000000" w:sz="4" w:space="0"/>
            </w:tcBorders>
          </w:tcPr>
          <w:p w14:paraId="56D12C88">
            <w:pPr>
              <w:pStyle w:val="143"/>
              <w:bidi w:val="0"/>
              <w:rPr>
                <w:rFonts w:hint="eastAsia"/>
                <w:i w:val="0"/>
                <w:iCs w:val="0"/>
                <w:color w:val="auto"/>
                <w:sz w:val="21"/>
                <w:szCs w:val="21"/>
                <w:highlight w:val="none"/>
              </w:rPr>
            </w:pPr>
            <w:r>
              <w:rPr>
                <w:rFonts w:hint="eastAsia"/>
                <w:i w:val="0"/>
                <w:iCs w:val="0"/>
                <w:color w:val="auto"/>
                <w:sz w:val="21"/>
                <w:szCs w:val="21"/>
                <w:highlight w:val="none"/>
              </w:rPr>
              <w:t>梯级超速检测装置</w:t>
            </w:r>
          </w:p>
        </w:tc>
      </w:tr>
      <w:tr w14:paraId="56D12C8C">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8A">
            <w:pPr>
              <w:pStyle w:val="143"/>
              <w:bidi w:val="0"/>
              <w:rPr>
                <w:rFonts w:hint="eastAsia"/>
                <w:i w:val="0"/>
                <w:iCs w:val="0"/>
                <w:color w:val="auto"/>
                <w:sz w:val="21"/>
                <w:szCs w:val="21"/>
                <w:highlight w:val="none"/>
              </w:rPr>
            </w:pPr>
            <w:r>
              <w:rPr>
                <w:rFonts w:hint="eastAsia"/>
                <w:i w:val="0"/>
                <w:iCs w:val="0"/>
                <w:color w:val="auto"/>
                <w:sz w:val="21"/>
                <w:szCs w:val="21"/>
                <w:highlight w:val="none"/>
              </w:rPr>
              <w:t>25</w:t>
            </w:r>
          </w:p>
        </w:tc>
        <w:tc>
          <w:tcPr>
            <w:tcW w:w="4511" w:type="dxa"/>
            <w:tcBorders>
              <w:top w:val="single" w:color="000000" w:sz="4" w:space="0"/>
              <w:left w:val="nil"/>
              <w:bottom w:val="single" w:color="000000" w:sz="4" w:space="0"/>
              <w:right w:val="single" w:color="000000" w:sz="4" w:space="0"/>
            </w:tcBorders>
          </w:tcPr>
          <w:p w14:paraId="56D12C8B">
            <w:pPr>
              <w:pStyle w:val="143"/>
              <w:bidi w:val="0"/>
              <w:rPr>
                <w:rFonts w:hint="eastAsia"/>
                <w:i w:val="0"/>
                <w:iCs w:val="0"/>
                <w:color w:val="auto"/>
                <w:sz w:val="21"/>
                <w:szCs w:val="21"/>
                <w:highlight w:val="none"/>
              </w:rPr>
            </w:pPr>
            <w:r>
              <w:rPr>
                <w:rFonts w:hint="eastAsia"/>
                <w:i w:val="0"/>
                <w:iCs w:val="0"/>
                <w:color w:val="auto"/>
                <w:sz w:val="21"/>
                <w:szCs w:val="21"/>
                <w:highlight w:val="none"/>
              </w:rPr>
              <w:t>非操纵逆转保护装置</w:t>
            </w:r>
          </w:p>
        </w:tc>
      </w:tr>
      <w:tr w14:paraId="56D12C8F">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8D">
            <w:pPr>
              <w:pStyle w:val="143"/>
              <w:bidi w:val="0"/>
              <w:rPr>
                <w:rFonts w:hint="eastAsia"/>
                <w:i w:val="0"/>
                <w:iCs w:val="0"/>
                <w:color w:val="auto"/>
                <w:sz w:val="21"/>
                <w:szCs w:val="21"/>
                <w:highlight w:val="none"/>
              </w:rPr>
            </w:pPr>
            <w:r>
              <w:rPr>
                <w:rFonts w:hint="eastAsia"/>
                <w:i w:val="0"/>
                <w:iCs w:val="0"/>
                <w:color w:val="auto"/>
                <w:sz w:val="21"/>
                <w:szCs w:val="21"/>
                <w:highlight w:val="none"/>
              </w:rPr>
              <w:t>26</w:t>
            </w:r>
          </w:p>
        </w:tc>
        <w:tc>
          <w:tcPr>
            <w:tcW w:w="4511" w:type="dxa"/>
            <w:tcBorders>
              <w:top w:val="single" w:color="000000" w:sz="4" w:space="0"/>
              <w:left w:val="nil"/>
              <w:bottom w:val="single" w:color="000000" w:sz="4" w:space="0"/>
              <w:right w:val="single" w:color="000000" w:sz="4" w:space="0"/>
            </w:tcBorders>
          </w:tcPr>
          <w:p w14:paraId="56D12C8E">
            <w:pPr>
              <w:pStyle w:val="143"/>
              <w:bidi w:val="0"/>
              <w:rPr>
                <w:rFonts w:hint="eastAsia"/>
                <w:i w:val="0"/>
                <w:iCs w:val="0"/>
                <w:color w:val="auto"/>
                <w:sz w:val="21"/>
                <w:szCs w:val="21"/>
                <w:highlight w:val="none"/>
              </w:rPr>
            </w:pPr>
            <w:r>
              <w:rPr>
                <w:rFonts w:hint="eastAsia"/>
                <w:i w:val="0"/>
                <w:iCs w:val="0"/>
                <w:color w:val="auto"/>
                <w:sz w:val="21"/>
                <w:szCs w:val="21"/>
                <w:highlight w:val="none"/>
              </w:rPr>
              <w:t>梯级欠速检测装置</w:t>
            </w:r>
          </w:p>
        </w:tc>
      </w:tr>
      <w:tr w14:paraId="56D12C92">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90">
            <w:pPr>
              <w:pStyle w:val="143"/>
              <w:bidi w:val="0"/>
              <w:rPr>
                <w:rFonts w:hint="eastAsia"/>
                <w:i w:val="0"/>
                <w:iCs w:val="0"/>
                <w:color w:val="auto"/>
                <w:sz w:val="21"/>
                <w:szCs w:val="21"/>
                <w:highlight w:val="none"/>
              </w:rPr>
            </w:pPr>
            <w:r>
              <w:rPr>
                <w:rFonts w:hint="eastAsia"/>
                <w:i w:val="0"/>
                <w:iCs w:val="0"/>
                <w:color w:val="auto"/>
                <w:sz w:val="21"/>
                <w:szCs w:val="21"/>
                <w:highlight w:val="none"/>
              </w:rPr>
              <w:t>27</w:t>
            </w:r>
          </w:p>
        </w:tc>
        <w:tc>
          <w:tcPr>
            <w:tcW w:w="4511" w:type="dxa"/>
            <w:tcBorders>
              <w:top w:val="single" w:color="000000" w:sz="4" w:space="0"/>
              <w:left w:val="nil"/>
              <w:bottom w:val="single" w:color="000000" w:sz="4" w:space="0"/>
              <w:right w:val="single" w:color="000000" w:sz="4" w:space="0"/>
            </w:tcBorders>
          </w:tcPr>
          <w:p w14:paraId="56D12C91">
            <w:pPr>
              <w:pStyle w:val="143"/>
              <w:bidi w:val="0"/>
              <w:rPr>
                <w:rFonts w:hint="eastAsia"/>
                <w:i w:val="0"/>
                <w:iCs w:val="0"/>
                <w:color w:val="auto"/>
                <w:sz w:val="21"/>
                <w:szCs w:val="21"/>
                <w:highlight w:val="none"/>
              </w:rPr>
            </w:pPr>
            <w:r>
              <w:rPr>
                <w:rFonts w:hint="eastAsia"/>
                <w:i w:val="0"/>
                <w:iCs w:val="0"/>
                <w:color w:val="auto"/>
                <w:sz w:val="21"/>
                <w:szCs w:val="21"/>
                <w:highlight w:val="none"/>
              </w:rPr>
              <w:t>制动器释放检测装置</w:t>
            </w:r>
          </w:p>
        </w:tc>
      </w:tr>
      <w:tr w14:paraId="56D12C95">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93">
            <w:pPr>
              <w:pStyle w:val="143"/>
              <w:bidi w:val="0"/>
              <w:rPr>
                <w:rFonts w:hint="eastAsia"/>
                <w:i w:val="0"/>
                <w:iCs w:val="0"/>
                <w:color w:val="auto"/>
                <w:sz w:val="21"/>
                <w:szCs w:val="21"/>
                <w:highlight w:val="none"/>
              </w:rPr>
            </w:pPr>
            <w:r>
              <w:rPr>
                <w:rFonts w:hint="eastAsia"/>
                <w:i w:val="0"/>
                <w:iCs w:val="0"/>
                <w:color w:val="auto"/>
                <w:sz w:val="21"/>
                <w:szCs w:val="21"/>
                <w:highlight w:val="none"/>
              </w:rPr>
              <w:t>28</w:t>
            </w:r>
          </w:p>
        </w:tc>
        <w:tc>
          <w:tcPr>
            <w:tcW w:w="4511" w:type="dxa"/>
            <w:tcBorders>
              <w:top w:val="single" w:color="000000" w:sz="4" w:space="0"/>
              <w:left w:val="nil"/>
              <w:bottom w:val="single" w:color="000000" w:sz="4" w:space="0"/>
              <w:right w:val="single" w:color="000000" w:sz="4" w:space="0"/>
            </w:tcBorders>
          </w:tcPr>
          <w:p w14:paraId="56D12C94">
            <w:pPr>
              <w:pStyle w:val="143"/>
              <w:bidi w:val="0"/>
              <w:rPr>
                <w:rFonts w:hint="eastAsia"/>
                <w:i w:val="0"/>
                <w:iCs w:val="0"/>
                <w:color w:val="auto"/>
                <w:sz w:val="21"/>
                <w:szCs w:val="21"/>
                <w:highlight w:val="none"/>
              </w:rPr>
            </w:pPr>
            <w:r>
              <w:rPr>
                <w:rFonts w:hint="eastAsia"/>
                <w:i w:val="0"/>
                <w:iCs w:val="0"/>
                <w:color w:val="auto"/>
                <w:sz w:val="21"/>
                <w:szCs w:val="21"/>
                <w:highlight w:val="none"/>
              </w:rPr>
              <w:t>驱动链安全装置</w:t>
            </w:r>
          </w:p>
        </w:tc>
      </w:tr>
      <w:tr w14:paraId="56D12C98">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96">
            <w:pPr>
              <w:pStyle w:val="143"/>
              <w:bidi w:val="0"/>
              <w:rPr>
                <w:rFonts w:hint="eastAsia"/>
                <w:i w:val="0"/>
                <w:iCs w:val="0"/>
                <w:color w:val="auto"/>
                <w:sz w:val="21"/>
                <w:szCs w:val="21"/>
                <w:highlight w:val="none"/>
              </w:rPr>
            </w:pPr>
            <w:r>
              <w:rPr>
                <w:rFonts w:hint="eastAsia"/>
                <w:i w:val="0"/>
                <w:iCs w:val="0"/>
                <w:color w:val="auto"/>
                <w:sz w:val="21"/>
                <w:szCs w:val="21"/>
                <w:highlight w:val="none"/>
              </w:rPr>
              <w:t>29</w:t>
            </w:r>
          </w:p>
        </w:tc>
        <w:tc>
          <w:tcPr>
            <w:tcW w:w="4511" w:type="dxa"/>
            <w:tcBorders>
              <w:top w:val="single" w:color="000000" w:sz="4" w:space="0"/>
              <w:left w:val="nil"/>
              <w:bottom w:val="single" w:color="000000" w:sz="4" w:space="0"/>
              <w:right w:val="single" w:color="000000" w:sz="4" w:space="0"/>
            </w:tcBorders>
          </w:tcPr>
          <w:p w14:paraId="56D12C97">
            <w:pPr>
              <w:pStyle w:val="143"/>
              <w:bidi w:val="0"/>
              <w:rPr>
                <w:rFonts w:hint="eastAsia"/>
                <w:i w:val="0"/>
                <w:iCs w:val="0"/>
                <w:color w:val="auto"/>
                <w:sz w:val="21"/>
                <w:szCs w:val="21"/>
                <w:highlight w:val="none"/>
              </w:rPr>
            </w:pPr>
            <w:r>
              <w:rPr>
                <w:rFonts w:hint="eastAsia"/>
                <w:i w:val="0"/>
                <w:iCs w:val="0"/>
                <w:color w:val="auto"/>
                <w:sz w:val="21"/>
                <w:szCs w:val="21"/>
                <w:highlight w:val="none"/>
              </w:rPr>
              <w:t>梯级链安全装置(左)</w:t>
            </w:r>
          </w:p>
        </w:tc>
      </w:tr>
      <w:tr w14:paraId="56D12C9B">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99">
            <w:pPr>
              <w:pStyle w:val="143"/>
              <w:bidi w:val="0"/>
              <w:rPr>
                <w:rFonts w:hint="eastAsia"/>
                <w:i w:val="0"/>
                <w:iCs w:val="0"/>
                <w:color w:val="auto"/>
                <w:sz w:val="21"/>
                <w:szCs w:val="21"/>
                <w:highlight w:val="none"/>
              </w:rPr>
            </w:pPr>
            <w:r>
              <w:rPr>
                <w:rFonts w:hint="eastAsia"/>
                <w:i w:val="0"/>
                <w:iCs w:val="0"/>
                <w:color w:val="auto"/>
                <w:sz w:val="21"/>
                <w:szCs w:val="21"/>
                <w:highlight w:val="none"/>
              </w:rPr>
              <w:t>30</w:t>
            </w:r>
          </w:p>
        </w:tc>
        <w:tc>
          <w:tcPr>
            <w:tcW w:w="4511" w:type="dxa"/>
            <w:tcBorders>
              <w:top w:val="single" w:color="000000" w:sz="4" w:space="0"/>
              <w:left w:val="nil"/>
              <w:bottom w:val="single" w:color="000000" w:sz="4" w:space="0"/>
              <w:right w:val="single" w:color="000000" w:sz="4" w:space="0"/>
            </w:tcBorders>
          </w:tcPr>
          <w:p w14:paraId="56D12C9A">
            <w:pPr>
              <w:pStyle w:val="143"/>
              <w:bidi w:val="0"/>
              <w:rPr>
                <w:rFonts w:hint="eastAsia"/>
                <w:i w:val="0"/>
                <w:iCs w:val="0"/>
                <w:color w:val="auto"/>
                <w:sz w:val="21"/>
                <w:szCs w:val="21"/>
                <w:highlight w:val="none"/>
              </w:rPr>
            </w:pPr>
            <w:r>
              <w:rPr>
                <w:rFonts w:hint="eastAsia"/>
                <w:i w:val="0"/>
                <w:iCs w:val="0"/>
                <w:color w:val="auto"/>
                <w:sz w:val="21"/>
                <w:szCs w:val="21"/>
                <w:highlight w:val="none"/>
              </w:rPr>
              <w:t>梯级链安全装置(右)</w:t>
            </w:r>
          </w:p>
        </w:tc>
      </w:tr>
      <w:tr w14:paraId="56D12C9E">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9C">
            <w:pPr>
              <w:pStyle w:val="143"/>
              <w:bidi w:val="0"/>
              <w:rPr>
                <w:rFonts w:hint="eastAsia"/>
                <w:i w:val="0"/>
                <w:iCs w:val="0"/>
                <w:color w:val="auto"/>
                <w:sz w:val="21"/>
                <w:szCs w:val="21"/>
                <w:highlight w:val="none"/>
              </w:rPr>
            </w:pPr>
            <w:r>
              <w:rPr>
                <w:rFonts w:hint="eastAsia"/>
                <w:i w:val="0"/>
                <w:iCs w:val="0"/>
                <w:color w:val="auto"/>
                <w:sz w:val="21"/>
                <w:szCs w:val="21"/>
                <w:highlight w:val="none"/>
              </w:rPr>
              <w:t>31</w:t>
            </w:r>
          </w:p>
        </w:tc>
        <w:tc>
          <w:tcPr>
            <w:tcW w:w="4511" w:type="dxa"/>
            <w:tcBorders>
              <w:top w:val="single" w:color="000000" w:sz="4" w:space="0"/>
              <w:left w:val="nil"/>
              <w:bottom w:val="single" w:color="000000" w:sz="4" w:space="0"/>
              <w:right w:val="single" w:color="000000" w:sz="4" w:space="0"/>
            </w:tcBorders>
          </w:tcPr>
          <w:p w14:paraId="56D12C9D">
            <w:pPr>
              <w:pStyle w:val="143"/>
              <w:bidi w:val="0"/>
              <w:rPr>
                <w:rFonts w:hint="eastAsia"/>
                <w:i w:val="0"/>
                <w:iCs w:val="0"/>
                <w:color w:val="auto"/>
                <w:sz w:val="21"/>
                <w:szCs w:val="21"/>
                <w:highlight w:val="none"/>
              </w:rPr>
            </w:pPr>
            <w:r>
              <w:rPr>
                <w:rFonts w:hint="eastAsia"/>
                <w:i w:val="0"/>
                <w:iCs w:val="0"/>
                <w:color w:val="auto"/>
                <w:sz w:val="21"/>
                <w:szCs w:val="21"/>
                <w:highlight w:val="none"/>
              </w:rPr>
              <w:t>扶手带断裂检测装置(左)</w:t>
            </w:r>
          </w:p>
        </w:tc>
      </w:tr>
      <w:tr w14:paraId="56D12CA1">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9F">
            <w:pPr>
              <w:pStyle w:val="143"/>
              <w:bidi w:val="0"/>
              <w:rPr>
                <w:rFonts w:hint="eastAsia"/>
                <w:i w:val="0"/>
                <w:iCs w:val="0"/>
                <w:color w:val="auto"/>
                <w:sz w:val="21"/>
                <w:szCs w:val="21"/>
                <w:highlight w:val="none"/>
              </w:rPr>
            </w:pPr>
            <w:r>
              <w:rPr>
                <w:rFonts w:hint="eastAsia"/>
                <w:i w:val="0"/>
                <w:iCs w:val="0"/>
                <w:color w:val="auto"/>
                <w:sz w:val="21"/>
                <w:szCs w:val="21"/>
                <w:highlight w:val="none"/>
              </w:rPr>
              <w:t>32</w:t>
            </w:r>
          </w:p>
        </w:tc>
        <w:tc>
          <w:tcPr>
            <w:tcW w:w="4511" w:type="dxa"/>
            <w:tcBorders>
              <w:top w:val="single" w:color="000000" w:sz="4" w:space="0"/>
              <w:left w:val="nil"/>
              <w:bottom w:val="single" w:color="000000" w:sz="4" w:space="0"/>
              <w:right w:val="single" w:color="000000" w:sz="4" w:space="0"/>
            </w:tcBorders>
          </w:tcPr>
          <w:p w14:paraId="56D12CA0">
            <w:pPr>
              <w:pStyle w:val="143"/>
              <w:bidi w:val="0"/>
              <w:rPr>
                <w:rFonts w:hint="eastAsia"/>
                <w:i w:val="0"/>
                <w:iCs w:val="0"/>
                <w:color w:val="auto"/>
                <w:sz w:val="21"/>
                <w:szCs w:val="21"/>
                <w:highlight w:val="none"/>
              </w:rPr>
            </w:pPr>
            <w:r>
              <w:rPr>
                <w:rFonts w:hint="eastAsia"/>
                <w:i w:val="0"/>
                <w:iCs w:val="0"/>
                <w:color w:val="auto"/>
                <w:sz w:val="21"/>
                <w:szCs w:val="21"/>
                <w:highlight w:val="none"/>
              </w:rPr>
              <w:t>扶手带断裂检测装置(右)</w:t>
            </w:r>
          </w:p>
        </w:tc>
      </w:tr>
      <w:tr w14:paraId="56D12CA4">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A2">
            <w:pPr>
              <w:pStyle w:val="143"/>
              <w:bidi w:val="0"/>
              <w:rPr>
                <w:rFonts w:hint="eastAsia"/>
                <w:i w:val="0"/>
                <w:iCs w:val="0"/>
                <w:color w:val="auto"/>
                <w:sz w:val="21"/>
                <w:szCs w:val="21"/>
                <w:highlight w:val="none"/>
              </w:rPr>
            </w:pPr>
            <w:r>
              <w:rPr>
                <w:rFonts w:hint="eastAsia"/>
                <w:i w:val="0"/>
                <w:iCs w:val="0"/>
                <w:color w:val="auto"/>
                <w:sz w:val="21"/>
                <w:szCs w:val="21"/>
                <w:highlight w:val="none"/>
              </w:rPr>
              <w:t>33</w:t>
            </w:r>
          </w:p>
        </w:tc>
        <w:tc>
          <w:tcPr>
            <w:tcW w:w="4511" w:type="dxa"/>
            <w:tcBorders>
              <w:top w:val="single" w:color="000000" w:sz="4" w:space="0"/>
              <w:left w:val="nil"/>
              <w:bottom w:val="single" w:color="000000" w:sz="4" w:space="0"/>
              <w:right w:val="single" w:color="000000" w:sz="4" w:space="0"/>
            </w:tcBorders>
          </w:tcPr>
          <w:p w14:paraId="56D12CA3">
            <w:pPr>
              <w:pStyle w:val="143"/>
              <w:bidi w:val="0"/>
              <w:rPr>
                <w:rFonts w:hint="eastAsia"/>
                <w:i w:val="0"/>
                <w:iCs w:val="0"/>
                <w:color w:val="auto"/>
                <w:sz w:val="21"/>
                <w:szCs w:val="21"/>
                <w:highlight w:val="none"/>
              </w:rPr>
            </w:pPr>
            <w:r>
              <w:rPr>
                <w:rFonts w:hint="eastAsia"/>
                <w:i w:val="0"/>
                <w:iCs w:val="0"/>
                <w:color w:val="auto"/>
                <w:sz w:val="21"/>
                <w:szCs w:val="21"/>
                <w:highlight w:val="none"/>
              </w:rPr>
              <w:t>梯级下陷检出装置(上)</w:t>
            </w:r>
          </w:p>
        </w:tc>
      </w:tr>
      <w:tr w14:paraId="56D12CA7">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A5">
            <w:pPr>
              <w:pStyle w:val="143"/>
              <w:bidi w:val="0"/>
              <w:rPr>
                <w:rFonts w:hint="eastAsia"/>
                <w:i w:val="0"/>
                <w:iCs w:val="0"/>
                <w:color w:val="auto"/>
                <w:sz w:val="21"/>
                <w:szCs w:val="21"/>
                <w:highlight w:val="none"/>
              </w:rPr>
            </w:pPr>
            <w:r>
              <w:rPr>
                <w:rFonts w:hint="eastAsia"/>
                <w:i w:val="0"/>
                <w:iCs w:val="0"/>
                <w:color w:val="auto"/>
                <w:sz w:val="21"/>
                <w:szCs w:val="21"/>
                <w:highlight w:val="none"/>
              </w:rPr>
              <w:t>34</w:t>
            </w:r>
          </w:p>
        </w:tc>
        <w:tc>
          <w:tcPr>
            <w:tcW w:w="4511" w:type="dxa"/>
            <w:tcBorders>
              <w:top w:val="single" w:color="000000" w:sz="4" w:space="0"/>
              <w:left w:val="nil"/>
              <w:bottom w:val="single" w:color="000000" w:sz="4" w:space="0"/>
              <w:right w:val="single" w:color="000000" w:sz="4" w:space="0"/>
            </w:tcBorders>
          </w:tcPr>
          <w:p w14:paraId="56D12CA6">
            <w:pPr>
              <w:pStyle w:val="143"/>
              <w:bidi w:val="0"/>
              <w:rPr>
                <w:rFonts w:hint="eastAsia"/>
                <w:i w:val="0"/>
                <w:iCs w:val="0"/>
                <w:color w:val="auto"/>
                <w:sz w:val="21"/>
                <w:szCs w:val="21"/>
                <w:highlight w:val="none"/>
              </w:rPr>
            </w:pPr>
            <w:r>
              <w:rPr>
                <w:rFonts w:hint="eastAsia"/>
                <w:i w:val="0"/>
                <w:iCs w:val="0"/>
                <w:color w:val="auto"/>
                <w:sz w:val="21"/>
                <w:szCs w:val="21"/>
                <w:highlight w:val="none"/>
              </w:rPr>
              <w:t>梯级下陷检出装置(下)</w:t>
            </w:r>
          </w:p>
        </w:tc>
      </w:tr>
      <w:tr w14:paraId="56D12CAA">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A8">
            <w:pPr>
              <w:pStyle w:val="143"/>
              <w:bidi w:val="0"/>
              <w:rPr>
                <w:rFonts w:hint="eastAsia"/>
                <w:i w:val="0"/>
                <w:iCs w:val="0"/>
                <w:color w:val="auto"/>
                <w:sz w:val="21"/>
                <w:szCs w:val="21"/>
                <w:highlight w:val="none"/>
              </w:rPr>
            </w:pPr>
            <w:r>
              <w:rPr>
                <w:rFonts w:hint="eastAsia"/>
                <w:i w:val="0"/>
                <w:iCs w:val="0"/>
                <w:color w:val="auto"/>
                <w:sz w:val="21"/>
                <w:szCs w:val="21"/>
                <w:highlight w:val="none"/>
              </w:rPr>
              <w:t>35</w:t>
            </w:r>
          </w:p>
        </w:tc>
        <w:tc>
          <w:tcPr>
            <w:tcW w:w="4511" w:type="dxa"/>
            <w:tcBorders>
              <w:top w:val="single" w:color="000000" w:sz="4" w:space="0"/>
              <w:left w:val="nil"/>
              <w:bottom w:val="single" w:color="000000" w:sz="4" w:space="0"/>
              <w:right w:val="single" w:color="000000" w:sz="4" w:space="0"/>
            </w:tcBorders>
          </w:tcPr>
          <w:p w14:paraId="56D12CA9">
            <w:pPr>
              <w:pStyle w:val="143"/>
              <w:bidi w:val="0"/>
              <w:rPr>
                <w:rFonts w:hint="eastAsia"/>
                <w:i w:val="0"/>
                <w:iCs w:val="0"/>
                <w:color w:val="auto"/>
                <w:sz w:val="21"/>
                <w:szCs w:val="21"/>
                <w:highlight w:val="none"/>
              </w:rPr>
            </w:pPr>
            <w:r>
              <w:rPr>
                <w:rFonts w:hint="eastAsia"/>
                <w:i w:val="0"/>
                <w:iCs w:val="0"/>
                <w:color w:val="auto"/>
                <w:sz w:val="21"/>
                <w:szCs w:val="21"/>
                <w:highlight w:val="none"/>
              </w:rPr>
              <w:t>扶手带速度检测装置(左)</w:t>
            </w:r>
          </w:p>
        </w:tc>
      </w:tr>
      <w:tr w14:paraId="56D12CAD">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AB">
            <w:pPr>
              <w:pStyle w:val="143"/>
              <w:bidi w:val="0"/>
              <w:rPr>
                <w:rFonts w:hint="eastAsia"/>
                <w:i w:val="0"/>
                <w:iCs w:val="0"/>
                <w:color w:val="auto"/>
                <w:sz w:val="21"/>
                <w:szCs w:val="21"/>
                <w:highlight w:val="none"/>
              </w:rPr>
            </w:pPr>
            <w:r>
              <w:rPr>
                <w:rFonts w:hint="eastAsia"/>
                <w:i w:val="0"/>
                <w:iCs w:val="0"/>
                <w:color w:val="auto"/>
                <w:sz w:val="21"/>
                <w:szCs w:val="21"/>
                <w:highlight w:val="none"/>
              </w:rPr>
              <w:t>36</w:t>
            </w:r>
          </w:p>
        </w:tc>
        <w:tc>
          <w:tcPr>
            <w:tcW w:w="4511" w:type="dxa"/>
            <w:tcBorders>
              <w:top w:val="single" w:color="000000" w:sz="4" w:space="0"/>
              <w:left w:val="nil"/>
              <w:bottom w:val="single" w:color="000000" w:sz="4" w:space="0"/>
              <w:right w:val="single" w:color="000000" w:sz="4" w:space="0"/>
            </w:tcBorders>
          </w:tcPr>
          <w:p w14:paraId="56D12CAC">
            <w:pPr>
              <w:pStyle w:val="143"/>
              <w:bidi w:val="0"/>
              <w:rPr>
                <w:rFonts w:hint="eastAsia"/>
                <w:i w:val="0"/>
                <w:iCs w:val="0"/>
                <w:color w:val="auto"/>
                <w:sz w:val="21"/>
                <w:szCs w:val="21"/>
                <w:highlight w:val="none"/>
              </w:rPr>
            </w:pPr>
            <w:r>
              <w:rPr>
                <w:rFonts w:hint="eastAsia"/>
                <w:i w:val="0"/>
                <w:iCs w:val="0"/>
                <w:color w:val="auto"/>
                <w:sz w:val="21"/>
                <w:szCs w:val="21"/>
                <w:highlight w:val="none"/>
              </w:rPr>
              <w:t>扶手带速度检测装置(右)</w:t>
            </w:r>
          </w:p>
        </w:tc>
      </w:tr>
      <w:tr w14:paraId="56D12CB0">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AE">
            <w:pPr>
              <w:pStyle w:val="143"/>
              <w:bidi w:val="0"/>
              <w:rPr>
                <w:rFonts w:hint="eastAsia"/>
                <w:i w:val="0"/>
                <w:iCs w:val="0"/>
                <w:color w:val="auto"/>
                <w:sz w:val="21"/>
                <w:szCs w:val="21"/>
                <w:highlight w:val="none"/>
              </w:rPr>
            </w:pPr>
            <w:r>
              <w:rPr>
                <w:rFonts w:hint="eastAsia"/>
                <w:i w:val="0"/>
                <w:iCs w:val="0"/>
                <w:color w:val="auto"/>
                <w:sz w:val="21"/>
                <w:szCs w:val="21"/>
                <w:highlight w:val="none"/>
              </w:rPr>
              <w:t>37</w:t>
            </w:r>
          </w:p>
        </w:tc>
        <w:tc>
          <w:tcPr>
            <w:tcW w:w="4511" w:type="dxa"/>
            <w:tcBorders>
              <w:top w:val="single" w:color="000000" w:sz="4" w:space="0"/>
              <w:left w:val="nil"/>
              <w:bottom w:val="single" w:color="000000" w:sz="4" w:space="0"/>
              <w:right w:val="single" w:color="000000" w:sz="4" w:space="0"/>
            </w:tcBorders>
          </w:tcPr>
          <w:p w14:paraId="56D12CAF">
            <w:pPr>
              <w:pStyle w:val="143"/>
              <w:bidi w:val="0"/>
              <w:rPr>
                <w:rFonts w:hint="eastAsia"/>
                <w:i w:val="0"/>
                <w:iCs w:val="0"/>
                <w:color w:val="auto"/>
                <w:sz w:val="21"/>
                <w:szCs w:val="21"/>
                <w:highlight w:val="none"/>
              </w:rPr>
            </w:pPr>
            <w:r>
              <w:rPr>
                <w:rFonts w:hint="eastAsia"/>
                <w:i w:val="0"/>
                <w:iCs w:val="0"/>
                <w:color w:val="auto"/>
                <w:sz w:val="21"/>
                <w:szCs w:val="21"/>
                <w:highlight w:val="none"/>
              </w:rPr>
              <w:t>楼层板打开监测装置(上)</w:t>
            </w:r>
          </w:p>
        </w:tc>
      </w:tr>
      <w:tr w14:paraId="56D12CB3">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B1">
            <w:pPr>
              <w:pStyle w:val="143"/>
              <w:bidi w:val="0"/>
              <w:rPr>
                <w:rFonts w:hint="eastAsia"/>
                <w:i w:val="0"/>
                <w:iCs w:val="0"/>
                <w:color w:val="auto"/>
                <w:sz w:val="21"/>
                <w:szCs w:val="21"/>
                <w:highlight w:val="none"/>
              </w:rPr>
            </w:pPr>
            <w:r>
              <w:rPr>
                <w:rFonts w:hint="eastAsia"/>
                <w:i w:val="0"/>
                <w:iCs w:val="0"/>
                <w:color w:val="auto"/>
                <w:sz w:val="21"/>
                <w:szCs w:val="21"/>
                <w:highlight w:val="none"/>
              </w:rPr>
              <w:t>38</w:t>
            </w:r>
          </w:p>
        </w:tc>
        <w:tc>
          <w:tcPr>
            <w:tcW w:w="4511" w:type="dxa"/>
            <w:tcBorders>
              <w:top w:val="single" w:color="000000" w:sz="4" w:space="0"/>
              <w:left w:val="nil"/>
              <w:bottom w:val="single" w:color="000000" w:sz="4" w:space="0"/>
              <w:right w:val="single" w:color="000000" w:sz="4" w:space="0"/>
            </w:tcBorders>
          </w:tcPr>
          <w:p w14:paraId="56D12CB2">
            <w:pPr>
              <w:pStyle w:val="143"/>
              <w:bidi w:val="0"/>
              <w:rPr>
                <w:rFonts w:hint="eastAsia"/>
                <w:i w:val="0"/>
                <w:iCs w:val="0"/>
                <w:color w:val="auto"/>
                <w:sz w:val="21"/>
                <w:szCs w:val="21"/>
                <w:highlight w:val="none"/>
              </w:rPr>
            </w:pPr>
            <w:r>
              <w:rPr>
                <w:rFonts w:hint="eastAsia"/>
                <w:i w:val="0"/>
                <w:iCs w:val="0"/>
                <w:color w:val="auto"/>
                <w:sz w:val="21"/>
                <w:szCs w:val="21"/>
                <w:highlight w:val="none"/>
              </w:rPr>
              <w:t>楼层板打开监测装置(下)</w:t>
            </w:r>
          </w:p>
        </w:tc>
      </w:tr>
      <w:tr w14:paraId="56D12CB6">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B4">
            <w:pPr>
              <w:pStyle w:val="143"/>
              <w:bidi w:val="0"/>
              <w:rPr>
                <w:rFonts w:hint="eastAsia"/>
                <w:i w:val="0"/>
                <w:iCs w:val="0"/>
                <w:color w:val="auto"/>
                <w:sz w:val="21"/>
                <w:szCs w:val="21"/>
                <w:highlight w:val="none"/>
              </w:rPr>
            </w:pPr>
            <w:r>
              <w:rPr>
                <w:rFonts w:hint="eastAsia"/>
                <w:i w:val="0"/>
                <w:iCs w:val="0"/>
                <w:color w:val="auto"/>
                <w:sz w:val="21"/>
                <w:szCs w:val="21"/>
                <w:highlight w:val="none"/>
              </w:rPr>
              <w:t>39</w:t>
            </w:r>
          </w:p>
        </w:tc>
        <w:tc>
          <w:tcPr>
            <w:tcW w:w="4511" w:type="dxa"/>
            <w:tcBorders>
              <w:top w:val="single" w:color="000000" w:sz="4" w:space="0"/>
              <w:left w:val="nil"/>
              <w:bottom w:val="single" w:color="000000" w:sz="4" w:space="0"/>
              <w:right w:val="single" w:color="000000" w:sz="4" w:space="0"/>
            </w:tcBorders>
          </w:tcPr>
          <w:p w14:paraId="56D12CB5">
            <w:pPr>
              <w:pStyle w:val="143"/>
              <w:bidi w:val="0"/>
              <w:rPr>
                <w:rFonts w:hint="eastAsia"/>
                <w:i w:val="0"/>
                <w:iCs w:val="0"/>
                <w:color w:val="auto"/>
                <w:sz w:val="21"/>
                <w:szCs w:val="21"/>
                <w:highlight w:val="none"/>
              </w:rPr>
            </w:pPr>
            <w:r>
              <w:rPr>
                <w:rFonts w:hint="eastAsia"/>
                <w:i w:val="0"/>
                <w:iCs w:val="0"/>
                <w:color w:val="auto"/>
                <w:sz w:val="21"/>
                <w:szCs w:val="21"/>
                <w:highlight w:val="none"/>
              </w:rPr>
              <w:t>紧急停止按钮(上)</w:t>
            </w:r>
          </w:p>
        </w:tc>
      </w:tr>
      <w:tr w14:paraId="56D12CB9">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B7">
            <w:pPr>
              <w:pStyle w:val="143"/>
              <w:bidi w:val="0"/>
              <w:rPr>
                <w:rFonts w:hint="eastAsia"/>
                <w:i w:val="0"/>
                <w:iCs w:val="0"/>
                <w:color w:val="auto"/>
                <w:sz w:val="21"/>
                <w:szCs w:val="21"/>
                <w:highlight w:val="none"/>
              </w:rPr>
            </w:pPr>
            <w:r>
              <w:rPr>
                <w:rFonts w:hint="eastAsia"/>
                <w:i w:val="0"/>
                <w:iCs w:val="0"/>
                <w:color w:val="auto"/>
                <w:sz w:val="21"/>
                <w:szCs w:val="21"/>
                <w:highlight w:val="none"/>
              </w:rPr>
              <w:t>40</w:t>
            </w:r>
          </w:p>
        </w:tc>
        <w:tc>
          <w:tcPr>
            <w:tcW w:w="4511" w:type="dxa"/>
            <w:tcBorders>
              <w:top w:val="single" w:color="000000" w:sz="4" w:space="0"/>
              <w:left w:val="nil"/>
              <w:bottom w:val="single" w:color="000000" w:sz="4" w:space="0"/>
              <w:right w:val="single" w:color="000000" w:sz="4" w:space="0"/>
            </w:tcBorders>
          </w:tcPr>
          <w:p w14:paraId="56D12CB8">
            <w:pPr>
              <w:pStyle w:val="143"/>
              <w:bidi w:val="0"/>
              <w:rPr>
                <w:rFonts w:hint="eastAsia"/>
                <w:i w:val="0"/>
                <w:iCs w:val="0"/>
                <w:color w:val="auto"/>
                <w:sz w:val="21"/>
                <w:szCs w:val="21"/>
                <w:highlight w:val="none"/>
              </w:rPr>
            </w:pPr>
            <w:r>
              <w:rPr>
                <w:rFonts w:hint="eastAsia"/>
                <w:i w:val="0"/>
                <w:iCs w:val="0"/>
                <w:color w:val="auto"/>
                <w:sz w:val="21"/>
                <w:szCs w:val="21"/>
                <w:highlight w:val="none"/>
              </w:rPr>
              <w:t>紧急停止按钮(下)</w:t>
            </w:r>
          </w:p>
        </w:tc>
      </w:tr>
      <w:tr w14:paraId="56D12CBC">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BA">
            <w:pPr>
              <w:pStyle w:val="143"/>
              <w:bidi w:val="0"/>
              <w:rPr>
                <w:rFonts w:hint="eastAsia"/>
                <w:i w:val="0"/>
                <w:iCs w:val="0"/>
                <w:color w:val="auto"/>
                <w:sz w:val="21"/>
                <w:szCs w:val="21"/>
                <w:highlight w:val="none"/>
              </w:rPr>
            </w:pPr>
            <w:r>
              <w:rPr>
                <w:rFonts w:hint="eastAsia"/>
                <w:i w:val="0"/>
                <w:iCs w:val="0"/>
                <w:color w:val="auto"/>
                <w:sz w:val="21"/>
                <w:szCs w:val="21"/>
                <w:highlight w:val="none"/>
              </w:rPr>
              <w:t>41</w:t>
            </w:r>
          </w:p>
        </w:tc>
        <w:tc>
          <w:tcPr>
            <w:tcW w:w="4511" w:type="dxa"/>
            <w:tcBorders>
              <w:top w:val="single" w:color="000000" w:sz="4" w:space="0"/>
              <w:left w:val="nil"/>
              <w:bottom w:val="single" w:color="000000" w:sz="4" w:space="0"/>
              <w:right w:val="single" w:color="000000" w:sz="4" w:space="0"/>
            </w:tcBorders>
          </w:tcPr>
          <w:p w14:paraId="56D12CBB">
            <w:pPr>
              <w:pStyle w:val="143"/>
              <w:bidi w:val="0"/>
              <w:rPr>
                <w:rFonts w:hint="eastAsia"/>
                <w:i w:val="0"/>
                <w:iCs w:val="0"/>
                <w:color w:val="auto"/>
                <w:sz w:val="21"/>
                <w:szCs w:val="21"/>
                <w:highlight w:val="none"/>
              </w:rPr>
            </w:pPr>
            <w:r>
              <w:rPr>
                <w:rFonts w:hint="eastAsia"/>
                <w:i w:val="0"/>
                <w:iCs w:val="0"/>
                <w:color w:val="auto"/>
                <w:sz w:val="21"/>
                <w:szCs w:val="21"/>
                <w:highlight w:val="none"/>
              </w:rPr>
              <w:t>机房停止按钮</w:t>
            </w:r>
          </w:p>
        </w:tc>
      </w:tr>
      <w:tr w14:paraId="56D12CBF">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BD">
            <w:pPr>
              <w:pStyle w:val="143"/>
              <w:bidi w:val="0"/>
              <w:rPr>
                <w:rFonts w:hint="eastAsia"/>
                <w:i w:val="0"/>
                <w:iCs w:val="0"/>
                <w:color w:val="auto"/>
                <w:sz w:val="21"/>
                <w:szCs w:val="21"/>
                <w:highlight w:val="none"/>
              </w:rPr>
            </w:pPr>
            <w:r>
              <w:rPr>
                <w:rFonts w:hint="eastAsia"/>
                <w:i w:val="0"/>
                <w:iCs w:val="0"/>
                <w:color w:val="auto"/>
                <w:sz w:val="21"/>
                <w:szCs w:val="21"/>
                <w:highlight w:val="none"/>
              </w:rPr>
              <w:t>42</w:t>
            </w:r>
          </w:p>
        </w:tc>
        <w:tc>
          <w:tcPr>
            <w:tcW w:w="4511" w:type="dxa"/>
            <w:tcBorders>
              <w:top w:val="single" w:color="000000" w:sz="4" w:space="0"/>
              <w:left w:val="nil"/>
              <w:bottom w:val="single" w:color="000000" w:sz="4" w:space="0"/>
              <w:right w:val="single" w:color="000000" w:sz="4" w:space="0"/>
            </w:tcBorders>
          </w:tcPr>
          <w:p w14:paraId="56D12CBE">
            <w:pPr>
              <w:pStyle w:val="143"/>
              <w:bidi w:val="0"/>
              <w:rPr>
                <w:rFonts w:hint="eastAsia"/>
                <w:i w:val="0"/>
                <w:iCs w:val="0"/>
                <w:color w:val="auto"/>
                <w:sz w:val="21"/>
                <w:szCs w:val="21"/>
                <w:highlight w:val="none"/>
              </w:rPr>
            </w:pPr>
            <w:r>
              <w:rPr>
                <w:rFonts w:hint="eastAsia"/>
                <w:i w:val="0"/>
                <w:iCs w:val="0"/>
                <w:color w:val="auto"/>
                <w:sz w:val="21"/>
                <w:szCs w:val="21"/>
                <w:highlight w:val="none"/>
              </w:rPr>
              <w:t>制动器磨损检测</w:t>
            </w:r>
          </w:p>
        </w:tc>
      </w:tr>
      <w:tr w14:paraId="56D12CC2">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C0">
            <w:pPr>
              <w:pStyle w:val="143"/>
              <w:bidi w:val="0"/>
              <w:rPr>
                <w:rFonts w:hint="eastAsia"/>
                <w:i w:val="0"/>
                <w:iCs w:val="0"/>
                <w:color w:val="auto"/>
                <w:sz w:val="21"/>
                <w:szCs w:val="21"/>
                <w:highlight w:val="none"/>
              </w:rPr>
            </w:pPr>
            <w:r>
              <w:rPr>
                <w:rFonts w:hint="eastAsia"/>
                <w:i w:val="0"/>
                <w:iCs w:val="0"/>
                <w:color w:val="auto"/>
                <w:sz w:val="21"/>
                <w:szCs w:val="21"/>
                <w:highlight w:val="none"/>
              </w:rPr>
              <w:t>43</w:t>
            </w:r>
          </w:p>
        </w:tc>
        <w:tc>
          <w:tcPr>
            <w:tcW w:w="4511" w:type="dxa"/>
            <w:tcBorders>
              <w:top w:val="single" w:color="000000" w:sz="4" w:space="0"/>
              <w:left w:val="nil"/>
              <w:bottom w:val="single" w:color="000000" w:sz="4" w:space="0"/>
              <w:right w:val="single" w:color="000000" w:sz="4" w:space="0"/>
            </w:tcBorders>
          </w:tcPr>
          <w:p w14:paraId="56D12CC1">
            <w:pPr>
              <w:pStyle w:val="143"/>
              <w:bidi w:val="0"/>
              <w:rPr>
                <w:rFonts w:hint="eastAsia"/>
                <w:i w:val="0"/>
                <w:iCs w:val="0"/>
                <w:color w:val="auto"/>
                <w:sz w:val="21"/>
                <w:szCs w:val="21"/>
                <w:highlight w:val="none"/>
              </w:rPr>
            </w:pPr>
            <w:r>
              <w:rPr>
                <w:rFonts w:hint="eastAsia"/>
                <w:i w:val="0"/>
                <w:iCs w:val="0"/>
                <w:color w:val="auto"/>
                <w:sz w:val="21"/>
                <w:szCs w:val="21"/>
                <w:highlight w:val="none"/>
              </w:rPr>
              <w:t>梯级上浮保护安全装置(上)</w:t>
            </w:r>
          </w:p>
        </w:tc>
      </w:tr>
      <w:tr w14:paraId="56D12CC5">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C3">
            <w:pPr>
              <w:pStyle w:val="143"/>
              <w:bidi w:val="0"/>
              <w:rPr>
                <w:rFonts w:hint="eastAsia"/>
                <w:i w:val="0"/>
                <w:iCs w:val="0"/>
                <w:color w:val="auto"/>
                <w:sz w:val="21"/>
                <w:szCs w:val="21"/>
                <w:highlight w:val="none"/>
              </w:rPr>
            </w:pPr>
            <w:r>
              <w:rPr>
                <w:rFonts w:hint="eastAsia"/>
                <w:i w:val="0"/>
                <w:iCs w:val="0"/>
                <w:color w:val="auto"/>
                <w:sz w:val="21"/>
                <w:szCs w:val="21"/>
                <w:highlight w:val="none"/>
              </w:rPr>
              <w:t>44</w:t>
            </w:r>
          </w:p>
        </w:tc>
        <w:tc>
          <w:tcPr>
            <w:tcW w:w="4511" w:type="dxa"/>
            <w:tcBorders>
              <w:top w:val="single" w:color="000000" w:sz="4" w:space="0"/>
              <w:left w:val="nil"/>
              <w:bottom w:val="single" w:color="000000" w:sz="4" w:space="0"/>
              <w:right w:val="single" w:color="000000" w:sz="4" w:space="0"/>
            </w:tcBorders>
          </w:tcPr>
          <w:p w14:paraId="56D12CC4">
            <w:pPr>
              <w:pStyle w:val="143"/>
              <w:bidi w:val="0"/>
              <w:rPr>
                <w:rFonts w:hint="eastAsia"/>
                <w:i w:val="0"/>
                <w:iCs w:val="0"/>
                <w:color w:val="auto"/>
                <w:sz w:val="21"/>
                <w:szCs w:val="21"/>
                <w:highlight w:val="none"/>
              </w:rPr>
            </w:pPr>
            <w:r>
              <w:rPr>
                <w:rFonts w:hint="eastAsia"/>
                <w:i w:val="0"/>
                <w:iCs w:val="0"/>
                <w:color w:val="auto"/>
                <w:sz w:val="21"/>
                <w:szCs w:val="21"/>
                <w:highlight w:val="none"/>
              </w:rPr>
              <w:t>梯级上浮保护安全装置(下)</w:t>
            </w:r>
          </w:p>
        </w:tc>
      </w:tr>
      <w:tr w14:paraId="56D12CC8">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C6">
            <w:pPr>
              <w:pStyle w:val="143"/>
              <w:bidi w:val="0"/>
              <w:rPr>
                <w:rFonts w:hint="eastAsia"/>
                <w:i w:val="0"/>
                <w:iCs w:val="0"/>
                <w:color w:val="auto"/>
                <w:sz w:val="21"/>
                <w:szCs w:val="21"/>
                <w:highlight w:val="none"/>
              </w:rPr>
            </w:pPr>
            <w:r>
              <w:rPr>
                <w:rFonts w:hint="eastAsia"/>
                <w:i w:val="0"/>
                <w:iCs w:val="0"/>
                <w:color w:val="auto"/>
                <w:sz w:val="21"/>
                <w:szCs w:val="21"/>
                <w:highlight w:val="none"/>
              </w:rPr>
              <w:t>45</w:t>
            </w:r>
          </w:p>
        </w:tc>
        <w:tc>
          <w:tcPr>
            <w:tcW w:w="4511" w:type="dxa"/>
            <w:tcBorders>
              <w:top w:val="single" w:color="000000" w:sz="4" w:space="0"/>
              <w:left w:val="nil"/>
              <w:bottom w:val="single" w:color="000000" w:sz="4" w:space="0"/>
              <w:right w:val="single" w:color="000000" w:sz="4" w:space="0"/>
            </w:tcBorders>
          </w:tcPr>
          <w:p w14:paraId="56D12CC7">
            <w:pPr>
              <w:pStyle w:val="143"/>
              <w:bidi w:val="0"/>
              <w:rPr>
                <w:rFonts w:hint="eastAsia"/>
                <w:i w:val="0"/>
                <w:iCs w:val="0"/>
                <w:color w:val="auto"/>
                <w:sz w:val="21"/>
                <w:szCs w:val="21"/>
                <w:highlight w:val="none"/>
              </w:rPr>
            </w:pPr>
            <w:r>
              <w:rPr>
                <w:rFonts w:hint="eastAsia"/>
                <w:i w:val="0"/>
                <w:iCs w:val="0"/>
                <w:color w:val="auto"/>
                <w:sz w:val="21"/>
                <w:szCs w:val="21"/>
                <w:highlight w:val="none"/>
              </w:rPr>
              <w:t>继电器输入异常</w:t>
            </w:r>
          </w:p>
        </w:tc>
      </w:tr>
      <w:tr w14:paraId="56D12CCB">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C9">
            <w:pPr>
              <w:pStyle w:val="143"/>
              <w:bidi w:val="0"/>
              <w:rPr>
                <w:rFonts w:hint="eastAsia"/>
                <w:i w:val="0"/>
                <w:iCs w:val="0"/>
                <w:color w:val="auto"/>
                <w:sz w:val="21"/>
                <w:szCs w:val="21"/>
                <w:highlight w:val="none"/>
              </w:rPr>
            </w:pPr>
            <w:r>
              <w:rPr>
                <w:rFonts w:hint="eastAsia"/>
                <w:i w:val="0"/>
                <w:iCs w:val="0"/>
                <w:color w:val="auto"/>
                <w:sz w:val="21"/>
                <w:szCs w:val="21"/>
                <w:highlight w:val="none"/>
              </w:rPr>
              <w:t>46</w:t>
            </w:r>
          </w:p>
        </w:tc>
        <w:tc>
          <w:tcPr>
            <w:tcW w:w="4511" w:type="dxa"/>
            <w:tcBorders>
              <w:top w:val="single" w:color="000000" w:sz="4" w:space="0"/>
              <w:left w:val="nil"/>
              <w:bottom w:val="single" w:color="000000" w:sz="4" w:space="0"/>
              <w:right w:val="single" w:color="000000" w:sz="4" w:space="0"/>
            </w:tcBorders>
          </w:tcPr>
          <w:p w14:paraId="56D12CCA">
            <w:pPr>
              <w:pStyle w:val="143"/>
              <w:bidi w:val="0"/>
              <w:rPr>
                <w:rFonts w:hint="eastAsia"/>
                <w:i w:val="0"/>
                <w:iCs w:val="0"/>
                <w:color w:val="auto"/>
                <w:sz w:val="21"/>
                <w:szCs w:val="21"/>
                <w:highlight w:val="none"/>
              </w:rPr>
            </w:pPr>
            <w:r>
              <w:rPr>
                <w:rFonts w:hint="eastAsia"/>
                <w:i w:val="0"/>
                <w:iCs w:val="0"/>
                <w:color w:val="auto"/>
                <w:sz w:val="21"/>
                <w:szCs w:val="21"/>
                <w:highlight w:val="none"/>
              </w:rPr>
              <w:t>上部梯级缺失检测</w:t>
            </w:r>
          </w:p>
        </w:tc>
      </w:tr>
      <w:tr w14:paraId="56D12CCE">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CC">
            <w:pPr>
              <w:pStyle w:val="143"/>
              <w:bidi w:val="0"/>
              <w:rPr>
                <w:rFonts w:hint="eastAsia"/>
                <w:i w:val="0"/>
                <w:iCs w:val="0"/>
                <w:color w:val="auto"/>
                <w:sz w:val="21"/>
                <w:szCs w:val="21"/>
                <w:highlight w:val="none"/>
              </w:rPr>
            </w:pPr>
            <w:r>
              <w:rPr>
                <w:rFonts w:hint="eastAsia"/>
                <w:i w:val="0"/>
                <w:iCs w:val="0"/>
                <w:color w:val="auto"/>
                <w:sz w:val="21"/>
                <w:szCs w:val="21"/>
                <w:highlight w:val="none"/>
              </w:rPr>
              <w:t>47</w:t>
            </w:r>
          </w:p>
        </w:tc>
        <w:tc>
          <w:tcPr>
            <w:tcW w:w="4511" w:type="dxa"/>
            <w:tcBorders>
              <w:top w:val="single" w:color="000000" w:sz="4" w:space="0"/>
              <w:left w:val="nil"/>
              <w:bottom w:val="single" w:color="000000" w:sz="4" w:space="0"/>
              <w:right w:val="single" w:color="000000" w:sz="4" w:space="0"/>
            </w:tcBorders>
          </w:tcPr>
          <w:p w14:paraId="56D12CCD">
            <w:pPr>
              <w:pStyle w:val="143"/>
              <w:bidi w:val="0"/>
              <w:rPr>
                <w:rFonts w:hint="eastAsia"/>
                <w:i w:val="0"/>
                <w:iCs w:val="0"/>
                <w:color w:val="auto"/>
                <w:sz w:val="21"/>
                <w:szCs w:val="21"/>
                <w:highlight w:val="none"/>
              </w:rPr>
            </w:pPr>
            <w:r>
              <w:rPr>
                <w:rFonts w:hint="eastAsia"/>
                <w:i w:val="0"/>
                <w:iCs w:val="0"/>
                <w:color w:val="auto"/>
                <w:sz w:val="21"/>
                <w:szCs w:val="21"/>
                <w:highlight w:val="none"/>
              </w:rPr>
              <w:t>下部梯级缺失检测</w:t>
            </w:r>
          </w:p>
        </w:tc>
      </w:tr>
      <w:tr w14:paraId="56D12CD1">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CF">
            <w:pPr>
              <w:pStyle w:val="143"/>
              <w:bidi w:val="0"/>
              <w:rPr>
                <w:rFonts w:hint="eastAsia"/>
                <w:i w:val="0"/>
                <w:iCs w:val="0"/>
                <w:color w:val="auto"/>
                <w:sz w:val="21"/>
                <w:szCs w:val="21"/>
                <w:highlight w:val="none"/>
              </w:rPr>
            </w:pPr>
            <w:r>
              <w:rPr>
                <w:rFonts w:hint="eastAsia"/>
                <w:i w:val="0"/>
                <w:iCs w:val="0"/>
                <w:color w:val="auto"/>
                <w:sz w:val="21"/>
                <w:szCs w:val="21"/>
                <w:highlight w:val="none"/>
              </w:rPr>
              <w:t>48</w:t>
            </w:r>
          </w:p>
        </w:tc>
        <w:tc>
          <w:tcPr>
            <w:tcW w:w="4511" w:type="dxa"/>
            <w:tcBorders>
              <w:top w:val="single" w:color="000000" w:sz="4" w:space="0"/>
              <w:left w:val="nil"/>
              <w:bottom w:val="single" w:color="000000" w:sz="4" w:space="0"/>
              <w:right w:val="single" w:color="000000" w:sz="4" w:space="0"/>
            </w:tcBorders>
          </w:tcPr>
          <w:p w14:paraId="56D12CD0">
            <w:pPr>
              <w:pStyle w:val="143"/>
              <w:bidi w:val="0"/>
              <w:rPr>
                <w:rFonts w:hint="eastAsia"/>
                <w:i w:val="0"/>
                <w:iCs w:val="0"/>
                <w:color w:val="auto"/>
                <w:sz w:val="21"/>
                <w:szCs w:val="21"/>
                <w:highlight w:val="none"/>
              </w:rPr>
            </w:pPr>
            <w:r>
              <w:rPr>
                <w:rFonts w:hint="eastAsia"/>
                <w:i w:val="0"/>
                <w:iCs w:val="0"/>
                <w:color w:val="auto"/>
                <w:sz w:val="21"/>
                <w:szCs w:val="21"/>
                <w:highlight w:val="none"/>
              </w:rPr>
              <w:t>风扇运行故障</w:t>
            </w:r>
          </w:p>
        </w:tc>
      </w:tr>
      <w:tr w14:paraId="56D12CD4">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D2">
            <w:pPr>
              <w:pStyle w:val="143"/>
              <w:bidi w:val="0"/>
              <w:rPr>
                <w:rFonts w:hint="eastAsia"/>
                <w:i w:val="0"/>
                <w:iCs w:val="0"/>
                <w:color w:val="auto"/>
                <w:sz w:val="21"/>
                <w:szCs w:val="21"/>
                <w:highlight w:val="none"/>
              </w:rPr>
            </w:pPr>
            <w:r>
              <w:rPr>
                <w:rFonts w:hint="eastAsia"/>
                <w:i w:val="0"/>
                <w:iCs w:val="0"/>
                <w:color w:val="auto"/>
                <w:sz w:val="21"/>
                <w:szCs w:val="21"/>
                <w:highlight w:val="none"/>
              </w:rPr>
              <w:t>49</w:t>
            </w:r>
          </w:p>
        </w:tc>
        <w:tc>
          <w:tcPr>
            <w:tcW w:w="4511" w:type="dxa"/>
            <w:tcBorders>
              <w:top w:val="single" w:color="000000" w:sz="4" w:space="0"/>
              <w:left w:val="nil"/>
              <w:bottom w:val="single" w:color="000000" w:sz="4" w:space="0"/>
              <w:right w:val="single" w:color="000000" w:sz="4" w:space="0"/>
            </w:tcBorders>
          </w:tcPr>
          <w:p w14:paraId="56D12CD3">
            <w:pPr>
              <w:pStyle w:val="143"/>
              <w:bidi w:val="0"/>
              <w:rPr>
                <w:rFonts w:hint="eastAsia"/>
                <w:i w:val="0"/>
                <w:iCs w:val="0"/>
                <w:color w:val="auto"/>
                <w:sz w:val="21"/>
                <w:szCs w:val="21"/>
                <w:highlight w:val="none"/>
              </w:rPr>
            </w:pPr>
            <w:r>
              <w:rPr>
                <w:rFonts w:hint="eastAsia"/>
                <w:i w:val="0"/>
                <w:iCs w:val="0"/>
                <w:color w:val="auto"/>
                <w:sz w:val="21"/>
                <w:szCs w:val="21"/>
                <w:highlight w:val="none"/>
              </w:rPr>
              <w:t>刹车距离</w:t>
            </w:r>
          </w:p>
        </w:tc>
      </w:tr>
      <w:tr w14:paraId="56D12CD7">
        <w:tblPrEx>
          <w:tblCellMar>
            <w:top w:w="0" w:type="dxa"/>
            <w:left w:w="0" w:type="dxa"/>
            <w:bottom w:w="0" w:type="dxa"/>
            <w:right w:w="0" w:type="dxa"/>
          </w:tblCellMar>
        </w:tblPrEx>
        <w:trPr>
          <w:trHeight w:val="23" w:hRule="atLeast"/>
          <w:jc w:val="center"/>
        </w:trPr>
        <w:tc>
          <w:tcPr>
            <w:tcW w:w="1493" w:type="dxa"/>
            <w:tcBorders>
              <w:top w:val="single" w:color="000000" w:sz="4" w:space="0"/>
              <w:left w:val="single" w:color="000000" w:sz="4" w:space="0"/>
              <w:bottom w:val="single" w:color="000000" w:sz="4" w:space="0"/>
              <w:right w:val="single" w:color="000000" w:sz="4" w:space="0"/>
            </w:tcBorders>
          </w:tcPr>
          <w:p w14:paraId="56D12CD5">
            <w:pPr>
              <w:pStyle w:val="143"/>
              <w:bidi w:val="0"/>
              <w:rPr>
                <w:rFonts w:hint="eastAsia"/>
                <w:i w:val="0"/>
                <w:iCs w:val="0"/>
                <w:color w:val="auto"/>
                <w:sz w:val="21"/>
                <w:szCs w:val="21"/>
                <w:highlight w:val="none"/>
              </w:rPr>
            </w:pPr>
            <w:r>
              <w:rPr>
                <w:rFonts w:hint="eastAsia"/>
                <w:i w:val="0"/>
                <w:iCs w:val="0"/>
                <w:color w:val="auto"/>
                <w:sz w:val="21"/>
                <w:szCs w:val="21"/>
                <w:highlight w:val="none"/>
              </w:rPr>
              <w:t>50</w:t>
            </w:r>
          </w:p>
        </w:tc>
        <w:tc>
          <w:tcPr>
            <w:tcW w:w="4511" w:type="dxa"/>
            <w:tcBorders>
              <w:top w:val="single" w:color="000000" w:sz="4" w:space="0"/>
              <w:left w:val="nil"/>
              <w:bottom w:val="single" w:color="000000" w:sz="4" w:space="0"/>
              <w:right w:val="single" w:color="000000" w:sz="4" w:space="0"/>
            </w:tcBorders>
          </w:tcPr>
          <w:p w14:paraId="56D12CD6">
            <w:pPr>
              <w:pStyle w:val="143"/>
              <w:bidi w:val="0"/>
              <w:rPr>
                <w:rFonts w:hint="eastAsia"/>
                <w:i w:val="0"/>
                <w:iCs w:val="0"/>
                <w:color w:val="auto"/>
                <w:sz w:val="21"/>
                <w:szCs w:val="21"/>
                <w:highlight w:val="none"/>
              </w:rPr>
            </w:pPr>
            <w:r>
              <w:rPr>
                <w:rFonts w:hint="eastAsia"/>
                <w:i w:val="0"/>
                <w:iCs w:val="0"/>
                <w:color w:val="auto"/>
                <w:sz w:val="21"/>
                <w:szCs w:val="21"/>
                <w:highlight w:val="none"/>
              </w:rPr>
              <w:t>液位</w:t>
            </w:r>
          </w:p>
        </w:tc>
      </w:tr>
    </w:tbl>
    <w:p w14:paraId="72CDFE6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投标人如需增加设备</w:t>
      </w:r>
      <w:r>
        <w:rPr>
          <w:rFonts w:hint="eastAsia"/>
          <w:i w:val="0"/>
          <w:iCs w:val="0"/>
          <w:color w:val="auto"/>
          <w:sz w:val="21"/>
          <w:szCs w:val="15"/>
          <w:highlight w:val="none"/>
          <w:lang w:val="en-US" w:eastAsia="zh-CN"/>
        </w:rPr>
        <w:t>或需电梯开放相关接口</w:t>
      </w:r>
      <w:r>
        <w:rPr>
          <w:rFonts w:hint="eastAsia"/>
          <w:i w:val="0"/>
          <w:iCs w:val="0"/>
          <w:color w:val="auto"/>
          <w:sz w:val="21"/>
          <w:szCs w:val="15"/>
          <w:highlight w:val="none"/>
          <w:lang w:val="zh-CN" w:eastAsia="zh-CN"/>
        </w:rPr>
        <w:t>才能满足相关功能时，应自行列入报价清单，计入投标总价，若因投标人因漏报、误报所造成的工程量增加的费用由投标人自行承担。</w:t>
      </w:r>
    </w:p>
    <w:p w14:paraId="56D12CD8">
      <w:pPr>
        <w:pStyle w:val="6"/>
        <w:ind w:left="0"/>
        <w:rPr>
          <w:i w:val="0"/>
          <w:iCs w:val="0"/>
          <w:color w:val="auto"/>
          <w:sz w:val="21"/>
          <w:szCs w:val="21"/>
          <w:highlight w:val="none"/>
        </w:rPr>
      </w:pPr>
      <w:r>
        <w:rPr>
          <w:rFonts w:hint="eastAsia"/>
          <w:i w:val="0"/>
          <w:iCs w:val="0"/>
          <w:color w:val="auto"/>
          <w:sz w:val="21"/>
          <w:szCs w:val="21"/>
          <w:highlight w:val="none"/>
        </w:rPr>
        <w:t>趋势回溯</w:t>
      </w:r>
    </w:p>
    <w:p w14:paraId="4AC3550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w:t>
      </w:r>
      <w:r>
        <w:rPr>
          <w:rFonts w:hint="eastAsia"/>
          <w:i w:val="0"/>
          <w:iCs w:val="0"/>
          <w:color w:val="auto"/>
          <w:sz w:val="21"/>
          <w:szCs w:val="15"/>
          <w:highlight w:val="none"/>
          <w:lang w:val="en-US" w:eastAsia="zh-CN"/>
        </w:rPr>
        <w:t>应</w:t>
      </w:r>
      <w:r>
        <w:rPr>
          <w:rFonts w:hint="eastAsia"/>
          <w:i w:val="0"/>
          <w:iCs w:val="0"/>
          <w:color w:val="auto"/>
          <w:sz w:val="21"/>
          <w:szCs w:val="15"/>
          <w:highlight w:val="none"/>
          <w:lang w:val="zh-CN" w:eastAsia="zh-CN"/>
        </w:rPr>
        <w:t>保存自动扶梯全生命周期运行数据，并提供趋势回溯功能使得用户可以在参数上进行时间回溯，观测任意时间区间的不同的测点的横向对比图。</w:t>
      </w:r>
    </w:p>
    <w:p w14:paraId="5A03E6B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对于故障报警、预警类数据，系统应具备长期保留对应的数据片段的能力，为设备全生命周期管理提供数据支撑。</w:t>
      </w:r>
    </w:p>
    <w:p w14:paraId="56D12CD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系统应提供分开、合并两种展示效果，使不同趋势图可在统一界面或不同界面内进行展示,以便用户根据需求进行多维数据对比分析。</w:t>
      </w:r>
    </w:p>
    <w:p w14:paraId="188CD448">
      <w:pPr>
        <w:pStyle w:val="142"/>
        <w:ind w:firstLine="420"/>
        <w:rPr>
          <w:rFonts w:hint="default"/>
          <w:i w:val="0"/>
          <w:iCs w:val="0"/>
          <w:color w:val="auto"/>
          <w:sz w:val="21"/>
          <w:szCs w:val="15"/>
          <w:highlight w:val="none"/>
          <w:lang w:val="en-US" w:eastAsia="zh-CN"/>
        </w:rPr>
      </w:pPr>
      <w:r>
        <w:rPr>
          <w:rFonts w:hint="eastAsia"/>
          <w:i w:val="0"/>
          <w:iCs w:val="0"/>
          <w:color w:val="auto"/>
          <w:sz w:val="21"/>
          <w:szCs w:val="15"/>
          <w:highlight w:val="none"/>
          <w:lang w:val="en-US" w:eastAsia="zh-CN"/>
        </w:rPr>
        <w:t>系统应准确记录故障发生时间，并针对同一部件的故障发生频率进行统计，</w:t>
      </w:r>
      <w:r>
        <w:rPr>
          <w:rFonts w:hint="eastAsia"/>
          <w:i w:val="0"/>
          <w:iCs w:val="0"/>
          <w:color w:val="auto"/>
          <w:sz w:val="21"/>
          <w:szCs w:val="15"/>
          <w:highlight w:val="none"/>
          <w:lang w:val="zh-CN" w:eastAsia="zh-CN"/>
        </w:rPr>
        <w:t>以便用户根据</w:t>
      </w:r>
      <w:r>
        <w:rPr>
          <w:rFonts w:hint="eastAsia"/>
          <w:i w:val="0"/>
          <w:iCs w:val="0"/>
          <w:color w:val="auto"/>
          <w:sz w:val="21"/>
          <w:szCs w:val="15"/>
          <w:highlight w:val="none"/>
          <w:lang w:val="en-US" w:eastAsia="zh-CN"/>
        </w:rPr>
        <w:t>故障发生时间及频率进行维修策略调整</w:t>
      </w:r>
      <w:r>
        <w:rPr>
          <w:rFonts w:hint="eastAsia"/>
          <w:i w:val="0"/>
          <w:iCs w:val="0"/>
          <w:color w:val="auto"/>
          <w:sz w:val="21"/>
          <w:szCs w:val="15"/>
          <w:highlight w:val="none"/>
          <w:lang w:val="zh-CN" w:eastAsia="zh-CN"/>
        </w:rPr>
        <w:t>。</w:t>
      </w:r>
    </w:p>
    <w:p w14:paraId="56D12CDA">
      <w:pPr>
        <w:pStyle w:val="6"/>
        <w:ind w:left="0"/>
        <w:rPr>
          <w:i w:val="0"/>
          <w:iCs w:val="0"/>
          <w:color w:val="auto"/>
          <w:sz w:val="21"/>
          <w:szCs w:val="21"/>
          <w:highlight w:val="none"/>
        </w:rPr>
      </w:pPr>
      <w:r>
        <w:rPr>
          <w:rFonts w:hint="eastAsia"/>
          <w:i w:val="0"/>
          <w:iCs w:val="0"/>
          <w:color w:val="auto"/>
          <w:sz w:val="21"/>
          <w:szCs w:val="21"/>
          <w:highlight w:val="none"/>
        </w:rPr>
        <w:t>异常报警</w:t>
      </w:r>
    </w:p>
    <w:p w14:paraId="56D12CD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异常报警模块</w:t>
      </w:r>
      <w:r>
        <w:rPr>
          <w:rFonts w:hint="eastAsia"/>
          <w:i w:val="0"/>
          <w:iCs w:val="0"/>
          <w:color w:val="auto"/>
          <w:sz w:val="21"/>
          <w:szCs w:val="15"/>
          <w:highlight w:val="none"/>
          <w:lang w:val="zh-CN" w:eastAsia="zh-CN"/>
        </w:rPr>
        <w:t>对自动扶梯在不同环境、不同工况下的数值异常、波动异常、趋势异常及频谱异常输出相应预警，并根据不同异常，输出相关风险提示。该功能</w:t>
      </w:r>
      <w:r>
        <w:rPr>
          <w:rFonts w:hint="eastAsia"/>
          <w:i w:val="0"/>
          <w:iCs w:val="0"/>
          <w:color w:val="auto"/>
          <w:sz w:val="21"/>
          <w:szCs w:val="15"/>
          <w:highlight w:val="none"/>
          <w:lang w:val="en-US" w:eastAsia="zh-CN"/>
        </w:rPr>
        <w:t>应</w:t>
      </w:r>
      <w:r>
        <w:rPr>
          <w:rFonts w:hint="eastAsia"/>
          <w:i w:val="0"/>
          <w:iCs w:val="0"/>
          <w:color w:val="auto"/>
          <w:sz w:val="21"/>
          <w:szCs w:val="15"/>
          <w:highlight w:val="none"/>
          <w:lang w:val="zh-CN" w:eastAsia="zh-CN"/>
        </w:rPr>
        <w:t>及时甄别传感器故障，通讯故障及早期的设备性能退化，用户可根据预警结果进行预防性维护，从而降低事故率，提升可靠性。</w:t>
      </w:r>
    </w:p>
    <w:p w14:paraId="56D12CD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异常报警应对自动扶梯关键部件（包括电机、减速箱、驱动底座螺栓、扶手带等）进行振动、温度等异常检测与预警。主要包括：</w:t>
      </w:r>
    </w:p>
    <w:p w14:paraId="56D12CD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电机异常检测：通过测量振动传感器所受到的振动力来评估电机的振动状况，对振动数据进行处理和分析，如频谱分析、时域分析等，同时，对比标准值或历史数据，判断电机是否存在振动异常，如不平衡、轴承故障等，根据对这些数据的分析和判断，给出相应的维修计划和处理措施。</w:t>
      </w:r>
    </w:p>
    <w:p w14:paraId="56D12CD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减速箱异常检测：通过增加减速箱振动数据的采集，及时发现并处理减速箱中的故障或潜在问题，实时分析自动扶梯振动的发展趋势，及时发送预警信息，提示检修人员尽快处理问题。</w:t>
      </w:r>
    </w:p>
    <w:p w14:paraId="56D12CD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自动扶梯温度异常检测：通过实时监测扶手带温度的变化趋势进行异常变化预警，提示检修人员及时检修自动扶梯的扶手带工作情况。</w:t>
      </w:r>
    </w:p>
    <w:p w14:paraId="56D12CE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此外，该模块应提供变工况预警功能。根据自动扶梯不同负载情况，系统应支持自动学习不同的预警值，从而有效提高设备故障预警的准确性。</w:t>
      </w:r>
    </w:p>
    <w:p w14:paraId="56D12CE1">
      <w:pPr>
        <w:pStyle w:val="6"/>
        <w:ind w:left="0"/>
        <w:rPr>
          <w:i w:val="0"/>
          <w:iCs w:val="0"/>
          <w:color w:val="auto"/>
          <w:sz w:val="21"/>
          <w:szCs w:val="21"/>
          <w:highlight w:val="none"/>
        </w:rPr>
      </w:pPr>
      <w:r>
        <w:rPr>
          <w:rFonts w:hint="eastAsia"/>
          <w:i w:val="0"/>
          <w:iCs w:val="0"/>
          <w:color w:val="auto"/>
          <w:sz w:val="21"/>
          <w:szCs w:val="21"/>
          <w:highlight w:val="none"/>
        </w:rPr>
        <w:t>智能诊断</w:t>
      </w:r>
    </w:p>
    <w:p w14:paraId="56D12CE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智能诊断</w:t>
      </w:r>
      <w:r>
        <w:rPr>
          <w:rFonts w:hint="eastAsia"/>
          <w:i w:val="0"/>
          <w:iCs w:val="0"/>
          <w:color w:val="auto"/>
          <w:sz w:val="21"/>
          <w:szCs w:val="15"/>
          <w:highlight w:val="none"/>
          <w:lang w:val="zh-CN" w:eastAsia="zh-CN"/>
        </w:rPr>
        <w:t>模块通过分析自动扶梯各组件运行过程及启动过程中的振动数据，结合设备相关的设计参数和运行环境数据，建立故障特征库。利用机器学习技术提取故障特征，结合专家库内的故障数，快速判断故障发生的位置、原因、严重程度等关键诊断信息，并根据自定义的界面需求进行结果的呈现，辅助现场维护人员进行故障排查，从而提高维护活动的响应速度和诊断效率。用户可通过该模块对相关部件的健康程度和故障情况有清晰直观的认识和理解。功能包括健康总览、故障诊断、诊断报告等核心功能模块。</w:t>
      </w:r>
    </w:p>
    <w:p w14:paraId="56D12CE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该模块提供专业图谱分析和故障诊断分析工具，支持面向扶梯各部件常见故障的诊断，包括：轴承内外圈的损伤、转子不平衡/不对中、底座松动等故障的图谱展示。此外，支持一键查看相关故障的诊断结果与详情，便于指导用户分析决策。可覆盖的自动扶梯故障包括不限于如下表所示：</w:t>
      </w:r>
    </w:p>
    <w:p w14:paraId="56D12CE4">
      <w:pPr>
        <w:pStyle w:val="34"/>
        <w:kinsoku w:val="0"/>
        <w:overflowPunct w:val="0"/>
        <w:spacing w:line="360" w:lineRule="auto"/>
        <w:rPr>
          <w:rFonts w:hint="eastAsia" w:ascii="宋体" w:hAnsi="宋体" w:eastAsia="宋体" w:cs="仿宋"/>
          <w:i w:val="0"/>
          <w:iCs w:val="0"/>
          <w:color w:val="auto"/>
          <w:sz w:val="2"/>
          <w:szCs w:val="2"/>
          <w:highlight w:val="none"/>
        </w:rPr>
      </w:pPr>
    </w:p>
    <w:tbl>
      <w:tblPr>
        <w:tblStyle w:val="88"/>
        <w:tblW w:w="8421" w:type="dxa"/>
        <w:tblInd w:w="430" w:type="dxa"/>
        <w:tblLayout w:type="fixed"/>
        <w:tblCellMar>
          <w:top w:w="0" w:type="dxa"/>
          <w:left w:w="0" w:type="dxa"/>
          <w:bottom w:w="0" w:type="dxa"/>
          <w:right w:w="0" w:type="dxa"/>
        </w:tblCellMar>
      </w:tblPr>
      <w:tblGrid>
        <w:gridCol w:w="675"/>
        <w:gridCol w:w="1029"/>
        <w:gridCol w:w="1538"/>
        <w:gridCol w:w="5179"/>
      </w:tblGrid>
      <w:tr w14:paraId="56D12CE9">
        <w:tblPrEx>
          <w:tblCellMar>
            <w:top w:w="0" w:type="dxa"/>
            <w:left w:w="0" w:type="dxa"/>
            <w:bottom w:w="0" w:type="dxa"/>
            <w:right w:w="0" w:type="dxa"/>
          </w:tblCellMar>
        </w:tblPrEx>
        <w:trPr>
          <w:trHeight w:val="23" w:hRule="atLeast"/>
        </w:trPr>
        <w:tc>
          <w:tcPr>
            <w:tcW w:w="675" w:type="dxa"/>
            <w:tcBorders>
              <w:top w:val="single" w:color="000000" w:sz="4" w:space="0"/>
              <w:left w:val="single" w:color="000000" w:sz="4" w:space="0"/>
              <w:bottom w:val="single" w:color="000000" w:sz="4" w:space="0"/>
              <w:right w:val="single" w:color="000000" w:sz="4" w:space="0"/>
            </w:tcBorders>
            <w:vAlign w:val="center"/>
          </w:tcPr>
          <w:p w14:paraId="56D12CE5">
            <w:pPr>
              <w:pStyle w:val="143"/>
              <w:bidi w:val="0"/>
              <w:rPr>
                <w:rFonts w:hint="eastAsia"/>
                <w:i w:val="0"/>
                <w:iCs w:val="0"/>
                <w:color w:val="auto"/>
                <w:sz w:val="21"/>
                <w:szCs w:val="21"/>
                <w:highlight w:val="none"/>
              </w:rPr>
            </w:pPr>
            <w:r>
              <w:rPr>
                <w:rFonts w:hint="eastAsia"/>
                <w:i w:val="0"/>
                <w:iCs w:val="0"/>
                <w:color w:val="auto"/>
                <w:sz w:val="21"/>
                <w:szCs w:val="21"/>
                <w:highlight w:val="none"/>
              </w:rPr>
              <w:t>序号</w:t>
            </w:r>
          </w:p>
        </w:tc>
        <w:tc>
          <w:tcPr>
            <w:tcW w:w="1029" w:type="dxa"/>
            <w:tcBorders>
              <w:top w:val="single" w:color="000000" w:sz="4" w:space="0"/>
              <w:left w:val="nil"/>
              <w:bottom w:val="single" w:color="000000" w:sz="4" w:space="0"/>
              <w:right w:val="single" w:color="000000" w:sz="4" w:space="0"/>
            </w:tcBorders>
            <w:vAlign w:val="center"/>
          </w:tcPr>
          <w:p w14:paraId="56D12CE6">
            <w:pPr>
              <w:pStyle w:val="143"/>
              <w:bidi w:val="0"/>
              <w:rPr>
                <w:rFonts w:hint="eastAsia"/>
                <w:i w:val="0"/>
                <w:iCs w:val="0"/>
                <w:color w:val="auto"/>
                <w:sz w:val="21"/>
                <w:szCs w:val="21"/>
                <w:highlight w:val="none"/>
              </w:rPr>
            </w:pPr>
            <w:r>
              <w:rPr>
                <w:rFonts w:hint="eastAsia"/>
                <w:i w:val="0"/>
                <w:iCs w:val="0"/>
                <w:color w:val="auto"/>
                <w:sz w:val="21"/>
                <w:szCs w:val="21"/>
                <w:highlight w:val="none"/>
              </w:rPr>
              <w:t>设备</w:t>
            </w:r>
          </w:p>
        </w:tc>
        <w:tc>
          <w:tcPr>
            <w:tcW w:w="1538" w:type="dxa"/>
            <w:tcBorders>
              <w:top w:val="single" w:color="000000" w:sz="4" w:space="0"/>
              <w:left w:val="nil"/>
              <w:bottom w:val="single" w:color="000000" w:sz="4" w:space="0"/>
              <w:right w:val="single" w:color="000000" w:sz="4" w:space="0"/>
            </w:tcBorders>
            <w:vAlign w:val="center"/>
          </w:tcPr>
          <w:p w14:paraId="56D12CE7">
            <w:pPr>
              <w:pStyle w:val="143"/>
              <w:bidi w:val="0"/>
              <w:rPr>
                <w:rFonts w:hint="eastAsia"/>
                <w:i w:val="0"/>
                <w:iCs w:val="0"/>
                <w:color w:val="auto"/>
                <w:sz w:val="21"/>
                <w:szCs w:val="21"/>
                <w:highlight w:val="none"/>
              </w:rPr>
            </w:pPr>
            <w:r>
              <w:rPr>
                <w:rFonts w:hint="eastAsia"/>
                <w:i w:val="0"/>
                <w:iCs w:val="0"/>
                <w:color w:val="auto"/>
                <w:sz w:val="21"/>
                <w:szCs w:val="21"/>
                <w:highlight w:val="none"/>
              </w:rPr>
              <w:t>故障说明</w:t>
            </w:r>
          </w:p>
        </w:tc>
        <w:tc>
          <w:tcPr>
            <w:tcW w:w="5179" w:type="dxa"/>
            <w:tcBorders>
              <w:top w:val="single" w:color="000000" w:sz="4" w:space="0"/>
              <w:left w:val="nil"/>
              <w:bottom w:val="single" w:color="000000" w:sz="4" w:space="0"/>
              <w:right w:val="single" w:color="000000" w:sz="4" w:space="0"/>
            </w:tcBorders>
            <w:vAlign w:val="center"/>
          </w:tcPr>
          <w:p w14:paraId="56D12CE8">
            <w:pPr>
              <w:pStyle w:val="143"/>
              <w:bidi w:val="0"/>
              <w:rPr>
                <w:rFonts w:hint="eastAsia"/>
                <w:i w:val="0"/>
                <w:iCs w:val="0"/>
                <w:color w:val="auto"/>
                <w:sz w:val="21"/>
                <w:szCs w:val="21"/>
                <w:highlight w:val="none"/>
              </w:rPr>
            </w:pPr>
            <w:r>
              <w:rPr>
                <w:rFonts w:hint="eastAsia"/>
                <w:i w:val="0"/>
                <w:iCs w:val="0"/>
                <w:color w:val="auto"/>
                <w:sz w:val="21"/>
                <w:szCs w:val="21"/>
                <w:highlight w:val="none"/>
              </w:rPr>
              <w:t>具体描述</w:t>
            </w:r>
          </w:p>
        </w:tc>
      </w:tr>
      <w:tr w14:paraId="56D12CEE">
        <w:tblPrEx>
          <w:tblCellMar>
            <w:top w:w="0" w:type="dxa"/>
            <w:left w:w="0" w:type="dxa"/>
            <w:bottom w:w="0" w:type="dxa"/>
            <w:right w:w="0" w:type="dxa"/>
          </w:tblCellMar>
        </w:tblPrEx>
        <w:trPr>
          <w:trHeight w:val="23" w:hRule="atLeast"/>
        </w:trPr>
        <w:tc>
          <w:tcPr>
            <w:tcW w:w="675" w:type="dxa"/>
            <w:vMerge w:val="restart"/>
            <w:tcBorders>
              <w:top w:val="nil"/>
              <w:left w:val="single" w:color="000000" w:sz="4" w:space="0"/>
              <w:bottom w:val="single" w:color="000000" w:sz="4" w:space="0"/>
              <w:right w:val="single" w:color="000000" w:sz="4" w:space="0"/>
            </w:tcBorders>
            <w:vAlign w:val="center"/>
          </w:tcPr>
          <w:p w14:paraId="56D12CEA">
            <w:pPr>
              <w:pStyle w:val="143"/>
              <w:bidi w:val="0"/>
              <w:rPr>
                <w:rFonts w:hint="eastAsia"/>
                <w:i w:val="0"/>
                <w:iCs w:val="0"/>
                <w:color w:val="auto"/>
                <w:sz w:val="21"/>
                <w:szCs w:val="21"/>
                <w:highlight w:val="none"/>
              </w:rPr>
            </w:pPr>
            <w:r>
              <w:rPr>
                <w:rFonts w:hint="eastAsia"/>
                <w:i w:val="0"/>
                <w:iCs w:val="0"/>
                <w:color w:val="auto"/>
                <w:sz w:val="21"/>
                <w:szCs w:val="21"/>
                <w:highlight w:val="none"/>
              </w:rPr>
              <w:t>1</w:t>
            </w:r>
          </w:p>
        </w:tc>
        <w:tc>
          <w:tcPr>
            <w:tcW w:w="1029" w:type="dxa"/>
            <w:vMerge w:val="restart"/>
            <w:tcBorders>
              <w:top w:val="nil"/>
              <w:left w:val="nil"/>
              <w:bottom w:val="single" w:color="000000" w:sz="4" w:space="0"/>
              <w:right w:val="single" w:color="000000" w:sz="4" w:space="0"/>
            </w:tcBorders>
            <w:vAlign w:val="center"/>
          </w:tcPr>
          <w:p w14:paraId="56D12CEB">
            <w:pPr>
              <w:pStyle w:val="143"/>
              <w:bidi w:val="0"/>
              <w:rPr>
                <w:rFonts w:hint="eastAsia"/>
                <w:i w:val="0"/>
                <w:iCs w:val="0"/>
                <w:color w:val="auto"/>
                <w:sz w:val="21"/>
                <w:szCs w:val="21"/>
                <w:highlight w:val="none"/>
              </w:rPr>
            </w:pPr>
            <w:r>
              <w:rPr>
                <w:rFonts w:hint="eastAsia"/>
                <w:i w:val="0"/>
                <w:iCs w:val="0"/>
                <w:color w:val="auto"/>
                <w:sz w:val="21"/>
                <w:szCs w:val="21"/>
                <w:highlight w:val="none"/>
              </w:rPr>
              <w:t>驱动电机</w:t>
            </w:r>
          </w:p>
        </w:tc>
        <w:tc>
          <w:tcPr>
            <w:tcW w:w="1538" w:type="dxa"/>
            <w:tcBorders>
              <w:top w:val="single" w:color="000000" w:sz="4" w:space="0"/>
              <w:left w:val="nil"/>
              <w:bottom w:val="single" w:color="000000" w:sz="4" w:space="0"/>
              <w:right w:val="single" w:color="000000" w:sz="4" w:space="0"/>
            </w:tcBorders>
            <w:vAlign w:val="center"/>
          </w:tcPr>
          <w:p w14:paraId="56D12CEC">
            <w:pPr>
              <w:pStyle w:val="143"/>
              <w:bidi w:val="0"/>
              <w:rPr>
                <w:rFonts w:hint="eastAsia"/>
                <w:i w:val="0"/>
                <w:iCs w:val="0"/>
                <w:color w:val="auto"/>
                <w:sz w:val="21"/>
                <w:szCs w:val="21"/>
                <w:highlight w:val="none"/>
              </w:rPr>
            </w:pPr>
            <w:r>
              <w:rPr>
                <w:rFonts w:hint="eastAsia"/>
                <w:i w:val="0"/>
                <w:iCs w:val="0"/>
                <w:color w:val="auto"/>
                <w:sz w:val="21"/>
                <w:szCs w:val="21"/>
                <w:highlight w:val="none"/>
              </w:rPr>
              <w:t>轴承故障</w:t>
            </w:r>
          </w:p>
        </w:tc>
        <w:tc>
          <w:tcPr>
            <w:tcW w:w="5179" w:type="dxa"/>
            <w:tcBorders>
              <w:top w:val="single" w:color="000000" w:sz="4" w:space="0"/>
              <w:left w:val="nil"/>
              <w:bottom w:val="single" w:color="000000" w:sz="4" w:space="0"/>
              <w:right w:val="single" w:color="000000" w:sz="4" w:space="0"/>
            </w:tcBorders>
            <w:vAlign w:val="center"/>
          </w:tcPr>
          <w:p w14:paraId="56D12CED">
            <w:pPr>
              <w:pStyle w:val="143"/>
              <w:bidi w:val="0"/>
              <w:jc w:val="left"/>
              <w:rPr>
                <w:rFonts w:hint="eastAsia"/>
                <w:i w:val="0"/>
                <w:iCs w:val="0"/>
                <w:color w:val="auto"/>
                <w:sz w:val="21"/>
                <w:szCs w:val="21"/>
                <w:highlight w:val="none"/>
              </w:rPr>
            </w:pPr>
            <w:r>
              <w:rPr>
                <w:rFonts w:hint="eastAsia"/>
                <w:i w:val="0"/>
                <w:iCs w:val="0"/>
                <w:color w:val="auto"/>
                <w:sz w:val="21"/>
                <w:szCs w:val="21"/>
                <w:highlight w:val="none"/>
              </w:rPr>
              <w:t>包括内圈故障、外圈故障、滚动体故障、保持架故障。</w:t>
            </w:r>
          </w:p>
        </w:tc>
      </w:tr>
      <w:tr w14:paraId="56D12CF3">
        <w:tblPrEx>
          <w:tblCellMar>
            <w:top w:w="0" w:type="dxa"/>
            <w:left w:w="0" w:type="dxa"/>
            <w:bottom w:w="0" w:type="dxa"/>
            <w:right w:w="0" w:type="dxa"/>
          </w:tblCellMar>
        </w:tblPrEx>
        <w:trPr>
          <w:trHeight w:val="23" w:hRule="atLeast"/>
        </w:trPr>
        <w:tc>
          <w:tcPr>
            <w:tcW w:w="675" w:type="dxa"/>
            <w:vMerge w:val="continue"/>
            <w:tcBorders>
              <w:top w:val="nil"/>
              <w:left w:val="single" w:color="000000" w:sz="4" w:space="0"/>
              <w:bottom w:val="single" w:color="000000" w:sz="4" w:space="0"/>
              <w:right w:val="single" w:color="000000" w:sz="4" w:space="0"/>
            </w:tcBorders>
            <w:vAlign w:val="center"/>
          </w:tcPr>
          <w:p w14:paraId="56D12CEF">
            <w:pPr>
              <w:pStyle w:val="143"/>
              <w:bidi w:val="0"/>
              <w:rPr>
                <w:rFonts w:hint="eastAsia"/>
                <w:i w:val="0"/>
                <w:iCs w:val="0"/>
                <w:color w:val="auto"/>
                <w:sz w:val="21"/>
                <w:szCs w:val="21"/>
                <w:highlight w:val="none"/>
              </w:rPr>
            </w:pPr>
          </w:p>
        </w:tc>
        <w:tc>
          <w:tcPr>
            <w:tcW w:w="1029" w:type="dxa"/>
            <w:vMerge w:val="continue"/>
            <w:tcBorders>
              <w:top w:val="nil"/>
              <w:left w:val="nil"/>
              <w:bottom w:val="single" w:color="000000" w:sz="4" w:space="0"/>
              <w:right w:val="single" w:color="000000" w:sz="4" w:space="0"/>
            </w:tcBorders>
            <w:vAlign w:val="center"/>
          </w:tcPr>
          <w:p w14:paraId="56D12CF0">
            <w:pPr>
              <w:pStyle w:val="143"/>
              <w:bidi w:val="0"/>
              <w:rPr>
                <w:rFonts w:hint="eastAsia"/>
                <w:i w:val="0"/>
                <w:iCs w:val="0"/>
                <w:color w:val="auto"/>
                <w:sz w:val="21"/>
                <w:szCs w:val="21"/>
                <w:highlight w:val="none"/>
              </w:rPr>
            </w:pPr>
          </w:p>
        </w:tc>
        <w:tc>
          <w:tcPr>
            <w:tcW w:w="1538" w:type="dxa"/>
            <w:tcBorders>
              <w:top w:val="single" w:color="000000" w:sz="4" w:space="0"/>
              <w:left w:val="nil"/>
              <w:bottom w:val="single" w:color="000000" w:sz="4" w:space="0"/>
              <w:right w:val="single" w:color="000000" w:sz="4" w:space="0"/>
            </w:tcBorders>
            <w:vAlign w:val="center"/>
          </w:tcPr>
          <w:p w14:paraId="56D12CF1">
            <w:pPr>
              <w:pStyle w:val="143"/>
              <w:bidi w:val="0"/>
              <w:rPr>
                <w:rFonts w:hint="eastAsia"/>
                <w:i w:val="0"/>
                <w:iCs w:val="0"/>
                <w:color w:val="auto"/>
                <w:sz w:val="21"/>
                <w:szCs w:val="21"/>
                <w:highlight w:val="none"/>
              </w:rPr>
            </w:pPr>
            <w:r>
              <w:rPr>
                <w:rFonts w:hint="eastAsia"/>
                <w:i w:val="0"/>
                <w:iCs w:val="0"/>
                <w:color w:val="auto"/>
                <w:sz w:val="21"/>
                <w:szCs w:val="21"/>
                <w:highlight w:val="none"/>
              </w:rPr>
              <w:t>转子故障</w:t>
            </w:r>
          </w:p>
        </w:tc>
        <w:tc>
          <w:tcPr>
            <w:tcW w:w="5179" w:type="dxa"/>
            <w:tcBorders>
              <w:top w:val="single" w:color="000000" w:sz="4" w:space="0"/>
              <w:left w:val="nil"/>
              <w:bottom w:val="single" w:color="000000" w:sz="4" w:space="0"/>
              <w:right w:val="single" w:color="000000" w:sz="4" w:space="0"/>
            </w:tcBorders>
            <w:vAlign w:val="center"/>
          </w:tcPr>
          <w:p w14:paraId="56D12CF2">
            <w:pPr>
              <w:pStyle w:val="143"/>
              <w:bidi w:val="0"/>
              <w:jc w:val="left"/>
              <w:rPr>
                <w:rFonts w:hint="eastAsia"/>
                <w:i w:val="0"/>
                <w:iCs w:val="0"/>
                <w:color w:val="auto"/>
                <w:sz w:val="21"/>
                <w:szCs w:val="21"/>
                <w:highlight w:val="none"/>
              </w:rPr>
            </w:pPr>
            <w:r>
              <w:rPr>
                <w:rFonts w:hint="eastAsia"/>
                <w:i w:val="0"/>
                <w:iCs w:val="0"/>
                <w:color w:val="auto"/>
                <w:sz w:val="21"/>
                <w:szCs w:val="21"/>
                <w:highlight w:val="none"/>
              </w:rPr>
              <w:t>包括转子松动、转子偏心、转子条裂痕、气息不均等故障。</w:t>
            </w:r>
          </w:p>
        </w:tc>
      </w:tr>
      <w:tr w14:paraId="56D12CF8">
        <w:tblPrEx>
          <w:tblCellMar>
            <w:top w:w="0" w:type="dxa"/>
            <w:left w:w="0" w:type="dxa"/>
            <w:bottom w:w="0" w:type="dxa"/>
            <w:right w:w="0" w:type="dxa"/>
          </w:tblCellMar>
        </w:tblPrEx>
        <w:trPr>
          <w:trHeight w:val="23" w:hRule="atLeast"/>
        </w:trPr>
        <w:tc>
          <w:tcPr>
            <w:tcW w:w="675" w:type="dxa"/>
            <w:vMerge w:val="continue"/>
            <w:tcBorders>
              <w:top w:val="nil"/>
              <w:left w:val="single" w:color="000000" w:sz="4" w:space="0"/>
              <w:bottom w:val="single" w:color="000000" w:sz="4" w:space="0"/>
              <w:right w:val="single" w:color="000000" w:sz="4" w:space="0"/>
            </w:tcBorders>
            <w:vAlign w:val="center"/>
          </w:tcPr>
          <w:p w14:paraId="56D12CF4">
            <w:pPr>
              <w:pStyle w:val="143"/>
              <w:bidi w:val="0"/>
              <w:rPr>
                <w:rFonts w:hint="eastAsia"/>
                <w:i w:val="0"/>
                <w:iCs w:val="0"/>
                <w:color w:val="auto"/>
                <w:sz w:val="21"/>
                <w:szCs w:val="21"/>
                <w:highlight w:val="none"/>
              </w:rPr>
            </w:pPr>
          </w:p>
        </w:tc>
        <w:tc>
          <w:tcPr>
            <w:tcW w:w="1029" w:type="dxa"/>
            <w:vMerge w:val="continue"/>
            <w:tcBorders>
              <w:top w:val="nil"/>
              <w:left w:val="nil"/>
              <w:bottom w:val="single" w:color="000000" w:sz="4" w:space="0"/>
              <w:right w:val="single" w:color="000000" w:sz="4" w:space="0"/>
            </w:tcBorders>
            <w:vAlign w:val="center"/>
          </w:tcPr>
          <w:p w14:paraId="56D12CF5">
            <w:pPr>
              <w:pStyle w:val="143"/>
              <w:bidi w:val="0"/>
              <w:rPr>
                <w:rFonts w:hint="eastAsia"/>
                <w:i w:val="0"/>
                <w:iCs w:val="0"/>
                <w:color w:val="auto"/>
                <w:sz w:val="21"/>
                <w:szCs w:val="21"/>
                <w:highlight w:val="none"/>
              </w:rPr>
            </w:pPr>
          </w:p>
        </w:tc>
        <w:tc>
          <w:tcPr>
            <w:tcW w:w="1538" w:type="dxa"/>
            <w:tcBorders>
              <w:top w:val="single" w:color="000000" w:sz="4" w:space="0"/>
              <w:left w:val="nil"/>
              <w:bottom w:val="single" w:color="000000" w:sz="4" w:space="0"/>
              <w:right w:val="single" w:color="000000" w:sz="4" w:space="0"/>
            </w:tcBorders>
            <w:vAlign w:val="center"/>
          </w:tcPr>
          <w:p w14:paraId="56D12CF6">
            <w:pPr>
              <w:pStyle w:val="143"/>
              <w:bidi w:val="0"/>
              <w:rPr>
                <w:rFonts w:hint="eastAsia"/>
                <w:i w:val="0"/>
                <w:iCs w:val="0"/>
                <w:color w:val="auto"/>
                <w:sz w:val="21"/>
                <w:szCs w:val="21"/>
                <w:highlight w:val="none"/>
              </w:rPr>
            </w:pPr>
            <w:r>
              <w:rPr>
                <w:rFonts w:hint="eastAsia"/>
                <w:i w:val="0"/>
                <w:iCs w:val="0"/>
                <w:color w:val="auto"/>
                <w:sz w:val="21"/>
                <w:szCs w:val="21"/>
                <w:highlight w:val="none"/>
              </w:rPr>
              <w:t>定子故障</w:t>
            </w:r>
          </w:p>
        </w:tc>
        <w:tc>
          <w:tcPr>
            <w:tcW w:w="5179" w:type="dxa"/>
            <w:tcBorders>
              <w:top w:val="single" w:color="000000" w:sz="4" w:space="0"/>
              <w:left w:val="nil"/>
              <w:bottom w:val="single" w:color="000000" w:sz="4" w:space="0"/>
              <w:right w:val="single" w:color="000000" w:sz="4" w:space="0"/>
            </w:tcBorders>
            <w:vAlign w:val="center"/>
          </w:tcPr>
          <w:p w14:paraId="56D12CF7">
            <w:pPr>
              <w:pStyle w:val="143"/>
              <w:bidi w:val="0"/>
              <w:jc w:val="left"/>
              <w:rPr>
                <w:rFonts w:hint="eastAsia"/>
                <w:i w:val="0"/>
                <w:iCs w:val="0"/>
                <w:color w:val="auto"/>
                <w:sz w:val="21"/>
                <w:szCs w:val="21"/>
                <w:highlight w:val="none"/>
              </w:rPr>
            </w:pPr>
            <w:r>
              <w:rPr>
                <w:rFonts w:hint="eastAsia"/>
                <w:i w:val="0"/>
                <w:iCs w:val="0"/>
                <w:color w:val="auto"/>
                <w:sz w:val="21"/>
                <w:szCs w:val="21"/>
                <w:highlight w:val="none"/>
              </w:rPr>
              <w:t>检测电机定子偏心、定子松动等故障。</w:t>
            </w:r>
          </w:p>
        </w:tc>
      </w:tr>
      <w:tr w14:paraId="56D12CFD">
        <w:tblPrEx>
          <w:tblCellMar>
            <w:top w:w="0" w:type="dxa"/>
            <w:left w:w="0" w:type="dxa"/>
            <w:bottom w:w="0" w:type="dxa"/>
            <w:right w:w="0" w:type="dxa"/>
          </w:tblCellMar>
        </w:tblPrEx>
        <w:trPr>
          <w:trHeight w:val="23" w:hRule="atLeast"/>
        </w:trPr>
        <w:tc>
          <w:tcPr>
            <w:tcW w:w="675" w:type="dxa"/>
            <w:vMerge w:val="continue"/>
            <w:tcBorders>
              <w:top w:val="nil"/>
              <w:left w:val="single" w:color="000000" w:sz="4" w:space="0"/>
              <w:bottom w:val="single" w:color="000000" w:sz="4" w:space="0"/>
              <w:right w:val="single" w:color="000000" w:sz="4" w:space="0"/>
            </w:tcBorders>
            <w:vAlign w:val="center"/>
          </w:tcPr>
          <w:p w14:paraId="56D12CF9">
            <w:pPr>
              <w:pStyle w:val="143"/>
              <w:bidi w:val="0"/>
              <w:rPr>
                <w:rFonts w:hint="eastAsia"/>
                <w:i w:val="0"/>
                <w:iCs w:val="0"/>
                <w:color w:val="auto"/>
                <w:sz w:val="21"/>
                <w:szCs w:val="21"/>
                <w:highlight w:val="none"/>
              </w:rPr>
            </w:pPr>
          </w:p>
        </w:tc>
        <w:tc>
          <w:tcPr>
            <w:tcW w:w="1029" w:type="dxa"/>
            <w:vMerge w:val="continue"/>
            <w:tcBorders>
              <w:top w:val="nil"/>
              <w:left w:val="nil"/>
              <w:bottom w:val="single" w:color="000000" w:sz="4" w:space="0"/>
              <w:right w:val="single" w:color="000000" w:sz="4" w:space="0"/>
            </w:tcBorders>
            <w:vAlign w:val="center"/>
          </w:tcPr>
          <w:p w14:paraId="56D12CFA">
            <w:pPr>
              <w:pStyle w:val="143"/>
              <w:bidi w:val="0"/>
              <w:rPr>
                <w:rFonts w:hint="eastAsia"/>
                <w:i w:val="0"/>
                <w:iCs w:val="0"/>
                <w:color w:val="auto"/>
                <w:sz w:val="21"/>
                <w:szCs w:val="21"/>
                <w:highlight w:val="none"/>
              </w:rPr>
            </w:pPr>
          </w:p>
        </w:tc>
        <w:tc>
          <w:tcPr>
            <w:tcW w:w="1538" w:type="dxa"/>
            <w:tcBorders>
              <w:top w:val="single" w:color="000000" w:sz="4" w:space="0"/>
              <w:left w:val="nil"/>
              <w:bottom w:val="single" w:color="000000" w:sz="4" w:space="0"/>
              <w:right w:val="single" w:color="000000" w:sz="4" w:space="0"/>
            </w:tcBorders>
            <w:vAlign w:val="center"/>
          </w:tcPr>
          <w:p w14:paraId="56D12CFB">
            <w:pPr>
              <w:pStyle w:val="143"/>
              <w:bidi w:val="0"/>
              <w:rPr>
                <w:rFonts w:hint="eastAsia"/>
                <w:i w:val="0"/>
                <w:iCs w:val="0"/>
                <w:color w:val="auto"/>
                <w:sz w:val="21"/>
                <w:szCs w:val="21"/>
                <w:highlight w:val="none"/>
              </w:rPr>
            </w:pPr>
            <w:r>
              <w:rPr>
                <w:rFonts w:hint="eastAsia"/>
                <w:i w:val="0"/>
                <w:iCs w:val="0"/>
                <w:color w:val="auto"/>
                <w:sz w:val="21"/>
                <w:szCs w:val="21"/>
                <w:highlight w:val="none"/>
              </w:rPr>
              <w:t>制动系统故障</w:t>
            </w:r>
          </w:p>
        </w:tc>
        <w:tc>
          <w:tcPr>
            <w:tcW w:w="5179" w:type="dxa"/>
            <w:tcBorders>
              <w:top w:val="single" w:color="000000" w:sz="4" w:space="0"/>
              <w:left w:val="nil"/>
              <w:bottom w:val="single" w:color="000000" w:sz="4" w:space="0"/>
              <w:right w:val="single" w:color="000000" w:sz="4" w:space="0"/>
            </w:tcBorders>
            <w:vAlign w:val="center"/>
          </w:tcPr>
          <w:p w14:paraId="56D12CFC">
            <w:pPr>
              <w:pStyle w:val="143"/>
              <w:bidi w:val="0"/>
              <w:jc w:val="left"/>
              <w:rPr>
                <w:rFonts w:hint="eastAsia"/>
                <w:i w:val="0"/>
                <w:iCs w:val="0"/>
                <w:color w:val="auto"/>
                <w:sz w:val="21"/>
                <w:szCs w:val="21"/>
                <w:highlight w:val="none"/>
              </w:rPr>
            </w:pPr>
            <w:r>
              <w:rPr>
                <w:rFonts w:hint="eastAsia"/>
                <w:i w:val="0"/>
                <w:iCs w:val="0"/>
                <w:color w:val="auto"/>
                <w:sz w:val="21"/>
                <w:szCs w:val="21"/>
                <w:highlight w:val="none"/>
              </w:rPr>
              <w:t>启动后制动系统未释放</w:t>
            </w:r>
          </w:p>
        </w:tc>
      </w:tr>
      <w:tr w14:paraId="56D12D02">
        <w:tblPrEx>
          <w:tblCellMar>
            <w:top w:w="0" w:type="dxa"/>
            <w:left w:w="0" w:type="dxa"/>
            <w:bottom w:w="0" w:type="dxa"/>
            <w:right w:w="0" w:type="dxa"/>
          </w:tblCellMar>
        </w:tblPrEx>
        <w:trPr>
          <w:trHeight w:val="23" w:hRule="atLeast"/>
        </w:trPr>
        <w:tc>
          <w:tcPr>
            <w:tcW w:w="675" w:type="dxa"/>
            <w:vMerge w:val="restart"/>
            <w:tcBorders>
              <w:top w:val="nil"/>
              <w:left w:val="single" w:color="000000" w:sz="4" w:space="0"/>
              <w:bottom w:val="single" w:color="000000" w:sz="4" w:space="0"/>
              <w:right w:val="single" w:color="000000" w:sz="4" w:space="0"/>
            </w:tcBorders>
            <w:vAlign w:val="center"/>
          </w:tcPr>
          <w:p w14:paraId="56D12CFE">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1029" w:type="dxa"/>
            <w:vMerge w:val="restart"/>
            <w:tcBorders>
              <w:top w:val="nil"/>
              <w:left w:val="nil"/>
              <w:bottom w:val="single" w:color="000000" w:sz="4" w:space="0"/>
              <w:right w:val="single" w:color="000000" w:sz="4" w:space="0"/>
            </w:tcBorders>
            <w:vAlign w:val="center"/>
          </w:tcPr>
          <w:p w14:paraId="56D12CFF">
            <w:pPr>
              <w:pStyle w:val="143"/>
              <w:bidi w:val="0"/>
              <w:rPr>
                <w:rFonts w:hint="eastAsia"/>
                <w:i w:val="0"/>
                <w:iCs w:val="0"/>
                <w:color w:val="auto"/>
                <w:sz w:val="21"/>
                <w:szCs w:val="21"/>
                <w:highlight w:val="none"/>
              </w:rPr>
            </w:pPr>
            <w:r>
              <w:rPr>
                <w:rFonts w:hint="eastAsia"/>
                <w:i w:val="0"/>
                <w:iCs w:val="0"/>
                <w:color w:val="auto"/>
                <w:sz w:val="21"/>
                <w:szCs w:val="21"/>
                <w:highlight w:val="none"/>
              </w:rPr>
              <w:t>减速箱</w:t>
            </w:r>
          </w:p>
        </w:tc>
        <w:tc>
          <w:tcPr>
            <w:tcW w:w="1538" w:type="dxa"/>
            <w:tcBorders>
              <w:top w:val="single" w:color="000000" w:sz="4" w:space="0"/>
              <w:left w:val="nil"/>
              <w:bottom w:val="single" w:color="000000" w:sz="4" w:space="0"/>
              <w:right w:val="single" w:color="000000" w:sz="4" w:space="0"/>
            </w:tcBorders>
            <w:vAlign w:val="center"/>
          </w:tcPr>
          <w:p w14:paraId="56D12D00">
            <w:pPr>
              <w:pStyle w:val="143"/>
              <w:bidi w:val="0"/>
              <w:rPr>
                <w:rFonts w:hint="eastAsia"/>
                <w:i w:val="0"/>
                <w:iCs w:val="0"/>
                <w:color w:val="auto"/>
                <w:sz w:val="21"/>
                <w:szCs w:val="21"/>
                <w:highlight w:val="none"/>
              </w:rPr>
            </w:pPr>
            <w:r>
              <w:rPr>
                <w:rFonts w:hint="eastAsia"/>
                <w:i w:val="0"/>
                <w:iCs w:val="0"/>
                <w:color w:val="auto"/>
                <w:sz w:val="21"/>
                <w:szCs w:val="21"/>
                <w:highlight w:val="none"/>
              </w:rPr>
              <w:t>齿轮故障</w:t>
            </w:r>
          </w:p>
        </w:tc>
        <w:tc>
          <w:tcPr>
            <w:tcW w:w="5179" w:type="dxa"/>
            <w:tcBorders>
              <w:top w:val="single" w:color="000000" w:sz="4" w:space="0"/>
              <w:left w:val="nil"/>
              <w:bottom w:val="single" w:color="000000" w:sz="4" w:space="0"/>
              <w:right w:val="single" w:color="000000" w:sz="4" w:space="0"/>
            </w:tcBorders>
            <w:vAlign w:val="center"/>
          </w:tcPr>
          <w:p w14:paraId="56D12D01">
            <w:pPr>
              <w:pStyle w:val="143"/>
              <w:bidi w:val="0"/>
              <w:jc w:val="left"/>
              <w:rPr>
                <w:rFonts w:hint="eastAsia"/>
                <w:i w:val="0"/>
                <w:iCs w:val="0"/>
                <w:color w:val="auto"/>
                <w:sz w:val="21"/>
                <w:szCs w:val="21"/>
                <w:highlight w:val="none"/>
              </w:rPr>
            </w:pPr>
            <w:r>
              <w:rPr>
                <w:rFonts w:hint="eastAsia"/>
                <w:i w:val="0"/>
                <w:iCs w:val="0"/>
                <w:color w:val="auto"/>
                <w:sz w:val="21"/>
                <w:szCs w:val="21"/>
                <w:highlight w:val="none"/>
              </w:rPr>
              <w:t>检测减速机内的齿轮故障，包括齿轮偏心、缺齿、断齿等故障。</w:t>
            </w:r>
          </w:p>
        </w:tc>
      </w:tr>
      <w:tr w14:paraId="56D12D07">
        <w:tblPrEx>
          <w:tblCellMar>
            <w:top w:w="0" w:type="dxa"/>
            <w:left w:w="0" w:type="dxa"/>
            <w:bottom w:w="0" w:type="dxa"/>
            <w:right w:w="0" w:type="dxa"/>
          </w:tblCellMar>
        </w:tblPrEx>
        <w:trPr>
          <w:trHeight w:val="23" w:hRule="atLeast"/>
        </w:trPr>
        <w:tc>
          <w:tcPr>
            <w:tcW w:w="675" w:type="dxa"/>
            <w:vMerge w:val="continue"/>
            <w:tcBorders>
              <w:top w:val="nil"/>
              <w:left w:val="single" w:color="000000" w:sz="4" w:space="0"/>
              <w:bottom w:val="single" w:color="000000" w:sz="4" w:space="0"/>
              <w:right w:val="single" w:color="000000" w:sz="4" w:space="0"/>
            </w:tcBorders>
            <w:vAlign w:val="center"/>
          </w:tcPr>
          <w:p w14:paraId="56D12D03">
            <w:pPr>
              <w:pStyle w:val="143"/>
              <w:bidi w:val="0"/>
              <w:rPr>
                <w:rFonts w:hint="eastAsia"/>
                <w:i w:val="0"/>
                <w:iCs w:val="0"/>
                <w:color w:val="auto"/>
                <w:sz w:val="21"/>
                <w:szCs w:val="21"/>
                <w:highlight w:val="none"/>
              </w:rPr>
            </w:pPr>
          </w:p>
        </w:tc>
        <w:tc>
          <w:tcPr>
            <w:tcW w:w="1029" w:type="dxa"/>
            <w:vMerge w:val="continue"/>
            <w:tcBorders>
              <w:top w:val="nil"/>
              <w:left w:val="nil"/>
              <w:bottom w:val="single" w:color="000000" w:sz="4" w:space="0"/>
              <w:right w:val="single" w:color="000000" w:sz="4" w:space="0"/>
            </w:tcBorders>
            <w:vAlign w:val="center"/>
          </w:tcPr>
          <w:p w14:paraId="56D12D04">
            <w:pPr>
              <w:pStyle w:val="143"/>
              <w:bidi w:val="0"/>
              <w:rPr>
                <w:rFonts w:hint="eastAsia"/>
                <w:i w:val="0"/>
                <w:iCs w:val="0"/>
                <w:color w:val="auto"/>
                <w:sz w:val="21"/>
                <w:szCs w:val="21"/>
                <w:highlight w:val="none"/>
              </w:rPr>
            </w:pPr>
          </w:p>
        </w:tc>
        <w:tc>
          <w:tcPr>
            <w:tcW w:w="1538" w:type="dxa"/>
            <w:tcBorders>
              <w:top w:val="single" w:color="000000" w:sz="4" w:space="0"/>
              <w:left w:val="nil"/>
              <w:bottom w:val="single" w:color="000000" w:sz="4" w:space="0"/>
              <w:right w:val="single" w:color="000000" w:sz="4" w:space="0"/>
            </w:tcBorders>
            <w:vAlign w:val="center"/>
          </w:tcPr>
          <w:p w14:paraId="56D12D05">
            <w:pPr>
              <w:pStyle w:val="143"/>
              <w:bidi w:val="0"/>
              <w:rPr>
                <w:rFonts w:hint="eastAsia"/>
                <w:i w:val="0"/>
                <w:iCs w:val="0"/>
                <w:color w:val="auto"/>
                <w:sz w:val="21"/>
                <w:szCs w:val="21"/>
                <w:highlight w:val="none"/>
              </w:rPr>
            </w:pPr>
            <w:r>
              <w:rPr>
                <w:rFonts w:hint="eastAsia"/>
                <w:i w:val="0"/>
                <w:iCs w:val="0"/>
                <w:color w:val="auto"/>
                <w:sz w:val="21"/>
                <w:szCs w:val="21"/>
                <w:highlight w:val="none"/>
              </w:rPr>
              <w:t>底座松动</w:t>
            </w:r>
          </w:p>
        </w:tc>
        <w:tc>
          <w:tcPr>
            <w:tcW w:w="5179" w:type="dxa"/>
            <w:tcBorders>
              <w:top w:val="single" w:color="000000" w:sz="4" w:space="0"/>
              <w:left w:val="nil"/>
              <w:bottom w:val="single" w:color="000000" w:sz="4" w:space="0"/>
              <w:right w:val="single" w:color="000000" w:sz="4" w:space="0"/>
            </w:tcBorders>
            <w:vAlign w:val="center"/>
          </w:tcPr>
          <w:p w14:paraId="56D12D06">
            <w:pPr>
              <w:pStyle w:val="143"/>
              <w:bidi w:val="0"/>
              <w:jc w:val="left"/>
              <w:rPr>
                <w:rFonts w:hint="eastAsia"/>
                <w:i w:val="0"/>
                <w:iCs w:val="0"/>
                <w:color w:val="auto"/>
                <w:sz w:val="21"/>
                <w:szCs w:val="21"/>
                <w:highlight w:val="none"/>
              </w:rPr>
            </w:pPr>
            <w:r>
              <w:rPr>
                <w:rFonts w:hint="eastAsia"/>
                <w:i w:val="0"/>
                <w:iCs w:val="0"/>
                <w:color w:val="auto"/>
                <w:sz w:val="21"/>
                <w:szCs w:val="21"/>
                <w:highlight w:val="none"/>
              </w:rPr>
              <w:t>检测减速机底脚螺栓松动。</w:t>
            </w:r>
          </w:p>
        </w:tc>
      </w:tr>
      <w:tr w14:paraId="56D12D0C">
        <w:tblPrEx>
          <w:tblCellMar>
            <w:top w:w="0" w:type="dxa"/>
            <w:left w:w="0" w:type="dxa"/>
            <w:bottom w:w="0" w:type="dxa"/>
            <w:right w:w="0" w:type="dxa"/>
          </w:tblCellMar>
        </w:tblPrEx>
        <w:trPr>
          <w:trHeight w:val="23" w:hRule="atLeast"/>
        </w:trPr>
        <w:tc>
          <w:tcPr>
            <w:tcW w:w="675" w:type="dxa"/>
            <w:tcBorders>
              <w:top w:val="single" w:color="000000" w:sz="4" w:space="0"/>
              <w:left w:val="single" w:color="000000" w:sz="4" w:space="0"/>
              <w:bottom w:val="single" w:color="000000" w:sz="4" w:space="0"/>
              <w:right w:val="single" w:color="000000" w:sz="4" w:space="0"/>
            </w:tcBorders>
            <w:vAlign w:val="center"/>
          </w:tcPr>
          <w:p w14:paraId="56D12D08">
            <w:pPr>
              <w:pStyle w:val="143"/>
              <w:bidi w:val="0"/>
              <w:rPr>
                <w:rFonts w:hint="eastAsia"/>
                <w:i w:val="0"/>
                <w:iCs w:val="0"/>
                <w:color w:val="auto"/>
                <w:sz w:val="21"/>
                <w:szCs w:val="21"/>
                <w:highlight w:val="none"/>
              </w:rPr>
            </w:pPr>
            <w:r>
              <w:rPr>
                <w:rFonts w:hint="eastAsia"/>
                <w:i w:val="0"/>
                <w:iCs w:val="0"/>
                <w:color w:val="auto"/>
                <w:sz w:val="21"/>
                <w:szCs w:val="21"/>
                <w:highlight w:val="none"/>
              </w:rPr>
              <w:t>3</w:t>
            </w:r>
          </w:p>
        </w:tc>
        <w:tc>
          <w:tcPr>
            <w:tcW w:w="1029" w:type="dxa"/>
            <w:tcBorders>
              <w:top w:val="single" w:color="000000" w:sz="4" w:space="0"/>
              <w:left w:val="nil"/>
              <w:bottom w:val="single" w:color="000000" w:sz="4" w:space="0"/>
              <w:right w:val="single" w:color="000000" w:sz="4" w:space="0"/>
            </w:tcBorders>
            <w:vAlign w:val="center"/>
          </w:tcPr>
          <w:p w14:paraId="56D12D09">
            <w:pPr>
              <w:pStyle w:val="143"/>
              <w:bidi w:val="0"/>
              <w:rPr>
                <w:rFonts w:hint="eastAsia"/>
                <w:i w:val="0"/>
                <w:iCs w:val="0"/>
                <w:color w:val="auto"/>
                <w:sz w:val="21"/>
                <w:szCs w:val="21"/>
                <w:highlight w:val="none"/>
              </w:rPr>
            </w:pPr>
            <w:r>
              <w:rPr>
                <w:rFonts w:hint="eastAsia"/>
                <w:i w:val="0"/>
                <w:iCs w:val="0"/>
                <w:color w:val="auto"/>
                <w:sz w:val="21"/>
                <w:szCs w:val="21"/>
                <w:highlight w:val="none"/>
              </w:rPr>
              <w:t>扶手带</w:t>
            </w:r>
          </w:p>
        </w:tc>
        <w:tc>
          <w:tcPr>
            <w:tcW w:w="1538" w:type="dxa"/>
            <w:tcBorders>
              <w:top w:val="single" w:color="000000" w:sz="4" w:space="0"/>
              <w:left w:val="nil"/>
              <w:bottom w:val="single" w:color="000000" w:sz="4" w:space="0"/>
              <w:right w:val="single" w:color="000000" w:sz="4" w:space="0"/>
            </w:tcBorders>
            <w:vAlign w:val="center"/>
          </w:tcPr>
          <w:p w14:paraId="56D12D0A">
            <w:pPr>
              <w:pStyle w:val="143"/>
              <w:bidi w:val="0"/>
              <w:rPr>
                <w:rFonts w:hint="eastAsia"/>
                <w:i w:val="0"/>
                <w:iCs w:val="0"/>
                <w:color w:val="auto"/>
                <w:sz w:val="21"/>
                <w:szCs w:val="21"/>
                <w:highlight w:val="none"/>
              </w:rPr>
            </w:pPr>
            <w:r>
              <w:rPr>
                <w:rFonts w:hint="eastAsia"/>
                <w:i w:val="0"/>
                <w:iCs w:val="0"/>
                <w:color w:val="auto"/>
                <w:sz w:val="21"/>
                <w:szCs w:val="21"/>
                <w:highlight w:val="none"/>
              </w:rPr>
              <w:t>设备故障</w:t>
            </w:r>
          </w:p>
        </w:tc>
        <w:tc>
          <w:tcPr>
            <w:tcW w:w="5179" w:type="dxa"/>
            <w:tcBorders>
              <w:top w:val="single" w:color="000000" w:sz="4" w:space="0"/>
              <w:left w:val="nil"/>
              <w:bottom w:val="single" w:color="000000" w:sz="4" w:space="0"/>
              <w:right w:val="single" w:color="000000" w:sz="4" w:space="0"/>
            </w:tcBorders>
            <w:vAlign w:val="center"/>
          </w:tcPr>
          <w:p w14:paraId="56D12D0B">
            <w:pPr>
              <w:pStyle w:val="143"/>
              <w:bidi w:val="0"/>
              <w:jc w:val="left"/>
              <w:rPr>
                <w:rFonts w:hint="eastAsia"/>
                <w:i w:val="0"/>
                <w:iCs w:val="0"/>
                <w:color w:val="auto"/>
                <w:sz w:val="21"/>
                <w:szCs w:val="21"/>
                <w:highlight w:val="none"/>
              </w:rPr>
            </w:pPr>
            <w:r>
              <w:rPr>
                <w:rFonts w:hint="eastAsia"/>
                <w:i w:val="0"/>
                <w:iCs w:val="0"/>
                <w:color w:val="auto"/>
                <w:sz w:val="21"/>
                <w:szCs w:val="21"/>
                <w:highlight w:val="none"/>
              </w:rPr>
              <w:t>检测扶手带温度异常,扶手带断裂，扶手带速度偏移</w:t>
            </w:r>
          </w:p>
        </w:tc>
      </w:tr>
    </w:tbl>
    <w:p w14:paraId="56D12D0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自上表可见，自动扶梯智能运维可覆盖自动扶梯核心部件主要故障类型，且由于振动分析与机器学习技术加持，可实现多种故障的早期预警,与现有自动扶梯监测系统在设备故障后报警的功能具有明显不同。早期预警可明显改善扶梯设备“带伤”运行而可能导致的乘客安全隐患与严重故障导致的设备损坏等问题。</w:t>
      </w:r>
    </w:p>
    <w:p w14:paraId="56D12D0E">
      <w:pPr>
        <w:pStyle w:val="6"/>
        <w:ind w:left="0"/>
        <w:rPr>
          <w:i w:val="0"/>
          <w:iCs w:val="0"/>
          <w:color w:val="auto"/>
          <w:sz w:val="21"/>
          <w:szCs w:val="21"/>
          <w:highlight w:val="none"/>
        </w:rPr>
      </w:pPr>
      <w:r>
        <w:rPr>
          <w:rFonts w:hint="eastAsia"/>
          <w:i w:val="0"/>
          <w:iCs w:val="0"/>
          <w:color w:val="auto"/>
          <w:sz w:val="21"/>
          <w:szCs w:val="21"/>
          <w:highlight w:val="none"/>
        </w:rPr>
        <w:t>图谱分析</w:t>
      </w:r>
    </w:p>
    <w:p w14:paraId="56D12D0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用户可通过图谱分析功能获取清晰、明确的图谱数据，并辅助专家进行进一步人工诊断确认。该模块对采集到的振动波形应用信号转化、时域分析、频域分析、包络解调、频率成分提取、降噪、相位计算等信号分析技术，展示振动加速度，速度和位移信号在时域、频域等的能量及波形变化，并展示不同测点间的相位差和轴心轨迹图。</w:t>
      </w:r>
    </w:p>
    <w:p w14:paraId="56D12D1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图谱分析</w:t>
      </w:r>
      <w:r>
        <w:rPr>
          <w:rFonts w:hint="eastAsia"/>
          <w:i w:val="0"/>
          <w:iCs w:val="0"/>
          <w:color w:val="auto"/>
          <w:sz w:val="21"/>
          <w:szCs w:val="15"/>
          <w:highlight w:val="none"/>
          <w:lang w:val="zh-CN" w:eastAsia="zh-CN"/>
        </w:rPr>
        <w:t>功能模块自动添加多条与设备故障诊断相关的提示性标识线，如常用的一倍频、二倍频、外圈或内圈故障频率段等信息。快速定位能量异常，方便查找故障。该模块将支持客户自定义添加标识线，并自动添加相关谐波标识线和边带标识线，并辅助计算谐波和边带能量区间。</w:t>
      </w:r>
    </w:p>
    <w:p w14:paraId="56D12D11">
      <w:pPr>
        <w:pStyle w:val="6"/>
        <w:ind w:left="0"/>
        <w:rPr>
          <w:i w:val="0"/>
          <w:iCs w:val="0"/>
          <w:color w:val="auto"/>
          <w:sz w:val="21"/>
          <w:szCs w:val="21"/>
          <w:highlight w:val="none"/>
        </w:rPr>
      </w:pPr>
      <w:r>
        <w:rPr>
          <w:rFonts w:hint="eastAsia"/>
          <w:i w:val="0"/>
          <w:iCs w:val="0"/>
          <w:color w:val="auto"/>
          <w:sz w:val="21"/>
          <w:szCs w:val="21"/>
          <w:highlight w:val="none"/>
        </w:rPr>
        <w:t>数据统计</w:t>
      </w:r>
    </w:p>
    <w:p w14:paraId="56D12D1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数据统计</w:t>
      </w:r>
      <w:r>
        <w:rPr>
          <w:rFonts w:hint="eastAsia"/>
          <w:i w:val="0"/>
          <w:iCs w:val="0"/>
          <w:color w:val="auto"/>
          <w:sz w:val="21"/>
          <w:szCs w:val="15"/>
          <w:highlight w:val="none"/>
          <w:lang w:val="zh-CN" w:eastAsia="zh-CN"/>
        </w:rPr>
        <w:t>提供完善的数据统计功能，实现各类参数多维度、多角度的各类参数及结果的对比。包括设备关键指标排名、预警信息排名与故障排名、各类预警12个月内趋势变化、占比分布及运行统计等。</w:t>
      </w:r>
    </w:p>
    <w:p w14:paraId="56D12D13">
      <w:pPr>
        <w:pStyle w:val="6"/>
        <w:ind w:left="0"/>
        <w:rPr>
          <w:i w:val="0"/>
          <w:iCs w:val="0"/>
          <w:color w:val="auto"/>
          <w:sz w:val="21"/>
          <w:szCs w:val="21"/>
          <w:highlight w:val="none"/>
        </w:rPr>
      </w:pPr>
      <w:r>
        <w:rPr>
          <w:rFonts w:hint="eastAsia"/>
          <w:i w:val="0"/>
          <w:iCs w:val="0"/>
          <w:color w:val="auto"/>
          <w:sz w:val="21"/>
          <w:szCs w:val="21"/>
          <w:highlight w:val="none"/>
        </w:rPr>
        <w:t>报表管理</w:t>
      </w:r>
    </w:p>
    <w:p w14:paraId="56D12D1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根据设备的运行参数，预警结果和潜在故障的检测结果，提供定时运行报告，即时诊断报告、以及专家维护建议报告等三种诊断报告形式，用以指导设备管理人员进行设备运维。支持诊断报告附件上传、页面融合显示、反馈闭环、收藏功能。</w:t>
      </w:r>
    </w:p>
    <w:p w14:paraId="56D12D15">
      <w:pPr>
        <w:pStyle w:val="6"/>
        <w:ind w:left="0"/>
        <w:rPr>
          <w:i w:val="0"/>
          <w:iCs w:val="0"/>
          <w:color w:val="auto"/>
          <w:sz w:val="21"/>
          <w:szCs w:val="21"/>
          <w:highlight w:val="none"/>
        </w:rPr>
      </w:pPr>
      <w:r>
        <w:rPr>
          <w:rFonts w:hint="eastAsia"/>
          <w:i w:val="0"/>
          <w:iCs w:val="0"/>
          <w:color w:val="auto"/>
          <w:sz w:val="21"/>
          <w:szCs w:val="21"/>
          <w:highlight w:val="none"/>
        </w:rPr>
        <w:t>消息管理</w:t>
      </w:r>
    </w:p>
    <w:p w14:paraId="56D12D1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消息管理包括设备在离线消息、规则预警消息、故障消息、智能预警消息、潜在故障提示消息、寿命预测提示消息等在内的消息推送功能。可开启消息抑制，消息推送、消息处理等功能。</w:t>
      </w:r>
    </w:p>
    <w:p w14:paraId="56D12D17">
      <w:pPr>
        <w:pStyle w:val="5"/>
        <w:ind w:left="0"/>
        <w:rPr>
          <w:i w:val="0"/>
          <w:iCs w:val="0"/>
          <w:color w:val="auto"/>
          <w:sz w:val="22"/>
          <w:szCs w:val="22"/>
          <w:highlight w:val="none"/>
        </w:rPr>
      </w:pPr>
      <w:bookmarkStart w:id="169" w:name="bookmark135"/>
      <w:bookmarkEnd w:id="169"/>
      <w:bookmarkStart w:id="170" w:name="_Toc11144"/>
      <w:r>
        <w:rPr>
          <w:rFonts w:hint="eastAsia"/>
          <w:i w:val="0"/>
          <w:iCs w:val="0"/>
          <w:color w:val="auto"/>
          <w:sz w:val="22"/>
          <w:szCs w:val="22"/>
          <w:highlight w:val="none"/>
        </w:rPr>
        <w:t>系统接口</w:t>
      </w:r>
      <w:bookmarkEnd w:id="170"/>
    </w:p>
    <w:p w14:paraId="56D12D18">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电扶梯智能运维系统部署于中心的云化服务器，在控制中心设置与综合监控系统网络接口，获取电扶梯系统设备运行状态数据，采用软件协议完成数据交换，接口划分如图所示：</w:t>
      </w:r>
    </w:p>
    <w:p w14:paraId="56D12D19">
      <w:pPr>
        <w:pStyle w:val="34"/>
        <w:kinsoku w:val="0"/>
        <w:overflowPunct w:val="0"/>
        <w:spacing w:line="360" w:lineRule="auto"/>
        <w:jc w:val="center"/>
        <w:rPr>
          <w:rFonts w:hint="eastAsia" w:ascii="宋体" w:hAnsi="宋体" w:eastAsia="宋体" w:cs="仿宋"/>
          <w:i w:val="0"/>
          <w:iCs w:val="0"/>
          <w:color w:val="auto"/>
          <w:spacing w:val="-4"/>
          <w:sz w:val="16"/>
          <w:szCs w:val="16"/>
          <w:highlight w:val="none"/>
        </w:rPr>
      </w:pPr>
      <w:r>
        <w:rPr>
          <w:rFonts w:hint="eastAsia"/>
          <w:i w:val="0"/>
          <w:iCs w:val="0"/>
          <w:color w:val="auto"/>
          <w:sz w:val="21"/>
          <w:szCs w:val="20"/>
          <w:highlight w:val="none"/>
        </w:rPr>
        <w:drawing>
          <wp:inline distT="0" distB="0" distL="0" distR="0">
            <wp:extent cx="4237355" cy="1446530"/>
            <wp:effectExtent l="0" t="0" r="14605" b="1270"/>
            <wp:docPr id="1620364379" name="图片 11"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364379" name="图片 11" descr="图示, 示意图&#10;&#10;AI 生成的内容可能不正确。"/>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237355" cy="1446530"/>
                    </a:xfrm>
                    <a:prstGeom prst="rect">
                      <a:avLst/>
                    </a:prstGeom>
                    <a:noFill/>
                    <a:ln>
                      <a:noFill/>
                    </a:ln>
                  </pic:spPr>
                </pic:pic>
              </a:graphicData>
            </a:graphic>
          </wp:inline>
        </w:drawing>
      </w:r>
    </w:p>
    <w:p w14:paraId="56D12D1A">
      <w:pPr>
        <w:pStyle w:val="142"/>
        <w:ind w:firstLine="420"/>
        <w:jc w:val="center"/>
        <w:rPr>
          <w:i w:val="0"/>
          <w:iCs w:val="0"/>
          <w:color w:val="auto"/>
          <w:sz w:val="21"/>
          <w:szCs w:val="15"/>
          <w:highlight w:val="none"/>
        </w:rPr>
      </w:pPr>
      <w:r>
        <w:rPr>
          <w:rFonts w:hint="eastAsia"/>
          <w:i w:val="0"/>
          <w:iCs w:val="0"/>
          <w:color w:val="auto"/>
          <w:sz w:val="21"/>
          <w:szCs w:val="15"/>
          <w:highlight w:val="none"/>
        </w:rPr>
        <w:t>电扶梯智能运维系统与电扶梯系统接口划分示意图</w:t>
      </w:r>
    </w:p>
    <w:p w14:paraId="56D12D1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a、接口位置：控制中心；</w:t>
      </w:r>
    </w:p>
    <w:p w14:paraId="56D12D1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b、接口类型：通信接口：1000M以太网TCP/IPRJ45。</w:t>
      </w:r>
    </w:p>
    <w:p w14:paraId="56D12D1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c、软件协议：接口通讯协议支持标准的、通用的、开放的、软件解码的协议，推荐采用Http、Snmp协议；</w:t>
      </w:r>
    </w:p>
    <w:p w14:paraId="56D12D1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d、接口数量：中心一路独立的以太网接口。</w:t>
      </w:r>
    </w:p>
    <w:p w14:paraId="56D12D1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专题五：投标人应提供完整电扶梯智能运维实施方案，包括但不限于数据分析算法、终端设备安装及线缆敷设方案；投标人应承诺所提供实施方案不影响电扶梯正常运行；并满足电扶梯特种设备相关检测要求。因施工缺陷导致的问题由投标人承担，投标人因对此进行综合考虑，相关费用包含在投标总价中。</w:t>
      </w:r>
    </w:p>
    <w:p w14:paraId="56D12D20">
      <w:pPr>
        <w:pStyle w:val="4"/>
        <w:rPr>
          <w:i w:val="0"/>
          <w:iCs w:val="0"/>
          <w:color w:val="auto"/>
          <w:sz w:val="24"/>
          <w:szCs w:val="21"/>
          <w:highlight w:val="none"/>
        </w:rPr>
      </w:pPr>
      <w:bookmarkStart w:id="171" w:name="bookmark136"/>
      <w:bookmarkEnd w:id="171"/>
      <w:bookmarkStart w:id="172" w:name="_Toc17597"/>
      <w:r>
        <w:rPr>
          <w:rFonts w:hint="eastAsia"/>
          <w:i w:val="0"/>
          <w:iCs w:val="0"/>
          <w:color w:val="auto"/>
          <w:sz w:val="24"/>
          <w:szCs w:val="21"/>
          <w:highlight w:val="none"/>
        </w:rPr>
        <w:t>站台门智能运维</w:t>
      </w:r>
      <w:bookmarkEnd w:id="172"/>
    </w:p>
    <w:p w14:paraId="56D12D2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目前长沙市轨道交通6号线已在建设期上线站台门智能运维算法，本期拟在建设期站台门智能运维算法的基础上迭代优化，构建站台门整体智能运维功能。</w:t>
      </w:r>
    </w:p>
    <w:p w14:paraId="2FFB5FE4">
      <w:pPr>
        <w:pStyle w:val="5"/>
        <w:ind w:left="0"/>
        <w:rPr>
          <w:rFonts w:hint="eastAsia"/>
          <w:i w:val="0"/>
          <w:iCs w:val="0"/>
          <w:color w:val="auto"/>
          <w:sz w:val="22"/>
          <w:szCs w:val="22"/>
          <w:highlight w:val="none"/>
          <w:lang w:val="en-US"/>
        </w:rPr>
      </w:pPr>
      <w:bookmarkStart w:id="173" w:name="bookmark137"/>
      <w:bookmarkEnd w:id="173"/>
      <w:bookmarkStart w:id="174" w:name="_Toc31146"/>
      <w:r>
        <w:rPr>
          <w:rFonts w:hint="eastAsia"/>
          <w:i w:val="0"/>
          <w:iCs w:val="0"/>
          <w:color w:val="auto"/>
          <w:sz w:val="22"/>
          <w:szCs w:val="22"/>
          <w:highlight w:val="none"/>
          <w:lang w:val="en-US"/>
        </w:rPr>
        <w:t>系统架构与数据采集</w:t>
      </w:r>
      <w:bookmarkEnd w:id="174"/>
    </w:p>
    <w:p w14:paraId="5DA9FC8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站台门智能运维应提供站台门状态监测功能，提供电机电流、门体位移等状态监测；应支持实时持续采集站台门状态监测数据，包含线路、车站、设备、故障现象、故障时间。此部分数据来源于对既有DCU进行软件升级，并通过在站台门维护机上部署智能采集模块进行数据获取。</w:t>
      </w:r>
    </w:p>
    <w:p w14:paraId="6D0229AF">
      <w:pPr>
        <w:pStyle w:val="142"/>
        <w:ind w:firstLine="420"/>
        <w:rPr>
          <w:rFonts w:hint="default"/>
          <w:i w:val="0"/>
          <w:iCs w:val="0"/>
          <w:color w:val="auto"/>
          <w:sz w:val="21"/>
          <w:szCs w:val="15"/>
          <w:highlight w:val="none"/>
          <w:lang w:val="en-US" w:eastAsia="zh-CN"/>
        </w:rPr>
      </w:pPr>
      <w:r>
        <w:rPr>
          <w:rFonts w:hint="default"/>
          <w:i w:val="0"/>
          <w:iCs w:val="0"/>
          <w:color w:val="auto"/>
          <w:sz w:val="21"/>
          <w:szCs w:val="15"/>
          <w:highlight w:val="none"/>
          <w:lang w:val="en-US" w:eastAsia="zh-CN"/>
        </w:rPr>
        <w:t>数据采集包括运行事件记录，运行关键参数两个部分</w:t>
      </w:r>
      <w:r>
        <w:rPr>
          <w:rFonts w:hint="eastAsia"/>
          <w:i w:val="0"/>
          <w:iCs w:val="0"/>
          <w:color w:val="auto"/>
          <w:sz w:val="21"/>
          <w:szCs w:val="15"/>
          <w:highlight w:val="none"/>
          <w:lang w:val="en-US" w:eastAsia="zh-CN"/>
        </w:rPr>
        <w:t>；具体记录及参数要求在设计联络阶段确定</w:t>
      </w:r>
      <w:r>
        <w:rPr>
          <w:rFonts w:hint="default"/>
          <w:i w:val="0"/>
          <w:iCs w:val="0"/>
          <w:color w:val="auto"/>
          <w:sz w:val="21"/>
          <w:szCs w:val="15"/>
          <w:highlight w:val="none"/>
          <w:lang w:val="en-US" w:eastAsia="zh-CN"/>
        </w:rPr>
        <w:t>。</w:t>
      </w:r>
      <w:r>
        <w:rPr>
          <w:rFonts w:hint="eastAsia"/>
          <w:i w:val="0"/>
          <w:iCs w:val="0"/>
          <w:color w:val="auto"/>
          <w:sz w:val="21"/>
          <w:szCs w:val="15"/>
          <w:highlight w:val="none"/>
          <w:lang w:val="en-US" w:eastAsia="zh-CN"/>
        </w:rPr>
        <w:t>系统架构图如下：</w:t>
      </w:r>
    </w:p>
    <w:p w14:paraId="708FEE3B">
      <w:pPr>
        <w:pStyle w:val="142"/>
        <w:ind w:firstLine="420"/>
        <w:rPr>
          <w:rFonts w:hint="default"/>
          <w:i w:val="0"/>
          <w:iCs w:val="0"/>
          <w:color w:val="auto"/>
          <w:sz w:val="21"/>
          <w:szCs w:val="15"/>
          <w:highlight w:val="none"/>
          <w:lang w:val="en-US" w:eastAsia="zh-CN"/>
        </w:rPr>
      </w:pPr>
      <w:r>
        <w:rPr>
          <w:rFonts w:hint="default"/>
          <w:i w:val="0"/>
          <w:iCs w:val="0"/>
          <w:color w:val="auto"/>
          <w:sz w:val="21"/>
          <w:szCs w:val="15"/>
          <w:highlight w:val="none"/>
          <w:lang w:val="en-US" w:eastAsia="zh-CN"/>
        </w:rPr>
        <w:drawing>
          <wp:anchor distT="0" distB="0" distL="114300" distR="114300" simplePos="0" relativeHeight="251666432" behindDoc="0" locked="0" layoutInCell="1" allowOverlap="1">
            <wp:simplePos x="0" y="0"/>
            <wp:positionH relativeFrom="column">
              <wp:posOffset>28575</wp:posOffset>
            </wp:positionH>
            <wp:positionV relativeFrom="paragraph">
              <wp:posOffset>123190</wp:posOffset>
            </wp:positionV>
            <wp:extent cx="5483225" cy="1567180"/>
            <wp:effectExtent l="0" t="0" r="3175" b="2540"/>
            <wp:wrapTopAndBottom/>
            <wp:docPr id="2" name="图片 2" descr="07f60244d52b7b9658ab20da6651f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7f60244d52b7b9658ab20da6651fac"/>
                    <pic:cNvPicPr>
                      <a:picLocks noChangeAspect="1"/>
                    </pic:cNvPicPr>
                  </pic:nvPicPr>
                  <pic:blipFill>
                    <a:blip r:embed="rId21"/>
                    <a:stretch>
                      <a:fillRect/>
                    </a:stretch>
                  </pic:blipFill>
                  <pic:spPr>
                    <a:xfrm>
                      <a:off x="0" y="0"/>
                      <a:ext cx="5483225" cy="1567180"/>
                    </a:xfrm>
                    <a:prstGeom prst="rect">
                      <a:avLst/>
                    </a:prstGeom>
                  </pic:spPr>
                </pic:pic>
              </a:graphicData>
            </a:graphic>
          </wp:anchor>
        </w:drawing>
      </w:r>
    </w:p>
    <w:p w14:paraId="3D1EFD61">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运行事件记录</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6"/>
        <w:gridCol w:w="1356"/>
        <w:gridCol w:w="4995"/>
        <w:gridCol w:w="1519"/>
      </w:tblGrid>
      <w:tr w14:paraId="7AC2B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360A77FC">
            <w:pPr>
              <w:pStyle w:val="143"/>
              <w:bidi w:val="0"/>
              <w:rPr>
                <w:i w:val="0"/>
                <w:iCs w:val="0"/>
                <w:color w:val="auto"/>
                <w:sz w:val="21"/>
                <w:szCs w:val="21"/>
                <w:highlight w:val="none"/>
                <w:lang w:val="en-US"/>
              </w:rPr>
            </w:pPr>
            <w:r>
              <w:rPr>
                <w:rFonts w:hint="eastAsia"/>
                <w:i w:val="0"/>
                <w:iCs w:val="0"/>
                <w:color w:val="auto"/>
                <w:sz w:val="21"/>
                <w:szCs w:val="21"/>
                <w:highlight w:val="none"/>
                <w:lang w:val="en-US"/>
              </w:rPr>
              <w:t>序号</w:t>
            </w:r>
          </w:p>
        </w:tc>
        <w:tc>
          <w:tcPr>
            <w:tcW w:w="1356" w:type="dxa"/>
            <w:vAlign w:val="center"/>
          </w:tcPr>
          <w:p w14:paraId="20BFE42A">
            <w:pPr>
              <w:pStyle w:val="143"/>
              <w:bidi w:val="0"/>
              <w:rPr>
                <w:i w:val="0"/>
                <w:iCs w:val="0"/>
                <w:color w:val="auto"/>
                <w:sz w:val="21"/>
                <w:szCs w:val="21"/>
                <w:highlight w:val="none"/>
                <w:lang w:val="en-US"/>
              </w:rPr>
            </w:pPr>
            <w:r>
              <w:rPr>
                <w:rFonts w:hint="eastAsia"/>
                <w:i w:val="0"/>
                <w:iCs w:val="0"/>
                <w:color w:val="auto"/>
                <w:sz w:val="21"/>
                <w:szCs w:val="21"/>
                <w:highlight w:val="none"/>
                <w:lang w:val="en-US"/>
              </w:rPr>
              <w:t>系统或部件</w:t>
            </w:r>
          </w:p>
        </w:tc>
        <w:tc>
          <w:tcPr>
            <w:tcW w:w="4995" w:type="dxa"/>
            <w:vAlign w:val="center"/>
          </w:tcPr>
          <w:p w14:paraId="650DBED9">
            <w:pPr>
              <w:pStyle w:val="143"/>
              <w:bidi w:val="0"/>
              <w:rPr>
                <w:i w:val="0"/>
                <w:iCs w:val="0"/>
                <w:color w:val="auto"/>
                <w:sz w:val="21"/>
                <w:szCs w:val="21"/>
                <w:highlight w:val="none"/>
                <w:lang w:val="en-US"/>
              </w:rPr>
            </w:pPr>
            <w:r>
              <w:rPr>
                <w:rFonts w:hint="eastAsia"/>
                <w:i w:val="0"/>
                <w:iCs w:val="0"/>
                <w:color w:val="auto"/>
                <w:sz w:val="21"/>
                <w:szCs w:val="21"/>
                <w:highlight w:val="none"/>
                <w:lang w:val="en-US"/>
              </w:rPr>
              <w:t>采集内容</w:t>
            </w:r>
          </w:p>
        </w:tc>
        <w:tc>
          <w:tcPr>
            <w:tcW w:w="1519" w:type="dxa"/>
            <w:vAlign w:val="center"/>
          </w:tcPr>
          <w:p w14:paraId="12874052">
            <w:pPr>
              <w:pStyle w:val="143"/>
              <w:bidi w:val="0"/>
              <w:rPr>
                <w:rFonts w:hint="eastAsia" w:eastAsia="仿宋"/>
                <w:i w:val="0"/>
                <w:iCs w:val="0"/>
                <w:color w:val="auto"/>
                <w:sz w:val="21"/>
                <w:szCs w:val="21"/>
                <w:highlight w:val="none"/>
                <w:lang w:val="en-US" w:eastAsia="zh-CN"/>
              </w:rPr>
            </w:pPr>
            <w:r>
              <w:rPr>
                <w:rFonts w:hint="eastAsia"/>
                <w:i w:val="0"/>
                <w:iCs w:val="0"/>
                <w:color w:val="auto"/>
                <w:sz w:val="21"/>
                <w:szCs w:val="21"/>
                <w:highlight w:val="none"/>
                <w:lang w:val="en-US" w:eastAsia="zh-CN"/>
              </w:rPr>
              <w:t>备注</w:t>
            </w:r>
          </w:p>
        </w:tc>
      </w:tr>
      <w:tr w14:paraId="09205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756FFE26">
            <w:pPr>
              <w:pStyle w:val="143"/>
              <w:bidi w:val="0"/>
              <w:rPr>
                <w:i w:val="0"/>
                <w:iCs w:val="0"/>
                <w:color w:val="auto"/>
                <w:sz w:val="21"/>
                <w:szCs w:val="21"/>
                <w:highlight w:val="none"/>
                <w:lang w:val="en-US"/>
              </w:rPr>
            </w:pPr>
            <w:r>
              <w:rPr>
                <w:rFonts w:hint="eastAsia"/>
                <w:i w:val="0"/>
                <w:iCs w:val="0"/>
                <w:color w:val="auto"/>
                <w:sz w:val="21"/>
                <w:szCs w:val="21"/>
                <w:highlight w:val="none"/>
                <w:lang w:val="en-US"/>
              </w:rPr>
              <w:t>1</w:t>
            </w:r>
          </w:p>
        </w:tc>
        <w:tc>
          <w:tcPr>
            <w:tcW w:w="1356" w:type="dxa"/>
            <w:vAlign w:val="center"/>
          </w:tcPr>
          <w:p w14:paraId="3B4F9877">
            <w:pPr>
              <w:pStyle w:val="143"/>
              <w:bidi w:val="0"/>
              <w:rPr>
                <w:i w:val="0"/>
                <w:iCs w:val="0"/>
                <w:color w:val="auto"/>
                <w:sz w:val="21"/>
                <w:szCs w:val="21"/>
                <w:highlight w:val="none"/>
                <w:lang w:val="en-US"/>
              </w:rPr>
            </w:pPr>
            <w:r>
              <w:rPr>
                <w:rFonts w:hint="eastAsia"/>
                <w:i w:val="0"/>
                <w:iCs w:val="0"/>
                <w:color w:val="auto"/>
                <w:sz w:val="21"/>
                <w:szCs w:val="21"/>
                <w:highlight w:val="none"/>
                <w:lang w:val="en-US"/>
              </w:rPr>
              <w:t>通讯模块</w:t>
            </w:r>
          </w:p>
        </w:tc>
        <w:tc>
          <w:tcPr>
            <w:tcW w:w="4995" w:type="dxa"/>
            <w:vAlign w:val="center"/>
          </w:tcPr>
          <w:p w14:paraId="41CCFA5E">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总线状态、PEDC通讯状态、电源系统通讯状态</w:t>
            </w:r>
          </w:p>
        </w:tc>
        <w:tc>
          <w:tcPr>
            <w:tcW w:w="1519" w:type="dxa"/>
            <w:vAlign w:val="center"/>
          </w:tcPr>
          <w:p w14:paraId="5EEB3C3A">
            <w:pPr>
              <w:pStyle w:val="143"/>
              <w:bidi w:val="0"/>
              <w:rPr>
                <w:i w:val="0"/>
                <w:iCs w:val="0"/>
                <w:color w:val="auto"/>
                <w:sz w:val="21"/>
                <w:szCs w:val="21"/>
                <w:highlight w:val="none"/>
                <w:lang w:val="en-US"/>
              </w:rPr>
            </w:pPr>
          </w:p>
        </w:tc>
      </w:tr>
      <w:tr w14:paraId="367D1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3F877B76">
            <w:pPr>
              <w:pStyle w:val="143"/>
              <w:bidi w:val="0"/>
              <w:rPr>
                <w:i w:val="0"/>
                <w:iCs w:val="0"/>
                <w:color w:val="auto"/>
                <w:sz w:val="21"/>
                <w:szCs w:val="21"/>
                <w:highlight w:val="none"/>
                <w:lang w:val="en-US"/>
              </w:rPr>
            </w:pPr>
            <w:r>
              <w:rPr>
                <w:rFonts w:hint="eastAsia"/>
                <w:i w:val="0"/>
                <w:iCs w:val="0"/>
                <w:color w:val="auto"/>
                <w:sz w:val="21"/>
                <w:szCs w:val="21"/>
                <w:highlight w:val="none"/>
                <w:lang w:val="en-US"/>
              </w:rPr>
              <w:t>2</w:t>
            </w:r>
          </w:p>
        </w:tc>
        <w:tc>
          <w:tcPr>
            <w:tcW w:w="1356" w:type="dxa"/>
            <w:vAlign w:val="center"/>
          </w:tcPr>
          <w:p w14:paraId="55191A27">
            <w:pPr>
              <w:pStyle w:val="143"/>
              <w:bidi w:val="0"/>
              <w:rPr>
                <w:i w:val="0"/>
                <w:iCs w:val="0"/>
                <w:color w:val="auto"/>
                <w:sz w:val="21"/>
                <w:szCs w:val="21"/>
                <w:highlight w:val="none"/>
                <w:lang w:val="en-US"/>
              </w:rPr>
            </w:pPr>
            <w:r>
              <w:rPr>
                <w:rFonts w:hint="eastAsia"/>
                <w:i w:val="0"/>
                <w:iCs w:val="0"/>
                <w:color w:val="auto"/>
                <w:sz w:val="21"/>
                <w:szCs w:val="21"/>
                <w:highlight w:val="none"/>
                <w:lang w:val="en-US"/>
              </w:rPr>
              <w:t>综合后备盘</w:t>
            </w:r>
          </w:p>
        </w:tc>
        <w:tc>
          <w:tcPr>
            <w:tcW w:w="4995" w:type="dxa"/>
            <w:vAlign w:val="center"/>
          </w:tcPr>
          <w:p w14:paraId="2C29F670">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操作允许状态、开门命令、关门命令</w:t>
            </w:r>
          </w:p>
        </w:tc>
        <w:tc>
          <w:tcPr>
            <w:tcW w:w="1519" w:type="dxa"/>
            <w:vAlign w:val="center"/>
          </w:tcPr>
          <w:p w14:paraId="08FA80A7">
            <w:pPr>
              <w:pStyle w:val="143"/>
              <w:bidi w:val="0"/>
              <w:rPr>
                <w:i w:val="0"/>
                <w:iCs w:val="0"/>
                <w:color w:val="auto"/>
                <w:sz w:val="21"/>
                <w:szCs w:val="21"/>
                <w:highlight w:val="none"/>
                <w:lang w:val="en-US"/>
              </w:rPr>
            </w:pPr>
          </w:p>
        </w:tc>
      </w:tr>
      <w:tr w14:paraId="498D3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35672088">
            <w:pPr>
              <w:pStyle w:val="143"/>
              <w:bidi w:val="0"/>
              <w:rPr>
                <w:i w:val="0"/>
                <w:iCs w:val="0"/>
                <w:color w:val="auto"/>
                <w:sz w:val="21"/>
                <w:szCs w:val="21"/>
                <w:highlight w:val="none"/>
                <w:lang w:val="en-US"/>
              </w:rPr>
            </w:pPr>
            <w:r>
              <w:rPr>
                <w:rFonts w:hint="eastAsia"/>
                <w:i w:val="0"/>
                <w:iCs w:val="0"/>
                <w:color w:val="auto"/>
                <w:sz w:val="21"/>
                <w:szCs w:val="21"/>
                <w:highlight w:val="none"/>
                <w:lang w:val="en-US"/>
              </w:rPr>
              <w:t>3</w:t>
            </w:r>
          </w:p>
        </w:tc>
        <w:tc>
          <w:tcPr>
            <w:tcW w:w="1356" w:type="dxa"/>
            <w:vAlign w:val="center"/>
          </w:tcPr>
          <w:p w14:paraId="2F9C5813">
            <w:pPr>
              <w:pStyle w:val="143"/>
              <w:bidi w:val="0"/>
              <w:rPr>
                <w:i w:val="0"/>
                <w:iCs w:val="0"/>
                <w:color w:val="auto"/>
                <w:sz w:val="21"/>
                <w:szCs w:val="21"/>
                <w:highlight w:val="none"/>
                <w:lang w:val="en-US"/>
              </w:rPr>
            </w:pPr>
            <w:r>
              <w:rPr>
                <w:rFonts w:hint="eastAsia"/>
                <w:i w:val="0"/>
                <w:iCs w:val="0"/>
                <w:color w:val="auto"/>
                <w:sz w:val="21"/>
                <w:szCs w:val="21"/>
                <w:highlight w:val="none"/>
                <w:lang w:val="en-US"/>
              </w:rPr>
              <w:t>就地控制盘</w:t>
            </w:r>
          </w:p>
        </w:tc>
        <w:tc>
          <w:tcPr>
            <w:tcW w:w="4995" w:type="dxa"/>
            <w:vAlign w:val="center"/>
          </w:tcPr>
          <w:p w14:paraId="1FD08E6D">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操作允许状态、开门命令、关门命令、互锁解除状态</w:t>
            </w:r>
          </w:p>
        </w:tc>
        <w:tc>
          <w:tcPr>
            <w:tcW w:w="1519" w:type="dxa"/>
            <w:vAlign w:val="center"/>
          </w:tcPr>
          <w:p w14:paraId="5A665E50">
            <w:pPr>
              <w:pStyle w:val="143"/>
              <w:bidi w:val="0"/>
              <w:rPr>
                <w:i w:val="0"/>
                <w:iCs w:val="0"/>
                <w:color w:val="auto"/>
                <w:sz w:val="21"/>
                <w:szCs w:val="21"/>
                <w:highlight w:val="none"/>
                <w:lang w:val="en-US"/>
              </w:rPr>
            </w:pPr>
          </w:p>
        </w:tc>
      </w:tr>
      <w:tr w14:paraId="7DE7D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42AE69E8">
            <w:pPr>
              <w:pStyle w:val="143"/>
              <w:bidi w:val="0"/>
              <w:rPr>
                <w:i w:val="0"/>
                <w:iCs w:val="0"/>
                <w:color w:val="auto"/>
                <w:sz w:val="21"/>
                <w:szCs w:val="21"/>
                <w:highlight w:val="none"/>
                <w:lang w:val="en-US"/>
              </w:rPr>
            </w:pPr>
            <w:r>
              <w:rPr>
                <w:rFonts w:hint="eastAsia"/>
                <w:i w:val="0"/>
                <w:iCs w:val="0"/>
                <w:color w:val="auto"/>
                <w:sz w:val="21"/>
                <w:szCs w:val="21"/>
                <w:highlight w:val="none"/>
                <w:lang w:val="en-US"/>
              </w:rPr>
              <w:t>4</w:t>
            </w:r>
          </w:p>
        </w:tc>
        <w:tc>
          <w:tcPr>
            <w:tcW w:w="1356" w:type="dxa"/>
            <w:vAlign w:val="center"/>
          </w:tcPr>
          <w:p w14:paraId="0E1021EB">
            <w:pPr>
              <w:pStyle w:val="143"/>
              <w:bidi w:val="0"/>
              <w:rPr>
                <w:i w:val="0"/>
                <w:iCs w:val="0"/>
                <w:color w:val="auto"/>
                <w:sz w:val="21"/>
                <w:szCs w:val="21"/>
                <w:highlight w:val="none"/>
                <w:lang w:val="en-US"/>
              </w:rPr>
            </w:pPr>
            <w:r>
              <w:rPr>
                <w:rFonts w:hint="eastAsia"/>
                <w:i w:val="0"/>
                <w:iCs w:val="0"/>
                <w:color w:val="auto"/>
                <w:sz w:val="21"/>
                <w:szCs w:val="21"/>
                <w:highlight w:val="none"/>
                <w:lang w:val="en-US"/>
              </w:rPr>
              <w:t>远程控制系统</w:t>
            </w:r>
          </w:p>
        </w:tc>
        <w:tc>
          <w:tcPr>
            <w:tcW w:w="4995" w:type="dxa"/>
            <w:vAlign w:val="center"/>
          </w:tcPr>
          <w:p w14:paraId="2A4A0C61">
            <w:pPr>
              <w:pStyle w:val="143"/>
              <w:bidi w:val="0"/>
              <w:jc w:val="left"/>
              <w:rPr>
                <w:i w:val="0"/>
                <w:iCs w:val="0"/>
                <w:color w:val="auto"/>
                <w:sz w:val="21"/>
                <w:szCs w:val="21"/>
                <w:highlight w:val="none"/>
              </w:rPr>
            </w:pPr>
            <w:r>
              <w:rPr>
                <w:rFonts w:hint="eastAsia"/>
                <w:i w:val="0"/>
                <w:iCs w:val="0"/>
                <w:color w:val="auto"/>
                <w:sz w:val="21"/>
                <w:szCs w:val="21"/>
                <w:highlight w:val="none"/>
                <w:lang w:val="en-US"/>
              </w:rPr>
              <w:t>操作允许状态、开门命令、关门命令</w:t>
            </w:r>
          </w:p>
        </w:tc>
        <w:tc>
          <w:tcPr>
            <w:tcW w:w="1519" w:type="dxa"/>
            <w:vAlign w:val="center"/>
          </w:tcPr>
          <w:p w14:paraId="35DD8BE8">
            <w:pPr>
              <w:pStyle w:val="143"/>
              <w:bidi w:val="0"/>
              <w:rPr>
                <w:i w:val="0"/>
                <w:iCs w:val="0"/>
                <w:color w:val="auto"/>
                <w:sz w:val="21"/>
                <w:szCs w:val="21"/>
                <w:highlight w:val="none"/>
                <w:lang w:val="en-US"/>
              </w:rPr>
            </w:pPr>
          </w:p>
        </w:tc>
      </w:tr>
      <w:tr w14:paraId="76852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6" w:type="dxa"/>
            <w:vAlign w:val="center"/>
          </w:tcPr>
          <w:p w14:paraId="09DF7749">
            <w:pPr>
              <w:pStyle w:val="143"/>
              <w:bidi w:val="0"/>
              <w:rPr>
                <w:i w:val="0"/>
                <w:iCs w:val="0"/>
                <w:color w:val="auto"/>
                <w:sz w:val="21"/>
                <w:szCs w:val="21"/>
                <w:highlight w:val="none"/>
                <w:lang w:val="en-US"/>
              </w:rPr>
            </w:pPr>
            <w:r>
              <w:rPr>
                <w:rFonts w:hint="eastAsia"/>
                <w:i w:val="0"/>
                <w:iCs w:val="0"/>
                <w:color w:val="auto"/>
                <w:sz w:val="21"/>
                <w:szCs w:val="21"/>
                <w:highlight w:val="none"/>
                <w:lang w:val="en-US"/>
              </w:rPr>
              <w:t>5</w:t>
            </w:r>
          </w:p>
        </w:tc>
        <w:tc>
          <w:tcPr>
            <w:tcW w:w="1356" w:type="dxa"/>
            <w:vAlign w:val="center"/>
          </w:tcPr>
          <w:p w14:paraId="002BDC42">
            <w:pPr>
              <w:pStyle w:val="143"/>
              <w:bidi w:val="0"/>
              <w:rPr>
                <w:i w:val="0"/>
                <w:iCs w:val="0"/>
                <w:color w:val="auto"/>
                <w:sz w:val="21"/>
                <w:szCs w:val="21"/>
                <w:highlight w:val="none"/>
                <w:lang w:val="en-US"/>
              </w:rPr>
            </w:pPr>
            <w:r>
              <w:rPr>
                <w:rFonts w:hint="eastAsia"/>
                <w:i w:val="0"/>
                <w:iCs w:val="0"/>
                <w:color w:val="auto"/>
                <w:sz w:val="21"/>
                <w:szCs w:val="21"/>
                <w:highlight w:val="none"/>
                <w:lang w:val="en-US"/>
              </w:rPr>
              <w:t>信号系统</w:t>
            </w:r>
          </w:p>
        </w:tc>
        <w:tc>
          <w:tcPr>
            <w:tcW w:w="4995" w:type="dxa"/>
            <w:vAlign w:val="center"/>
          </w:tcPr>
          <w:p w14:paraId="75DC1E40">
            <w:pPr>
              <w:pStyle w:val="143"/>
              <w:bidi w:val="0"/>
              <w:jc w:val="left"/>
              <w:rPr>
                <w:i w:val="0"/>
                <w:iCs w:val="0"/>
                <w:color w:val="auto"/>
                <w:sz w:val="21"/>
                <w:szCs w:val="21"/>
                <w:highlight w:val="none"/>
              </w:rPr>
            </w:pPr>
            <w:r>
              <w:rPr>
                <w:rFonts w:hint="eastAsia"/>
                <w:i w:val="0"/>
                <w:iCs w:val="0"/>
                <w:color w:val="auto"/>
                <w:sz w:val="21"/>
                <w:szCs w:val="21"/>
                <w:highlight w:val="none"/>
                <w:lang w:val="en-US"/>
              </w:rPr>
              <w:t>操作允许状态、开门命令、关门命令</w:t>
            </w:r>
          </w:p>
        </w:tc>
        <w:tc>
          <w:tcPr>
            <w:tcW w:w="1519" w:type="dxa"/>
            <w:vAlign w:val="center"/>
          </w:tcPr>
          <w:p w14:paraId="25924DA4">
            <w:pPr>
              <w:pStyle w:val="143"/>
              <w:bidi w:val="0"/>
              <w:rPr>
                <w:i w:val="0"/>
                <w:iCs w:val="0"/>
                <w:color w:val="auto"/>
                <w:sz w:val="21"/>
                <w:szCs w:val="21"/>
                <w:highlight w:val="none"/>
                <w:lang w:val="en-US"/>
              </w:rPr>
            </w:pPr>
          </w:p>
        </w:tc>
      </w:tr>
      <w:tr w14:paraId="2CA01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4055C0CF">
            <w:pPr>
              <w:pStyle w:val="143"/>
              <w:bidi w:val="0"/>
              <w:rPr>
                <w:i w:val="0"/>
                <w:iCs w:val="0"/>
                <w:color w:val="auto"/>
                <w:sz w:val="21"/>
                <w:szCs w:val="21"/>
                <w:highlight w:val="none"/>
                <w:lang w:val="en-US"/>
              </w:rPr>
            </w:pPr>
            <w:r>
              <w:rPr>
                <w:rFonts w:hint="eastAsia"/>
                <w:i w:val="0"/>
                <w:iCs w:val="0"/>
                <w:color w:val="auto"/>
                <w:sz w:val="21"/>
                <w:szCs w:val="21"/>
                <w:highlight w:val="none"/>
                <w:lang w:val="en-US"/>
              </w:rPr>
              <w:t>6</w:t>
            </w:r>
          </w:p>
        </w:tc>
        <w:tc>
          <w:tcPr>
            <w:tcW w:w="1356" w:type="dxa"/>
            <w:vAlign w:val="center"/>
          </w:tcPr>
          <w:p w14:paraId="538EAF86">
            <w:pPr>
              <w:pStyle w:val="143"/>
              <w:bidi w:val="0"/>
              <w:rPr>
                <w:i w:val="0"/>
                <w:iCs w:val="0"/>
                <w:color w:val="auto"/>
                <w:sz w:val="21"/>
                <w:szCs w:val="21"/>
                <w:highlight w:val="none"/>
                <w:lang w:val="en-US"/>
              </w:rPr>
            </w:pPr>
            <w:r>
              <w:rPr>
                <w:rFonts w:hint="eastAsia"/>
                <w:i w:val="0"/>
                <w:iCs w:val="0"/>
                <w:color w:val="auto"/>
                <w:sz w:val="21"/>
                <w:szCs w:val="21"/>
                <w:highlight w:val="none"/>
                <w:lang w:val="en-US"/>
              </w:rPr>
              <w:t>滑动门</w:t>
            </w:r>
          </w:p>
        </w:tc>
        <w:tc>
          <w:tcPr>
            <w:tcW w:w="4995" w:type="dxa"/>
            <w:vAlign w:val="center"/>
          </w:tcPr>
          <w:p w14:paraId="40B5BCE4">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开门命令、关门命令、门锁开关动作、门开到位、门关到位、安全回路状态等</w:t>
            </w:r>
          </w:p>
        </w:tc>
        <w:tc>
          <w:tcPr>
            <w:tcW w:w="1519" w:type="dxa"/>
            <w:vAlign w:val="center"/>
          </w:tcPr>
          <w:p w14:paraId="5206D273">
            <w:pPr>
              <w:pStyle w:val="143"/>
              <w:bidi w:val="0"/>
              <w:rPr>
                <w:i w:val="0"/>
                <w:iCs w:val="0"/>
                <w:color w:val="auto"/>
                <w:sz w:val="21"/>
                <w:szCs w:val="21"/>
                <w:highlight w:val="none"/>
                <w:lang w:val="en-US"/>
              </w:rPr>
            </w:pPr>
          </w:p>
        </w:tc>
      </w:tr>
      <w:tr w14:paraId="7FA09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75EADEFB">
            <w:pPr>
              <w:pStyle w:val="143"/>
              <w:bidi w:val="0"/>
              <w:rPr>
                <w:i w:val="0"/>
                <w:iCs w:val="0"/>
                <w:color w:val="auto"/>
                <w:sz w:val="21"/>
                <w:szCs w:val="21"/>
                <w:highlight w:val="none"/>
                <w:lang w:val="en-US"/>
              </w:rPr>
            </w:pPr>
            <w:r>
              <w:rPr>
                <w:rFonts w:hint="eastAsia"/>
                <w:i w:val="0"/>
                <w:iCs w:val="0"/>
                <w:color w:val="auto"/>
                <w:sz w:val="21"/>
                <w:szCs w:val="21"/>
                <w:highlight w:val="none"/>
                <w:lang w:val="en-US"/>
              </w:rPr>
              <w:t>7</w:t>
            </w:r>
          </w:p>
        </w:tc>
        <w:tc>
          <w:tcPr>
            <w:tcW w:w="1356" w:type="dxa"/>
            <w:vAlign w:val="center"/>
          </w:tcPr>
          <w:p w14:paraId="51F0AAAF">
            <w:pPr>
              <w:pStyle w:val="143"/>
              <w:bidi w:val="0"/>
              <w:rPr>
                <w:i w:val="0"/>
                <w:iCs w:val="0"/>
                <w:color w:val="auto"/>
                <w:sz w:val="21"/>
                <w:szCs w:val="21"/>
                <w:highlight w:val="none"/>
                <w:lang w:val="en-US"/>
              </w:rPr>
            </w:pPr>
            <w:r>
              <w:rPr>
                <w:rFonts w:hint="eastAsia"/>
                <w:i w:val="0"/>
                <w:iCs w:val="0"/>
                <w:color w:val="auto"/>
                <w:sz w:val="21"/>
                <w:szCs w:val="21"/>
                <w:highlight w:val="none"/>
                <w:lang w:val="en-US"/>
              </w:rPr>
              <w:t>LCB</w:t>
            </w:r>
          </w:p>
        </w:tc>
        <w:tc>
          <w:tcPr>
            <w:tcW w:w="4995" w:type="dxa"/>
            <w:vAlign w:val="center"/>
          </w:tcPr>
          <w:p w14:paraId="2861CD36">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手动模式、自动模式、隔离模式、手动开、手动关</w:t>
            </w:r>
          </w:p>
        </w:tc>
        <w:tc>
          <w:tcPr>
            <w:tcW w:w="1519" w:type="dxa"/>
            <w:vAlign w:val="center"/>
          </w:tcPr>
          <w:p w14:paraId="0F178428">
            <w:pPr>
              <w:pStyle w:val="143"/>
              <w:bidi w:val="0"/>
              <w:rPr>
                <w:i w:val="0"/>
                <w:iCs w:val="0"/>
                <w:color w:val="auto"/>
                <w:sz w:val="21"/>
                <w:szCs w:val="21"/>
                <w:highlight w:val="none"/>
                <w:lang w:val="en-US"/>
              </w:rPr>
            </w:pPr>
          </w:p>
        </w:tc>
      </w:tr>
      <w:tr w14:paraId="3ADA4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7B4AC477">
            <w:pPr>
              <w:pStyle w:val="143"/>
              <w:bidi w:val="0"/>
              <w:rPr>
                <w:i w:val="0"/>
                <w:iCs w:val="0"/>
                <w:color w:val="auto"/>
                <w:sz w:val="21"/>
                <w:szCs w:val="21"/>
                <w:highlight w:val="none"/>
                <w:lang w:val="en-US"/>
              </w:rPr>
            </w:pPr>
            <w:r>
              <w:rPr>
                <w:rFonts w:hint="eastAsia"/>
                <w:i w:val="0"/>
                <w:iCs w:val="0"/>
                <w:color w:val="auto"/>
                <w:sz w:val="21"/>
                <w:szCs w:val="21"/>
                <w:highlight w:val="none"/>
                <w:lang w:val="en-US"/>
              </w:rPr>
              <w:t>8</w:t>
            </w:r>
          </w:p>
        </w:tc>
        <w:tc>
          <w:tcPr>
            <w:tcW w:w="1356" w:type="dxa"/>
            <w:vAlign w:val="center"/>
          </w:tcPr>
          <w:p w14:paraId="7DCA9818">
            <w:pPr>
              <w:pStyle w:val="143"/>
              <w:bidi w:val="0"/>
              <w:rPr>
                <w:i w:val="0"/>
                <w:iCs w:val="0"/>
                <w:color w:val="auto"/>
                <w:sz w:val="21"/>
                <w:szCs w:val="21"/>
                <w:highlight w:val="none"/>
                <w:lang w:val="en-US"/>
              </w:rPr>
            </w:pPr>
            <w:r>
              <w:rPr>
                <w:rFonts w:hint="eastAsia"/>
                <w:i w:val="0"/>
                <w:iCs w:val="0"/>
                <w:color w:val="auto"/>
                <w:sz w:val="21"/>
                <w:szCs w:val="21"/>
                <w:highlight w:val="none"/>
                <w:lang w:val="en-US"/>
              </w:rPr>
              <w:t>应急门</w:t>
            </w:r>
          </w:p>
        </w:tc>
        <w:tc>
          <w:tcPr>
            <w:tcW w:w="4995" w:type="dxa"/>
            <w:vAlign w:val="center"/>
          </w:tcPr>
          <w:p w14:paraId="7B7306D2">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门开关状态</w:t>
            </w:r>
          </w:p>
        </w:tc>
        <w:tc>
          <w:tcPr>
            <w:tcW w:w="1519" w:type="dxa"/>
            <w:vAlign w:val="center"/>
          </w:tcPr>
          <w:p w14:paraId="48BD8BE0">
            <w:pPr>
              <w:pStyle w:val="143"/>
              <w:bidi w:val="0"/>
              <w:rPr>
                <w:i w:val="0"/>
                <w:iCs w:val="0"/>
                <w:color w:val="auto"/>
                <w:sz w:val="21"/>
                <w:szCs w:val="21"/>
                <w:highlight w:val="none"/>
                <w:lang w:val="en-US"/>
              </w:rPr>
            </w:pPr>
          </w:p>
        </w:tc>
      </w:tr>
      <w:tr w14:paraId="230F1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18E332B5">
            <w:pPr>
              <w:pStyle w:val="143"/>
              <w:bidi w:val="0"/>
              <w:rPr>
                <w:i w:val="0"/>
                <w:iCs w:val="0"/>
                <w:color w:val="auto"/>
                <w:sz w:val="21"/>
                <w:szCs w:val="21"/>
                <w:highlight w:val="none"/>
                <w:lang w:val="en-US"/>
              </w:rPr>
            </w:pPr>
            <w:r>
              <w:rPr>
                <w:rFonts w:hint="eastAsia"/>
                <w:i w:val="0"/>
                <w:iCs w:val="0"/>
                <w:color w:val="auto"/>
                <w:sz w:val="21"/>
                <w:szCs w:val="21"/>
                <w:highlight w:val="none"/>
                <w:lang w:val="en-US"/>
              </w:rPr>
              <w:t>9</w:t>
            </w:r>
          </w:p>
        </w:tc>
        <w:tc>
          <w:tcPr>
            <w:tcW w:w="1356" w:type="dxa"/>
            <w:vAlign w:val="center"/>
          </w:tcPr>
          <w:p w14:paraId="57ECAEDA">
            <w:pPr>
              <w:pStyle w:val="143"/>
              <w:bidi w:val="0"/>
              <w:rPr>
                <w:i w:val="0"/>
                <w:iCs w:val="0"/>
                <w:color w:val="auto"/>
                <w:sz w:val="21"/>
                <w:szCs w:val="21"/>
                <w:highlight w:val="none"/>
                <w:lang w:val="en-US"/>
              </w:rPr>
            </w:pPr>
            <w:r>
              <w:rPr>
                <w:rFonts w:hint="eastAsia"/>
                <w:i w:val="0"/>
                <w:iCs w:val="0"/>
                <w:color w:val="auto"/>
                <w:sz w:val="21"/>
                <w:szCs w:val="21"/>
                <w:highlight w:val="none"/>
                <w:lang w:val="en-US"/>
              </w:rPr>
              <w:t>端门</w:t>
            </w:r>
          </w:p>
        </w:tc>
        <w:tc>
          <w:tcPr>
            <w:tcW w:w="4995" w:type="dxa"/>
            <w:vAlign w:val="center"/>
          </w:tcPr>
          <w:p w14:paraId="11783E46">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未锁紧超时、门开关状态</w:t>
            </w:r>
          </w:p>
        </w:tc>
        <w:tc>
          <w:tcPr>
            <w:tcW w:w="1519" w:type="dxa"/>
            <w:vAlign w:val="center"/>
          </w:tcPr>
          <w:p w14:paraId="17BE0ED4">
            <w:pPr>
              <w:pStyle w:val="143"/>
              <w:bidi w:val="0"/>
              <w:rPr>
                <w:i w:val="0"/>
                <w:iCs w:val="0"/>
                <w:color w:val="auto"/>
                <w:sz w:val="21"/>
                <w:szCs w:val="21"/>
                <w:highlight w:val="none"/>
                <w:lang w:val="en-US"/>
              </w:rPr>
            </w:pPr>
          </w:p>
        </w:tc>
      </w:tr>
      <w:tr w14:paraId="42D60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74DD886B">
            <w:pPr>
              <w:pStyle w:val="143"/>
              <w:bidi w:val="0"/>
              <w:rPr>
                <w:i w:val="0"/>
                <w:iCs w:val="0"/>
                <w:color w:val="auto"/>
                <w:sz w:val="21"/>
                <w:szCs w:val="21"/>
                <w:highlight w:val="none"/>
                <w:lang w:val="en-US"/>
              </w:rPr>
            </w:pPr>
            <w:r>
              <w:rPr>
                <w:rFonts w:hint="eastAsia"/>
                <w:i w:val="0"/>
                <w:iCs w:val="0"/>
                <w:color w:val="auto"/>
                <w:sz w:val="21"/>
                <w:szCs w:val="21"/>
                <w:highlight w:val="none"/>
                <w:lang w:val="en-US"/>
              </w:rPr>
              <w:t>10</w:t>
            </w:r>
          </w:p>
        </w:tc>
        <w:tc>
          <w:tcPr>
            <w:tcW w:w="1356" w:type="dxa"/>
            <w:vAlign w:val="center"/>
          </w:tcPr>
          <w:p w14:paraId="08B1F807">
            <w:pPr>
              <w:pStyle w:val="143"/>
              <w:bidi w:val="0"/>
              <w:rPr>
                <w:i w:val="0"/>
                <w:iCs w:val="0"/>
                <w:color w:val="auto"/>
                <w:sz w:val="21"/>
                <w:szCs w:val="21"/>
                <w:highlight w:val="none"/>
                <w:lang w:val="en-US"/>
              </w:rPr>
            </w:pPr>
            <w:r>
              <w:rPr>
                <w:rFonts w:hint="eastAsia"/>
                <w:i w:val="0"/>
                <w:iCs w:val="0"/>
                <w:color w:val="auto"/>
                <w:sz w:val="21"/>
                <w:szCs w:val="21"/>
                <w:highlight w:val="none"/>
                <w:lang w:val="en-US"/>
              </w:rPr>
              <w:t>电源模块</w:t>
            </w:r>
          </w:p>
        </w:tc>
        <w:tc>
          <w:tcPr>
            <w:tcW w:w="4995" w:type="dxa"/>
            <w:vAlign w:val="center"/>
          </w:tcPr>
          <w:p w14:paraId="7E72BEBB">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主电源状态、驱动电源状态、控制电源状态</w:t>
            </w:r>
          </w:p>
        </w:tc>
        <w:tc>
          <w:tcPr>
            <w:tcW w:w="1519" w:type="dxa"/>
            <w:vAlign w:val="center"/>
          </w:tcPr>
          <w:p w14:paraId="7B91FA55">
            <w:pPr>
              <w:pStyle w:val="143"/>
              <w:bidi w:val="0"/>
              <w:rPr>
                <w:i w:val="0"/>
                <w:iCs w:val="0"/>
                <w:color w:val="auto"/>
                <w:sz w:val="21"/>
                <w:szCs w:val="21"/>
                <w:highlight w:val="none"/>
                <w:lang w:val="en-US"/>
              </w:rPr>
            </w:pPr>
          </w:p>
        </w:tc>
      </w:tr>
    </w:tbl>
    <w:p w14:paraId="2ABAEF09">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关键运行参数</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1"/>
        <w:gridCol w:w="1368"/>
        <w:gridCol w:w="5098"/>
        <w:gridCol w:w="1509"/>
      </w:tblGrid>
      <w:tr w14:paraId="2BC3D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1" w:type="dxa"/>
            <w:vAlign w:val="center"/>
          </w:tcPr>
          <w:p w14:paraId="0C21D739">
            <w:pPr>
              <w:pStyle w:val="143"/>
              <w:bidi w:val="0"/>
              <w:rPr>
                <w:i w:val="0"/>
                <w:iCs w:val="0"/>
                <w:color w:val="auto"/>
                <w:sz w:val="21"/>
                <w:szCs w:val="21"/>
                <w:highlight w:val="none"/>
                <w:lang w:val="en-US"/>
              </w:rPr>
            </w:pPr>
            <w:r>
              <w:rPr>
                <w:rFonts w:hint="eastAsia"/>
                <w:i w:val="0"/>
                <w:iCs w:val="0"/>
                <w:color w:val="auto"/>
                <w:sz w:val="21"/>
                <w:szCs w:val="21"/>
                <w:highlight w:val="none"/>
                <w:lang w:val="en-US"/>
              </w:rPr>
              <w:t>序号</w:t>
            </w:r>
          </w:p>
        </w:tc>
        <w:tc>
          <w:tcPr>
            <w:tcW w:w="1368" w:type="dxa"/>
            <w:vAlign w:val="center"/>
          </w:tcPr>
          <w:p w14:paraId="36FE8B39">
            <w:pPr>
              <w:pStyle w:val="143"/>
              <w:bidi w:val="0"/>
              <w:rPr>
                <w:i w:val="0"/>
                <w:iCs w:val="0"/>
                <w:color w:val="auto"/>
                <w:sz w:val="21"/>
                <w:szCs w:val="21"/>
                <w:highlight w:val="none"/>
                <w:lang w:val="en-US"/>
              </w:rPr>
            </w:pPr>
            <w:r>
              <w:rPr>
                <w:rFonts w:hint="eastAsia"/>
                <w:i w:val="0"/>
                <w:iCs w:val="0"/>
                <w:color w:val="auto"/>
                <w:sz w:val="21"/>
                <w:szCs w:val="21"/>
                <w:highlight w:val="none"/>
                <w:lang w:val="en-US"/>
              </w:rPr>
              <w:t>系统或部件</w:t>
            </w:r>
          </w:p>
        </w:tc>
        <w:tc>
          <w:tcPr>
            <w:tcW w:w="5098" w:type="dxa"/>
            <w:vAlign w:val="center"/>
          </w:tcPr>
          <w:p w14:paraId="099037BA">
            <w:pPr>
              <w:pStyle w:val="143"/>
              <w:bidi w:val="0"/>
              <w:rPr>
                <w:i w:val="0"/>
                <w:iCs w:val="0"/>
                <w:color w:val="auto"/>
                <w:sz w:val="21"/>
                <w:szCs w:val="21"/>
                <w:highlight w:val="none"/>
                <w:lang w:val="en-US"/>
              </w:rPr>
            </w:pPr>
            <w:r>
              <w:rPr>
                <w:rFonts w:hint="eastAsia"/>
                <w:i w:val="0"/>
                <w:iCs w:val="0"/>
                <w:color w:val="auto"/>
                <w:sz w:val="21"/>
                <w:szCs w:val="21"/>
                <w:highlight w:val="none"/>
                <w:lang w:val="en-US"/>
              </w:rPr>
              <w:t>采集内容</w:t>
            </w:r>
          </w:p>
        </w:tc>
        <w:tc>
          <w:tcPr>
            <w:tcW w:w="1509" w:type="dxa"/>
            <w:vAlign w:val="center"/>
          </w:tcPr>
          <w:p w14:paraId="62583893">
            <w:pPr>
              <w:pStyle w:val="143"/>
              <w:bidi w:val="0"/>
              <w:rPr>
                <w:rFonts w:hint="eastAsia" w:eastAsia="仿宋"/>
                <w:i w:val="0"/>
                <w:iCs w:val="0"/>
                <w:color w:val="auto"/>
                <w:sz w:val="21"/>
                <w:szCs w:val="21"/>
                <w:highlight w:val="none"/>
                <w:lang w:val="en-US" w:eastAsia="zh-CN"/>
              </w:rPr>
            </w:pPr>
            <w:r>
              <w:rPr>
                <w:rFonts w:hint="eastAsia"/>
                <w:i w:val="0"/>
                <w:iCs w:val="0"/>
                <w:color w:val="auto"/>
                <w:sz w:val="21"/>
                <w:szCs w:val="21"/>
                <w:highlight w:val="none"/>
                <w:lang w:val="en-US" w:eastAsia="zh-CN"/>
              </w:rPr>
              <w:t>备注</w:t>
            </w:r>
          </w:p>
        </w:tc>
      </w:tr>
      <w:tr w14:paraId="31B79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1" w:type="dxa"/>
            <w:vAlign w:val="center"/>
          </w:tcPr>
          <w:p w14:paraId="299DE4BA">
            <w:pPr>
              <w:pStyle w:val="143"/>
              <w:bidi w:val="0"/>
              <w:rPr>
                <w:i w:val="0"/>
                <w:iCs w:val="0"/>
                <w:color w:val="auto"/>
                <w:sz w:val="21"/>
                <w:szCs w:val="21"/>
                <w:highlight w:val="none"/>
                <w:lang w:val="en-US"/>
              </w:rPr>
            </w:pPr>
            <w:r>
              <w:rPr>
                <w:rFonts w:hint="eastAsia"/>
                <w:i w:val="0"/>
                <w:iCs w:val="0"/>
                <w:color w:val="auto"/>
                <w:sz w:val="21"/>
                <w:szCs w:val="21"/>
                <w:highlight w:val="none"/>
                <w:lang w:val="en-US"/>
              </w:rPr>
              <w:t>1</w:t>
            </w:r>
          </w:p>
        </w:tc>
        <w:tc>
          <w:tcPr>
            <w:tcW w:w="1368" w:type="dxa"/>
            <w:vMerge w:val="restart"/>
            <w:vAlign w:val="center"/>
          </w:tcPr>
          <w:p w14:paraId="42AC47E9">
            <w:pPr>
              <w:pStyle w:val="143"/>
              <w:bidi w:val="0"/>
              <w:rPr>
                <w:i w:val="0"/>
                <w:iCs w:val="0"/>
                <w:color w:val="auto"/>
                <w:sz w:val="21"/>
                <w:szCs w:val="21"/>
                <w:highlight w:val="none"/>
                <w:lang w:val="en-US"/>
              </w:rPr>
            </w:pPr>
            <w:r>
              <w:rPr>
                <w:rFonts w:hint="eastAsia"/>
                <w:i w:val="0"/>
                <w:iCs w:val="0"/>
                <w:color w:val="auto"/>
                <w:sz w:val="21"/>
                <w:szCs w:val="21"/>
                <w:highlight w:val="none"/>
                <w:lang w:val="en-US"/>
              </w:rPr>
              <w:t>滑动门电机</w:t>
            </w:r>
          </w:p>
        </w:tc>
        <w:tc>
          <w:tcPr>
            <w:tcW w:w="5098" w:type="dxa"/>
            <w:vAlign w:val="center"/>
          </w:tcPr>
          <w:p w14:paraId="72DCC4DE">
            <w:pPr>
              <w:pStyle w:val="143"/>
              <w:bidi w:val="0"/>
              <w:jc w:val="left"/>
              <w:rPr>
                <w:i w:val="0"/>
                <w:iCs w:val="0"/>
                <w:color w:val="auto"/>
                <w:sz w:val="21"/>
                <w:szCs w:val="21"/>
                <w:highlight w:val="none"/>
              </w:rPr>
            </w:pPr>
            <w:r>
              <w:rPr>
                <w:rFonts w:hint="eastAsia"/>
                <w:i w:val="0"/>
                <w:iCs w:val="0"/>
                <w:color w:val="auto"/>
                <w:sz w:val="21"/>
                <w:szCs w:val="21"/>
                <w:highlight w:val="none"/>
                <w:lang w:val="en-US"/>
              </w:rPr>
              <w:t>电流</w:t>
            </w:r>
          </w:p>
        </w:tc>
        <w:tc>
          <w:tcPr>
            <w:tcW w:w="1509" w:type="dxa"/>
            <w:vAlign w:val="center"/>
          </w:tcPr>
          <w:p w14:paraId="23E662A9">
            <w:pPr>
              <w:pStyle w:val="143"/>
              <w:bidi w:val="0"/>
              <w:rPr>
                <w:i w:val="0"/>
                <w:iCs w:val="0"/>
                <w:color w:val="auto"/>
                <w:sz w:val="21"/>
                <w:szCs w:val="21"/>
                <w:highlight w:val="none"/>
                <w:lang w:val="en-US"/>
              </w:rPr>
            </w:pPr>
          </w:p>
        </w:tc>
      </w:tr>
      <w:tr w14:paraId="1CFD8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1" w:type="dxa"/>
            <w:vAlign w:val="center"/>
          </w:tcPr>
          <w:p w14:paraId="3607A621">
            <w:pPr>
              <w:pStyle w:val="143"/>
              <w:bidi w:val="0"/>
              <w:rPr>
                <w:i w:val="0"/>
                <w:iCs w:val="0"/>
                <w:color w:val="auto"/>
                <w:sz w:val="21"/>
                <w:szCs w:val="21"/>
                <w:highlight w:val="none"/>
                <w:lang w:val="en-US"/>
              </w:rPr>
            </w:pPr>
            <w:r>
              <w:rPr>
                <w:rFonts w:hint="eastAsia"/>
                <w:i w:val="0"/>
                <w:iCs w:val="0"/>
                <w:color w:val="auto"/>
                <w:sz w:val="21"/>
                <w:szCs w:val="21"/>
                <w:highlight w:val="none"/>
                <w:lang w:val="en-US"/>
              </w:rPr>
              <w:t>2</w:t>
            </w:r>
          </w:p>
        </w:tc>
        <w:tc>
          <w:tcPr>
            <w:tcW w:w="1368" w:type="dxa"/>
            <w:vMerge w:val="continue"/>
            <w:vAlign w:val="center"/>
          </w:tcPr>
          <w:p w14:paraId="2E07DDDF">
            <w:pPr>
              <w:pStyle w:val="143"/>
              <w:bidi w:val="0"/>
              <w:rPr>
                <w:i w:val="0"/>
                <w:iCs w:val="0"/>
                <w:color w:val="auto"/>
                <w:sz w:val="21"/>
                <w:szCs w:val="21"/>
                <w:highlight w:val="none"/>
                <w:lang w:val="en-US"/>
              </w:rPr>
            </w:pPr>
          </w:p>
        </w:tc>
        <w:tc>
          <w:tcPr>
            <w:tcW w:w="5098" w:type="dxa"/>
            <w:vAlign w:val="center"/>
          </w:tcPr>
          <w:p w14:paraId="72ECBBE9">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编码数</w:t>
            </w:r>
          </w:p>
        </w:tc>
        <w:tc>
          <w:tcPr>
            <w:tcW w:w="1509" w:type="dxa"/>
            <w:vAlign w:val="center"/>
          </w:tcPr>
          <w:p w14:paraId="57144175">
            <w:pPr>
              <w:pStyle w:val="143"/>
              <w:bidi w:val="0"/>
              <w:rPr>
                <w:i w:val="0"/>
                <w:iCs w:val="0"/>
                <w:color w:val="auto"/>
                <w:sz w:val="21"/>
                <w:szCs w:val="21"/>
                <w:highlight w:val="none"/>
                <w:lang w:val="en-US"/>
              </w:rPr>
            </w:pPr>
          </w:p>
        </w:tc>
      </w:tr>
      <w:tr w14:paraId="21DC8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1" w:type="dxa"/>
            <w:vAlign w:val="center"/>
          </w:tcPr>
          <w:p w14:paraId="7C9EA8D1">
            <w:pPr>
              <w:pStyle w:val="143"/>
              <w:bidi w:val="0"/>
              <w:rPr>
                <w:i w:val="0"/>
                <w:iCs w:val="0"/>
                <w:color w:val="auto"/>
                <w:sz w:val="21"/>
                <w:szCs w:val="21"/>
                <w:highlight w:val="none"/>
                <w:lang w:val="en-US"/>
              </w:rPr>
            </w:pPr>
            <w:r>
              <w:rPr>
                <w:rFonts w:hint="eastAsia"/>
                <w:i w:val="0"/>
                <w:iCs w:val="0"/>
                <w:color w:val="auto"/>
                <w:sz w:val="21"/>
                <w:szCs w:val="21"/>
                <w:highlight w:val="none"/>
                <w:lang w:val="en-US"/>
              </w:rPr>
              <w:t>3</w:t>
            </w:r>
          </w:p>
        </w:tc>
        <w:tc>
          <w:tcPr>
            <w:tcW w:w="1368" w:type="dxa"/>
            <w:vAlign w:val="center"/>
          </w:tcPr>
          <w:p w14:paraId="1A8D9A8B">
            <w:pPr>
              <w:pStyle w:val="143"/>
              <w:bidi w:val="0"/>
              <w:rPr>
                <w:i w:val="0"/>
                <w:iCs w:val="0"/>
                <w:color w:val="auto"/>
                <w:sz w:val="21"/>
                <w:szCs w:val="21"/>
                <w:highlight w:val="none"/>
                <w:lang w:val="en-US"/>
              </w:rPr>
            </w:pPr>
            <w:r>
              <w:rPr>
                <w:rFonts w:hint="eastAsia"/>
                <w:i w:val="0"/>
                <w:iCs w:val="0"/>
                <w:color w:val="auto"/>
                <w:sz w:val="21"/>
                <w:szCs w:val="21"/>
                <w:highlight w:val="none"/>
                <w:lang w:val="en-US"/>
              </w:rPr>
              <w:t>驱动电源柜</w:t>
            </w:r>
          </w:p>
        </w:tc>
        <w:tc>
          <w:tcPr>
            <w:tcW w:w="5098" w:type="dxa"/>
            <w:vAlign w:val="center"/>
          </w:tcPr>
          <w:p w14:paraId="1460E8E3">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输入电源三相电压、驱动电池电流电压、驱动母线电流电压、充电模块电流电压、供电模块电流电压</w:t>
            </w:r>
          </w:p>
        </w:tc>
        <w:tc>
          <w:tcPr>
            <w:tcW w:w="1509" w:type="dxa"/>
            <w:vAlign w:val="center"/>
          </w:tcPr>
          <w:p w14:paraId="4BD5269F">
            <w:pPr>
              <w:pStyle w:val="143"/>
              <w:bidi w:val="0"/>
              <w:rPr>
                <w:i w:val="0"/>
                <w:iCs w:val="0"/>
                <w:color w:val="auto"/>
                <w:sz w:val="21"/>
                <w:szCs w:val="21"/>
                <w:highlight w:val="none"/>
                <w:lang w:val="en-US"/>
              </w:rPr>
            </w:pPr>
          </w:p>
        </w:tc>
      </w:tr>
      <w:tr w14:paraId="521AC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1" w:type="dxa"/>
            <w:vAlign w:val="center"/>
          </w:tcPr>
          <w:p w14:paraId="07624532">
            <w:pPr>
              <w:pStyle w:val="143"/>
              <w:bidi w:val="0"/>
              <w:rPr>
                <w:i w:val="0"/>
                <w:iCs w:val="0"/>
                <w:color w:val="auto"/>
                <w:sz w:val="21"/>
                <w:szCs w:val="21"/>
                <w:highlight w:val="none"/>
                <w:lang w:val="en-US"/>
              </w:rPr>
            </w:pPr>
            <w:r>
              <w:rPr>
                <w:rFonts w:hint="eastAsia"/>
                <w:i w:val="0"/>
                <w:iCs w:val="0"/>
                <w:color w:val="auto"/>
                <w:sz w:val="21"/>
                <w:szCs w:val="21"/>
                <w:highlight w:val="none"/>
                <w:lang w:val="en-US"/>
              </w:rPr>
              <w:t>4</w:t>
            </w:r>
          </w:p>
        </w:tc>
        <w:tc>
          <w:tcPr>
            <w:tcW w:w="1368" w:type="dxa"/>
            <w:vAlign w:val="center"/>
          </w:tcPr>
          <w:p w14:paraId="71DFAA5C">
            <w:pPr>
              <w:pStyle w:val="143"/>
              <w:bidi w:val="0"/>
              <w:rPr>
                <w:i w:val="0"/>
                <w:iCs w:val="0"/>
                <w:color w:val="auto"/>
                <w:sz w:val="21"/>
                <w:szCs w:val="21"/>
                <w:highlight w:val="none"/>
                <w:lang w:val="en-US"/>
              </w:rPr>
            </w:pPr>
            <w:r>
              <w:rPr>
                <w:rFonts w:hint="eastAsia"/>
                <w:i w:val="0"/>
                <w:iCs w:val="0"/>
                <w:color w:val="auto"/>
                <w:sz w:val="21"/>
                <w:szCs w:val="21"/>
                <w:highlight w:val="none"/>
                <w:lang w:val="en-US"/>
              </w:rPr>
              <w:t>控制电源柜</w:t>
            </w:r>
          </w:p>
        </w:tc>
        <w:tc>
          <w:tcPr>
            <w:tcW w:w="5098" w:type="dxa"/>
            <w:vAlign w:val="center"/>
          </w:tcPr>
          <w:p w14:paraId="1CF4C4D3">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输入电源三相电压、控制电池电流电压、控制母线电流电压、控制整流模块电流电压</w:t>
            </w:r>
          </w:p>
        </w:tc>
        <w:tc>
          <w:tcPr>
            <w:tcW w:w="1509" w:type="dxa"/>
            <w:vAlign w:val="center"/>
          </w:tcPr>
          <w:p w14:paraId="55C79578">
            <w:pPr>
              <w:pStyle w:val="143"/>
              <w:bidi w:val="0"/>
              <w:rPr>
                <w:i w:val="0"/>
                <w:iCs w:val="0"/>
                <w:color w:val="auto"/>
                <w:sz w:val="21"/>
                <w:szCs w:val="21"/>
                <w:highlight w:val="none"/>
                <w:lang w:val="en-US"/>
              </w:rPr>
            </w:pPr>
          </w:p>
        </w:tc>
      </w:tr>
      <w:tr w14:paraId="1723E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1" w:type="dxa"/>
            <w:vAlign w:val="center"/>
          </w:tcPr>
          <w:p w14:paraId="06049BBC">
            <w:pPr>
              <w:pStyle w:val="143"/>
              <w:bidi w:val="0"/>
              <w:rPr>
                <w:i w:val="0"/>
                <w:iCs w:val="0"/>
                <w:color w:val="auto"/>
                <w:sz w:val="21"/>
                <w:szCs w:val="21"/>
                <w:highlight w:val="none"/>
                <w:lang w:val="en-US"/>
              </w:rPr>
            </w:pPr>
            <w:r>
              <w:rPr>
                <w:rFonts w:hint="eastAsia"/>
                <w:i w:val="0"/>
                <w:iCs w:val="0"/>
                <w:color w:val="auto"/>
                <w:sz w:val="21"/>
                <w:szCs w:val="21"/>
                <w:highlight w:val="none"/>
                <w:lang w:val="en-US"/>
              </w:rPr>
              <w:t>5</w:t>
            </w:r>
          </w:p>
        </w:tc>
        <w:tc>
          <w:tcPr>
            <w:tcW w:w="1368" w:type="dxa"/>
            <w:vAlign w:val="center"/>
          </w:tcPr>
          <w:p w14:paraId="6843D4FE">
            <w:pPr>
              <w:pStyle w:val="143"/>
              <w:bidi w:val="0"/>
              <w:rPr>
                <w:i w:val="0"/>
                <w:iCs w:val="0"/>
                <w:color w:val="auto"/>
                <w:sz w:val="21"/>
                <w:szCs w:val="21"/>
                <w:highlight w:val="none"/>
                <w:lang w:val="en-US"/>
              </w:rPr>
            </w:pPr>
            <w:r>
              <w:rPr>
                <w:rFonts w:hint="eastAsia"/>
                <w:i w:val="0"/>
                <w:iCs w:val="0"/>
                <w:color w:val="auto"/>
                <w:sz w:val="21"/>
                <w:szCs w:val="21"/>
                <w:highlight w:val="none"/>
                <w:lang w:val="en-US"/>
              </w:rPr>
              <w:t>蓄电池柜</w:t>
            </w:r>
          </w:p>
        </w:tc>
        <w:tc>
          <w:tcPr>
            <w:tcW w:w="5098" w:type="dxa"/>
            <w:vAlign w:val="center"/>
          </w:tcPr>
          <w:p w14:paraId="47347ED3">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驱动电池电压、控制电池电压</w:t>
            </w:r>
          </w:p>
        </w:tc>
        <w:tc>
          <w:tcPr>
            <w:tcW w:w="1509" w:type="dxa"/>
            <w:vAlign w:val="center"/>
          </w:tcPr>
          <w:p w14:paraId="76992178">
            <w:pPr>
              <w:pStyle w:val="143"/>
              <w:bidi w:val="0"/>
              <w:rPr>
                <w:i w:val="0"/>
                <w:iCs w:val="0"/>
                <w:color w:val="auto"/>
                <w:sz w:val="21"/>
                <w:szCs w:val="21"/>
                <w:highlight w:val="none"/>
                <w:lang w:val="en-US"/>
              </w:rPr>
            </w:pPr>
          </w:p>
        </w:tc>
      </w:tr>
    </w:tbl>
    <w:p w14:paraId="3492A962">
      <w:pPr>
        <w:pStyle w:val="142"/>
        <w:ind w:firstLine="420"/>
        <w:rPr>
          <w:rFonts w:hint="default"/>
          <w:i w:val="0"/>
          <w:iCs w:val="0"/>
          <w:color w:val="auto"/>
          <w:sz w:val="21"/>
          <w:szCs w:val="15"/>
          <w:highlight w:val="none"/>
          <w:lang w:val="en-US" w:eastAsia="zh-CN"/>
        </w:rPr>
      </w:pPr>
    </w:p>
    <w:p w14:paraId="6F8258DA">
      <w:pPr>
        <w:pStyle w:val="5"/>
        <w:ind w:left="0"/>
        <w:rPr>
          <w:rFonts w:hint="eastAsia"/>
          <w:i w:val="0"/>
          <w:iCs w:val="0"/>
          <w:color w:val="auto"/>
          <w:sz w:val="22"/>
          <w:szCs w:val="22"/>
          <w:highlight w:val="none"/>
          <w:lang w:val="en-US"/>
        </w:rPr>
      </w:pPr>
      <w:bookmarkStart w:id="175" w:name="_Toc18416"/>
      <w:r>
        <w:rPr>
          <w:rFonts w:hint="eastAsia"/>
          <w:i w:val="0"/>
          <w:iCs w:val="0"/>
          <w:color w:val="auto"/>
          <w:sz w:val="22"/>
          <w:szCs w:val="22"/>
          <w:highlight w:val="none"/>
          <w:lang w:val="en-US"/>
        </w:rPr>
        <w:t>系统</w:t>
      </w:r>
      <w:r>
        <w:rPr>
          <w:rFonts w:hint="eastAsia"/>
          <w:i w:val="0"/>
          <w:iCs w:val="0"/>
          <w:color w:val="auto"/>
          <w:sz w:val="22"/>
          <w:szCs w:val="22"/>
          <w:highlight w:val="none"/>
          <w:lang w:val="en-US" w:eastAsia="zh-CN"/>
        </w:rPr>
        <w:t>功能</w:t>
      </w:r>
      <w:bookmarkEnd w:id="175"/>
    </w:p>
    <w:p w14:paraId="769791DD">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线路</w:t>
      </w:r>
      <w:r>
        <w:rPr>
          <w:rFonts w:hint="eastAsia"/>
          <w:i w:val="0"/>
          <w:iCs w:val="0"/>
          <w:color w:val="auto"/>
          <w:sz w:val="21"/>
          <w:szCs w:val="21"/>
          <w:highlight w:val="none"/>
          <w:lang w:val="en-US" w:eastAsia="zh-CN"/>
        </w:rPr>
        <w:t>级功能</w:t>
      </w:r>
    </w:p>
    <w:p w14:paraId="2FC3B01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站台门智能运维系统线路级为用户提供全面、直观的线路整体监测与运维管理管理功能。</w:t>
      </w:r>
    </w:p>
    <w:p w14:paraId="01463B7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中心的线路图以可视化方式展示整条线路的站点分布情况，支持缩放、拖拽等交互操作，帮助用户直观查看线路整体布局和站点位置。点击站点可查看详细信息，包括站点名称、设备数量、站点状态等。当某站点发生报警时，站点图标会以红色闪烁提示，并显示报警数量，提醒维护人员进行处置；当某站点存在预警时，站点图标会以橙色闪烁提示，并显示预警数量，提醒维护人员进行关注，评估是否需要前往现场消除隐患。</w:t>
      </w:r>
    </w:p>
    <w:p w14:paraId="55852D8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站台门智能运维应具备线路总览界面，具体界面设计在设计联络确认，系统应支持界面四周和底部设置多种功能挂件，可支持用户自定义和选配，包括不限于以下内容：</w:t>
      </w:r>
    </w:p>
    <w:p w14:paraId="712FDF4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实时报/预警统计：显示当前线路的报报/预警总数和各级报警的数量，帮助用户掌握当前报警的整体情况。</w:t>
      </w:r>
    </w:p>
    <w:p w14:paraId="54961EE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报/预警趋势统计：以折线图形式展示最近一段时间（可筛选7天、30天等）的报警和预警数量变化趋势，分析报警/预警的变化规律，为维修周期调整提供参考依据。</w:t>
      </w:r>
    </w:p>
    <w:p w14:paraId="1E2B877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报警类型TOP5排名：列出当前线路中报警数量最多的前5种报警类型及其占比，帮助用户识别高频报警类型及设备部件，找出通用问题和部件批次问题。</w:t>
      </w:r>
    </w:p>
    <w:p w14:paraId="06F89F0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报警设备TOP5排名：列出当前线路中报警次数最多的前5台设备及其报警数量，用户可将故障频发的滑动门设备标注为重点关注，优先或进行针对性维护。</w:t>
      </w:r>
    </w:p>
    <w:p w14:paraId="0AF964E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报警恢复情况：显示已处理报警的数量和未处理报警的数量，给出平均恢复时间，评估运维处置效率。</w:t>
      </w:r>
    </w:p>
    <w:p w14:paraId="39EA5AE0">
      <w:pPr>
        <w:pStyle w:val="142"/>
        <w:ind w:firstLine="420"/>
        <w:rPr>
          <w:rFonts w:hint="default"/>
          <w:i w:val="0"/>
          <w:iCs w:val="0"/>
          <w:color w:val="auto"/>
          <w:sz w:val="21"/>
          <w:szCs w:val="15"/>
          <w:highlight w:val="none"/>
          <w:lang w:val="en-US" w:eastAsia="zh-CN"/>
        </w:rPr>
      </w:pPr>
      <w:r>
        <w:rPr>
          <w:rFonts w:hint="eastAsia"/>
          <w:i w:val="0"/>
          <w:iCs w:val="0"/>
          <w:color w:val="auto"/>
          <w:sz w:val="21"/>
          <w:szCs w:val="15"/>
          <w:highlight w:val="none"/>
          <w:lang w:val="en-US" w:eastAsia="zh-CN"/>
        </w:rPr>
        <w:t>站台门智能运维系统在黄梨路车辆段综合楼5楼设置中心级工作站，完成站台门智能运维信息集中展示和查询功能，工作站具体安装位置在设计联络阶段确定。</w:t>
      </w:r>
    </w:p>
    <w:p w14:paraId="1CA09C7B">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车站</w:t>
      </w:r>
      <w:r>
        <w:rPr>
          <w:rFonts w:hint="eastAsia"/>
          <w:i w:val="0"/>
          <w:iCs w:val="0"/>
          <w:color w:val="auto"/>
          <w:sz w:val="21"/>
          <w:szCs w:val="21"/>
          <w:highlight w:val="none"/>
          <w:lang w:val="en-US" w:eastAsia="zh-CN"/>
        </w:rPr>
        <w:t>级功能</w:t>
      </w:r>
    </w:p>
    <w:p w14:paraId="589FD4C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在线路级界面点击车站，进入站台门智能运维车站总览界面，具体界面设计在设计联络确认。系统可查看对应车站的滑动门、应急门、站台端门等设备运行状态，以及车站关键接口指令、按钮指令等状态等。</w:t>
      </w:r>
    </w:p>
    <w:p w14:paraId="48AA0E32">
      <w:pPr>
        <w:spacing w:line="360" w:lineRule="auto"/>
        <w:ind w:firstLine="420" w:firstLineChars="200"/>
        <w:rPr>
          <w:i w:val="0"/>
          <w:iCs w:val="0"/>
          <w:color w:val="auto"/>
          <w:sz w:val="21"/>
          <w:szCs w:val="15"/>
          <w:highlight w:val="none"/>
        </w:rPr>
      </w:pPr>
      <w:r>
        <w:rPr>
          <w:rFonts w:hint="eastAsia"/>
          <w:i w:val="0"/>
          <w:iCs w:val="0"/>
          <w:color w:val="auto"/>
          <w:sz w:val="21"/>
          <w:szCs w:val="15"/>
          <w:highlight w:val="none"/>
        </w:rPr>
        <w:t xml:space="preserve">  </w:t>
      </w:r>
      <w:r>
        <w:rPr>
          <w:rFonts w:hint="eastAsia" w:ascii="Times New Roman" w:hAnsi="Times New Roman" w:eastAsia="仿宋" w:cs="Times New Roman"/>
          <w:i w:val="0"/>
          <w:iCs w:val="0"/>
          <w:color w:val="auto"/>
          <w:kern w:val="2"/>
          <w:sz w:val="21"/>
          <w:szCs w:val="15"/>
          <w:highlight w:val="none"/>
          <w:lang w:val="en-US" w:eastAsia="zh-CN" w:bidi="ar-SA"/>
        </w:rPr>
        <w:t>站台门车站监测内容包括不限于以下内容：</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1290"/>
        <w:gridCol w:w="6484"/>
      </w:tblGrid>
      <w:tr w14:paraId="40EBC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683" w:type="dxa"/>
            <w:vAlign w:val="center"/>
          </w:tcPr>
          <w:p w14:paraId="0F10CC3D">
            <w:pPr>
              <w:pStyle w:val="143"/>
              <w:bidi w:val="0"/>
              <w:rPr>
                <w:i w:val="0"/>
                <w:iCs w:val="0"/>
                <w:color w:val="auto"/>
                <w:sz w:val="21"/>
                <w:szCs w:val="21"/>
                <w:highlight w:val="none"/>
                <w:lang w:val="en-US"/>
              </w:rPr>
            </w:pPr>
            <w:r>
              <w:rPr>
                <w:rFonts w:hint="eastAsia"/>
                <w:i w:val="0"/>
                <w:iCs w:val="0"/>
                <w:color w:val="auto"/>
                <w:sz w:val="21"/>
                <w:szCs w:val="21"/>
                <w:highlight w:val="none"/>
                <w:lang w:val="en-US"/>
              </w:rPr>
              <w:t>序号</w:t>
            </w:r>
          </w:p>
        </w:tc>
        <w:tc>
          <w:tcPr>
            <w:tcW w:w="1290" w:type="dxa"/>
            <w:vAlign w:val="center"/>
          </w:tcPr>
          <w:p w14:paraId="1277F2AA">
            <w:pPr>
              <w:pStyle w:val="143"/>
              <w:bidi w:val="0"/>
              <w:rPr>
                <w:i w:val="0"/>
                <w:iCs w:val="0"/>
                <w:color w:val="auto"/>
                <w:sz w:val="21"/>
                <w:szCs w:val="21"/>
                <w:highlight w:val="none"/>
                <w:lang w:val="en-US"/>
              </w:rPr>
            </w:pPr>
            <w:r>
              <w:rPr>
                <w:rFonts w:hint="eastAsia"/>
                <w:i w:val="0"/>
                <w:iCs w:val="0"/>
                <w:color w:val="auto"/>
                <w:sz w:val="21"/>
                <w:szCs w:val="21"/>
                <w:highlight w:val="none"/>
                <w:lang w:val="en-US"/>
              </w:rPr>
              <w:t>系统或部件</w:t>
            </w:r>
          </w:p>
        </w:tc>
        <w:tc>
          <w:tcPr>
            <w:tcW w:w="6484" w:type="dxa"/>
            <w:vAlign w:val="center"/>
          </w:tcPr>
          <w:p w14:paraId="1EA52792">
            <w:pPr>
              <w:pStyle w:val="143"/>
              <w:bidi w:val="0"/>
              <w:rPr>
                <w:i w:val="0"/>
                <w:iCs w:val="0"/>
                <w:color w:val="auto"/>
                <w:sz w:val="21"/>
                <w:szCs w:val="21"/>
                <w:highlight w:val="none"/>
                <w:lang w:val="en-US"/>
              </w:rPr>
            </w:pPr>
            <w:r>
              <w:rPr>
                <w:rFonts w:hint="eastAsia"/>
                <w:i w:val="0"/>
                <w:iCs w:val="0"/>
                <w:color w:val="auto"/>
                <w:sz w:val="21"/>
                <w:szCs w:val="21"/>
                <w:highlight w:val="none"/>
                <w:lang w:val="en-US"/>
              </w:rPr>
              <w:t>监测内容</w:t>
            </w:r>
          </w:p>
        </w:tc>
      </w:tr>
      <w:tr w14:paraId="271F8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center"/>
          </w:tcPr>
          <w:p w14:paraId="31554326">
            <w:pPr>
              <w:pStyle w:val="143"/>
              <w:bidi w:val="0"/>
              <w:rPr>
                <w:i w:val="0"/>
                <w:iCs w:val="0"/>
                <w:color w:val="auto"/>
                <w:sz w:val="21"/>
                <w:szCs w:val="21"/>
                <w:highlight w:val="none"/>
                <w:lang w:val="en-US"/>
              </w:rPr>
            </w:pPr>
            <w:r>
              <w:rPr>
                <w:rFonts w:hint="eastAsia"/>
                <w:i w:val="0"/>
                <w:iCs w:val="0"/>
                <w:color w:val="auto"/>
                <w:sz w:val="21"/>
                <w:szCs w:val="21"/>
                <w:highlight w:val="none"/>
                <w:lang w:val="en-US"/>
              </w:rPr>
              <w:t>1</w:t>
            </w:r>
          </w:p>
        </w:tc>
        <w:tc>
          <w:tcPr>
            <w:tcW w:w="1290" w:type="dxa"/>
            <w:vAlign w:val="center"/>
          </w:tcPr>
          <w:p w14:paraId="2EFDDBFA">
            <w:pPr>
              <w:pStyle w:val="143"/>
              <w:bidi w:val="0"/>
              <w:rPr>
                <w:i w:val="0"/>
                <w:iCs w:val="0"/>
                <w:color w:val="auto"/>
                <w:sz w:val="21"/>
                <w:szCs w:val="21"/>
                <w:highlight w:val="none"/>
                <w:lang w:val="en-US"/>
              </w:rPr>
            </w:pPr>
            <w:r>
              <w:rPr>
                <w:rFonts w:hint="eastAsia"/>
                <w:i w:val="0"/>
                <w:iCs w:val="0"/>
                <w:color w:val="auto"/>
                <w:sz w:val="21"/>
                <w:szCs w:val="21"/>
                <w:highlight w:val="none"/>
                <w:lang w:val="en-US"/>
              </w:rPr>
              <w:t>门体</w:t>
            </w:r>
          </w:p>
        </w:tc>
        <w:tc>
          <w:tcPr>
            <w:tcW w:w="6484" w:type="dxa"/>
            <w:vAlign w:val="center"/>
          </w:tcPr>
          <w:p w14:paraId="5BECD11F">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门体位移、门阻</w:t>
            </w:r>
          </w:p>
        </w:tc>
      </w:tr>
      <w:tr w14:paraId="7C4C2C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center"/>
          </w:tcPr>
          <w:p w14:paraId="7EAAAEC6">
            <w:pPr>
              <w:pStyle w:val="143"/>
              <w:bidi w:val="0"/>
              <w:rPr>
                <w:i w:val="0"/>
                <w:iCs w:val="0"/>
                <w:color w:val="auto"/>
                <w:sz w:val="21"/>
                <w:szCs w:val="21"/>
                <w:highlight w:val="none"/>
                <w:lang w:val="en-US"/>
              </w:rPr>
            </w:pPr>
            <w:r>
              <w:rPr>
                <w:rFonts w:hint="eastAsia"/>
                <w:i w:val="0"/>
                <w:iCs w:val="0"/>
                <w:color w:val="auto"/>
                <w:sz w:val="21"/>
                <w:szCs w:val="21"/>
                <w:highlight w:val="none"/>
                <w:lang w:val="en-US"/>
              </w:rPr>
              <w:t>2</w:t>
            </w:r>
          </w:p>
        </w:tc>
        <w:tc>
          <w:tcPr>
            <w:tcW w:w="1290" w:type="dxa"/>
            <w:vAlign w:val="center"/>
          </w:tcPr>
          <w:p w14:paraId="74FFDA90">
            <w:pPr>
              <w:pStyle w:val="143"/>
              <w:bidi w:val="0"/>
              <w:rPr>
                <w:i w:val="0"/>
                <w:iCs w:val="0"/>
                <w:color w:val="auto"/>
                <w:sz w:val="21"/>
                <w:szCs w:val="21"/>
                <w:highlight w:val="none"/>
                <w:lang w:val="en-US"/>
              </w:rPr>
            </w:pPr>
            <w:r>
              <w:rPr>
                <w:rFonts w:hint="eastAsia"/>
                <w:i w:val="0"/>
                <w:iCs w:val="0"/>
                <w:color w:val="auto"/>
                <w:sz w:val="21"/>
                <w:szCs w:val="21"/>
                <w:highlight w:val="none"/>
                <w:lang w:val="en-US"/>
              </w:rPr>
              <w:t>电磁锁</w:t>
            </w:r>
          </w:p>
        </w:tc>
        <w:tc>
          <w:tcPr>
            <w:tcW w:w="6484" w:type="dxa"/>
            <w:vAlign w:val="center"/>
          </w:tcPr>
          <w:p w14:paraId="1670B13D">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行程开关</w:t>
            </w:r>
          </w:p>
        </w:tc>
      </w:tr>
      <w:tr w14:paraId="79001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center"/>
          </w:tcPr>
          <w:p w14:paraId="11514571">
            <w:pPr>
              <w:pStyle w:val="143"/>
              <w:bidi w:val="0"/>
              <w:rPr>
                <w:i w:val="0"/>
                <w:iCs w:val="0"/>
                <w:color w:val="auto"/>
                <w:sz w:val="21"/>
                <w:szCs w:val="21"/>
                <w:highlight w:val="none"/>
                <w:lang w:val="en-US"/>
              </w:rPr>
            </w:pPr>
            <w:r>
              <w:rPr>
                <w:rFonts w:hint="eastAsia"/>
                <w:i w:val="0"/>
                <w:iCs w:val="0"/>
                <w:color w:val="auto"/>
                <w:sz w:val="21"/>
                <w:szCs w:val="21"/>
                <w:highlight w:val="none"/>
                <w:lang w:val="en-US"/>
              </w:rPr>
              <w:t>3</w:t>
            </w:r>
          </w:p>
        </w:tc>
        <w:tc>
          <w:tcPr>
            <w:tcW w:w="1290" w:type="dxa"/>
            <w:vAlign w:val="center"/>
          </w:tcPr>
          <w:p w14:paraId="75E1ACA1">
            <w:pPr>
              <w:pStyle w:val="143"/>
              <w:bidi w:val="0"/>
              <w:rPr>
                <w:i w:val="0"/>
                <w:iCs w:val="0"/>
                <w:color w:val="auto"/>
                <w:sz w:val="21"/>
                <w:szCs w:val="21"/>
                <w:highlight w:val="none"/>
                <w:lang w:val="en-US"/>
              </w:rPr>
            </w:pPr>
            <w:r>
              <w:rPr>
                <w:rFonts w:hint="eastAsia"/>
                <w:i w:val="0"/>
                <w:iCs w:val="0"/>
                <w:color w:val="auto"/>
                <w:sz w:val="21"/>
                <w:szCs w:val="21"/>
                <w:highlight w:val="none"/>
                <w:lang w:val="en-US"/>
              </w:rPr>
              <w:t>电源模块</w:t>
            </w:r>
          </w:p>
        </w:tc>
        <w:tc>
          <w:tcPr>
            <w:tcW w:w="6484" w:type="dxa"/>
            <w:vAlign w:val="center"/>
          </w:tcPr>
          <w:p w14:paraId="6DA89F9C">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三相电压、驱动电流、驱动电流、控制电压、控制电流、蓄电池电压</w:t>
            </w:r>
          </w:p>
        </w:tc>
      </w:tr>
      <w:tr w14:paraId="2D3D9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center"/>
          </w:tcPr>
          <w:p w14:paraId="14B52267">
            <w:pPr>
              <w:pStyle w:val="143"/>
              <w:bidi w:val="0"/>
              <w:rPr>
                <w:i w:val="0"/>
                <w:iCs w:val="0"/>
                <w:color w:val="auto"/>
                <w:sz w:val="21"/>
                <w:szCs w:val="21"/>
                <w:highlight w:val="none"/>
                <w:lang w:val="en-US"/>
              </w:rPr>
            </w:pPr>
            <w:r>
              <w:rPr>
                <w:rFonts w:hint="eastAsia"/>
                <w:i w:val="0"/>
                <w:iCs w:val="0"/>
                <w:color w:val="auto"/>
                <w:sz w:val="21"/>
                <w:szCs w:val="21"/>
                <w:highlight w:val="none"/>
                <w:lang w:val="en-US"/>
              </w:rPr>
              <w:t>4</w:t>
            </w:r>
          </w:p>
        </w:tc>
        <w:tc>
          <w:tcPr>
            <w:tcW w:w="1290" w:type="dxa"/>
            <w:vAlign w:val="center"/>
          </w:tcPr>
          <w:p w14:paraId="03F57EB2">
            <w:pPr>
              <w:pStyle w:val="143"/>
              <w:bidi w:val="0"/>
              <w:rPr>
                <w:i w:val="0"/>
                <w:iCs w:val="0"/>
                <w:color w:val="auto"/>
                <w:sz w:val="21"/>
                <w:szCs w:val="21"/>
                <w:highlight w:val="none"/>
                <w:lang w:val="en-US"/>
              </w:rPr>
            </w:pPr>
            <w:r>
              <w:rPr>
                <w:rFonts w:hint="eastAsia"/>
                <w:i w:val="0"/>
                <w:iCs w:val="0"/>
                <w:color w:val="auto"/>
                <w:sz w:val="21"/>
                <w:szCs w:val="21"/>
                <w:highlight w:val="none"/>
                <w:lang w:val="en-US"/>
              </w:rPr>
              <w:t>DCU</w:t>
            </w:r>
          </w:p>
        </w:tc>
        <w:tc>
          <w:tcPr>
            <w:tcW w:w="6484" w:type="dxa"/>
            <w:vAlign w:val="center"/>
          </w:tcPr>
          <w:p w14:paraId="7C0A2BC2">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DCU运行状态</w:t>
            </w:r>
          </w:p>
        </w:tc>
      </w:tr>
      <w:tr w14:paraId="707D9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center"/>
          </w:tcPr>
          <w:p w14:paraId="2F721904">
            <w:pPr>
              <w:pStyle w:val="143"/>
              <w:bidi w:val="0"/>
              <w:rPr>
                <w:i w:val="0"/>
                <w:iCs w:val="0"/>
                <w:color w:val="auto"/>
                <w:sz w:val="21"/>
                <w:szCs w:val="21"/>
                <w:highlight w:val="none"/>
                <w:lang w:val="en-US"/>
              </w:rPr>
            </w:pPr>
            <w:r>
              <w:rPr>
                <w:rFonts w:hint="eastAsia"/>
                <w:i w:val="0"/>
                <w:iCs w:val="0"/>
                <w:color w:val="auto"/>
                <w:sz w:val="21"/>
                <w:szCs w:val="21"/>
                <w:highlight w:val="none"/>
                <w:lang w:val="en-US"/>
              </w:rPr>
              <w:t>5</w:t>
            </w:r>
          </w:p>
        </w:tc>
        <w:tc>
          <w:tcPr>
            <w:tcW w:w="1290" w:type="dxa"/>
            <w:vAlign w:val="center"/>
          </w:tcPr>
          <w:p w14:paraId="47367962">
            <w:pPr>
              <w:pStyle w:val="143"/>
              <w:bidi w:val="0"/>
              <w:rPr>
                <w:i w:val="0"/>
                <w:iCs w:val="0"/>
                <w:color w:val="auto"/>
                <w:sz w:val="21"/>
                <w:szCs w:val="21"/>
                <w:highlight w:val="none"/>
                <w:lang w:val="en-US"/>
              </w:rPr>
            </w:pPr>
            <w:r>
              <w:rPr>
                <w:rFonts w:hint="eastAsia"/>
                <w:i w:val="0"/>
                <w:iCs w:val="0"/>
                <w:color w:val="auto"/>
                <w:sz w:val="21"/>
                <w:szCs w:val="21"/>
                <w:highlight w:val="none"/>
                <w:lang w:val="en-US"/>
              </w:rPr>
              <w:t>电机</w:t>
            </w:r>
          </w:p>
        </w:tc>
        <w:tc>
          <w:tcPr>
            <w:tcW w:w="6484" w:type="dxa"/>
            <w:vAlign w:val="center"/>
          </w:tcPr>
          <w:p w14:paraId="0FDB70A8">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电机电流</w:t>
            </w:r>
          </w:p>
        </w:tc>
      </w:tr>
      <w:tr w14:paraId="42FF5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top"/>
          </w:tcPr>
          <w:p w14:paraId="1E3724B8">
            <w:pPr>
              <w:pStyle w:val="143"/>
              <w:bidi w:val="0"/>
              <w:rPr>
                <w:i w:val="0"/>
                <w:iCs w:val="0"/>
                <w:color w:val="auto"/>
                <w:sz w:val="21"/>
                <w:szCs w:val="21"/>
                <w:highlight w:val="none"/>
                <w:lang w:val="en-US"/>
              </w:rPr>
            </w:pPr>
            <w:r>
              <w:rPr>
                <w:rFonts w:hint="eastAsia"/>
                <w:i w:val="0"/>
                <w:iCs w:val="0"/>
                <w:color w:val="auto"/>
                <w:sz w:val="21"/>
                <w:szCs w:val="21"/>
                <w:highlight w:val="none"/>
                <w:lang w:val="en-US"/>
              </w:rPr>
              <w:t>6</w:t>
            </w:r>
          </w:p>
        </w:tc>
        <w:tc>
          <w:tcPr>
            <w:tcW w:w="1290" w:type="dxa"/>
            <w:vAlign w:val="top"/>
          </w:tcPr>
          <w:p w14:paraId="44885693">
            <w:pPr>
              <w:pStyle w:val="143"/>
              <w:bidi w:val="0"/>
              <w:rPr>
                <w:i w:val="0"/>
                <w:iCs w:val="0"/>
                <w:color w:val="auto"/>
                <w:sz w:val="21"/>
                <w:szCs w:val="21"/>
                <w:highlight w:val="none"/>
                <w:lang w:val="en-US"/>
              </w:rPr>
            </w:pPr>
            <w:r>
              <w:rPr>
                <w:rFonts w:hint="eastAsia"/>
                <w:i w:val="0"/>
                <w:iCs w:val="0"/>
                <w:color w:val="auto"/>
                <w:sz w:val="21"/>
                <w:szCs w:val="21"/>
                <w:highlight w:val="none"/>
                <w:lang w:val="en-US"/>
              </w:rPr>
              <w:t>应急门</w:t>
            </w:r>
          </w:p>
        </w:tc>
        <w:tc>
          <w:tcPr>
            <w:tcW w:w="6484" w:type="dxa"/>
            <w:vAlign w:val="top"/>
          </w:tcPr>
          <w:p w14:paraId="3D6E13ED">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开关状态</w:t>
            </w:r>
          </w:p>
        </w:tc>
      </w:tr>
      <w:tr w14:paraId="6112F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top"/>
          </w:tcPr>
          <w:p w14:paraId="58156510">
            <w:pPr>
              <w:pStyle w:val="143"/>
              <w:bidi w:val="0"/>
              <w:rPr>
                <w:i w:val="0"/>
                <w:iCs w:val="0"/>
                <w:color w:val="auto"/>
                <w:sz w:val="21"/>
                <w:szCs w:val="21"/>
                <w:highlight w:val="none"/>
                <w:lang w:val="en-US"/>
              </w:rPr>
            </w:pPr>
            <w:r>
              <w:rPr>
                <w:rFonts w:hint="eastAsia"/>
                <w:i w:val="0"/>
                <w:iCs w:val="0"/>
                <w:color w:val="auto"/>
                <w:sz w:val="21"/>
                <w:szCs w:val="21"/>
                <w:highlight w:val="none"/>
                <w:lang w:val="en-US"/>
              </w:rPr>
              <w:t>7</w:t>
            </w:r>
          </w:p>
        </w:tc>
        <w:tc>
          <w:tcPr>
            <w:tcW w:w="1290" w:type="dxa"/>
            <w:vAlign w:val="top"/>
          </w:tcPr>
          <w:p w14:paraId="47D2F931">
            <w:pPr>
              <w:pStyle w:val="143"/>
              <w:bidi w:val="0"/>
              <w:rPr>
                <w:i w:val="0"/>
                <w:iCs w:val="0"/>
                <w:color w:val="auto"/>
                <w:sz w:val="21"/>
                <w:szCs w:val="21"/>
                <w:highlight w:val="none"/>
                <w:lang w:val="en-US"/>
              </w:rPr>
            </w:pPr>
            <w:r>
              <w:rPr>
                <w:rFonts w:hint="eastAsia"/>
                <w:i w:val="0"/>
                <w:iCs w:val="0"/>
                <w:color w:val="auto"/>
                <w:sz w:val="21"/>
                <w:szCs w:val="21"/>
                <w:highlight w:val="none"/>
                <w:lang w:val="en-US"/>
              </w:rPr>
              <w:t>端门</w:t>
            </w:r>
          </w:p>
        </w:tc>
        <w:tc>
          <w:tcPr>
            <w:tcW w:w="6484" w:type="dxa"/>
            <w:vAlign w:val="top"/>
          </w:tcPr>
          <w:p w14:paraId="03AEB99A">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开关状态、打开超时</w:t>
            </w:r>
          </w:p>
        </w:tc>
      </w:tr>
      <w:tr w14:paraId="7CF4C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top"/>
          </w:tcPr>
          <w:p w14:paraId="2EEF1DFB">
            <w:pPr>
              <w:pStyle w:val="143"/>
              <w:bidi w:val="0"/>
              <w:rPr>
                <w:i w:val="0"/>
                <w:iCs w:val="0"/>
                <w:color w:val="auto"/>
                <w:sz w:val="21"/>
                <w:szCs w:val="21"/>
                <w:highlight w:val="none"/>
                <w:lang w:val="en-US"/>
              </w:rPr>
            </w:pPr>
            <w:r>
              <w:rPr>
                <w:rFonts w:hint="eastAsia"/>
                <w:i w:val="0"/>
                <w:iCs w:val="0"/>
                <w:color w:val="auto"/>
                <w:sz w:val="21"/>
                <w:szCs w:val="21"/>
                <w:highlight w:val="none"/>
                <w:lang w:val="en-US"/>
              </w:rPr>
              <w:t>8</w:t>
            </w:r>
          </w:p>
        </w:tc>
        <w:tc>
          <w:tcPr>
            <w:tcW w:w="1290" w:type="dxa"/>
            <w:vAlign w:val="top"/>
          </w:tcPr>
          <w:p w14:paraId="265DE01B">
            <w:pPr>
              <w:pStyle w:val="143"/>
              <w:bidi w:val="0"/>
              <w:rPr>
                <w:i w:val="0"/>
                <w:iCs w:val="0"/>
                <w:color w:val="auto"/>
                <w:sz w:val="21"/>
                <w:szCs w:val="21"/>
                <w:highlight w:val="none"/>
                <w:lang w:val="en-US"/>
              </w:rPr>
            </w:pPr>
            <w:r>
              <w:rPr>
                <w:rFonts w:hint="eastAsia"/>
                <w:i w:val="0"/>
                <w:iCs w:val="0"/>
                <w:color w:val="auto"/>
                <w:sz w:val="21"/>
                <w:szCs w:val="21"/>
                <w:highlight w:val="none"/>
                <w:lang w:val="en-US"/>
              </w:rPr>
              <w:t>LCB</w:t>
            </w:r>
          </w:p>
        </w:tc>
        <w:tc>
          <w:tcPr>
            <w:tcW w:w="6484" w:type="dxa"/>
            <w:vAlign w:val="top"/>
          </w:tcPr>
          <w:p w14:paraId="7A6B2EF1">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LCB模式</w:t>
            </w:r>
          </w:p>
        </w:tc>
      </w:tr>
      <w:tr w14:paraId="372EE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3" w:type="dxa"/>
            <w:vAlign w:val="top"/>
          </w:tcPr>
          <w:p w14:paraId="55FC756A">
            <w:pPr>
              <w:pStyle w:val="143"/>
              <w:bidi w:val="0"/>
              <w:rPr>
                <w:i w:val="0"/>
                <w:iCs w:val="0"/>
                <w:color w:val="auto"/>
                <w:sz w:val="21"/>
                <w:szCs w:val="21"/>
                <w:highlight w:val="none"/>
                <w:lang w:val="en-US"/>
              </w:rPr>
            </w:pPr>
            <w:r>
              <w:rPr>
                <w:rFonts w:hint="eastAsia"/>
                <w:i w:val="0"/>
                <w:iCs w:val="0"/>
                <w:color w:val="auto"/>
                <w:sz w:val="21"/>
                <w:szCs w:val="21"/>
                <w:highlight w:val="none"/>
                <w:lang w:val="en-US"/>
              </w:rPr>
              <w:t>9</w:t>
            </w:r>
          </w:p>
        </w:tc>
        <w:tc>
          <w:tcPr>
            <w:tcW w:w="1290" w:type="dxa"/>
            <w:vAlign w:val="top"/>
          </w:tcPr>
          <w:p w14:paraId="51313A59">
            <w:pPr>
              <w:pStyle w:val="143"/>
              <w:bidi w:val="0"/>
              <w:rPr>
                <w:i w:val="0"/>
                <w:iCs w:val="0"/>
                <w:color w:val="auto"/>
                <w:sz w:val="21"/>
                <w:szCs w:val="21"/>
                <w:highlight w:val="none"/>
                <w:lang w:val="en-US"/>
              </w:rPr>
            </w:pPr>
            <w:r>
              <w:rPr>
                <w:rFonts w:hint="eastAsia"/>
                <w:i w:val="0"/>
                <w:iCs w:val="0"/>
                <w:color w:val="auto"/>
                <w:sz w:val="21"/>
                <w:szCs w:val="21"/>
                <w:highlight w:val="none"/>
                <w:lang w:val="en-US"/>
              </w:rPr>
              <w:t>通讯模块</w:t>
            </w:r>
          </w:p>
        </w:tc>
        <w:tc>
          <w:tcPr>
            <w:tcW w:w="6484" w:type="dxa"/>
            <w:vAlign w:val="top"/>
          </w:tcPr>
          <w:p w14:paraId="6898562D">
            <w:pPr>
              <w:pStyle w:val="143"/>
              <w:bidi w:val="0"/>
              <w:jc w:val="left"/>
              <w:rPr>
                <w:i w:val="0"/>
                <w:iCs w:val="0"/>
                <w:color w:val="auto"/>
                <w:sz w:val="21"/>
                <w:szCs w:val="21"/>
                <w:highlight w:val="none"/>
                <w:lang w:val="en-US"/>
              </w:rPr>
            </w:pPr>
            <w:r>
              <w:rPr>
                <w:rFonts w:hint="eastAsia"/>
                <w:i w:val="0"/>
                <w:iCs w:val="0"/>
                <w:color w:val="auto"/>
                <w:sz w:val="21"/>
                <w:szCs w:val="21"/>
                <w:highlight w:val="none"/>
                <w:lang w:val="en-US"/>
              </w:rPr>
              <w:t>总线状态、PEDC通讯状态、电源系统通讯状态</w:t>
            </w:r>
          </w:p>
        </w:tc>
      </w:tr>
    </w:tbl>
    <w:p w14:paraId="1D671C12">
      <w:pPr>
        <w:spacing w:line="240" w:lineRule="auto"/>
        <w:rPr>
          <w:rFonts w:hint="eastAsia"/>
          <w:i w:val="0"/>
          <w:iCs w:val="0"/>
          <w:color w:val="auto"/>
          <w:sz w:val="18"/>
          <w:szCs w:val="18"/>
          <w:highlight w:val="none"/>
        </w:rPr>
      </w:pPr>
    </w:p>
    <w:p w14:paraId="07496976">
      <w:pPr>
        <w:spacing w:line="240" w:lineRule="auto"/>
        <w:jc w:val="center"/>
        <w:rPr>
          <w:i w:val="0"/>
          <w:iCs w:val="0"/>
          <w:color w:val="auto"/>
          <w:sz w:val="18"/>
          <w:szCs w:val="18"/>
          <w:highlight w:val="none"/>
        </w:rPr>
      </w:pPr>
    </w:p>
    <w:p w14:paraId="265F98A7">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关键部件看板</w:t>
      </w:r>
      <w:r>
        <w:rPr>
          <w:rFonts w:hint="eastAsia"/>
          <w:i w:val="0"/>
          <w:iCs w:val="0"/>
          <w:color w:val="auto"/>
          <w:sz w:val="21"/>
          <w:szCs w:val="21"/>
          <w:highlight w:val="none"/>
          <w:lang w:val="en-US" w:eastAsia="zh-CN"/>
        </w:rPr>
        <w:t>功能</w:t>
      </w:r>
    </w:p>
    <w:p w14:paraId="5BBC7E11">
      <w:pPr>
        <w:pStyle w:val="142"/>
        <w:ind w:firstLine="420"/>
        <w:rPr>
          <w:rFonts w:hint="default"/>
          <w:i w:val="0"/>
          <w:iCs w:val="0"/>
          <w:color w:val="auto"/>
          <w:sz w:val="21"/>
          <w:szCs w:val="15"/>
          <w:highlight w:val="none"/>
          <w:lang w:val="en-US" w:eastAsia="zh-CN"/>
        </w:rPr>
      </w:pPr>
      <w:r>
        <w:rPr>
          <w:rFonts w:hint="eastAsia"/>
          <w:i w:val="0"/>
          <w:iCs w:val="0"/>
          <w:color w:val="auto"/>
          <w:sz w:val="21"/>
          <w:szCs w:val="15"/>
          <w:highlight w:val="none"/>
          <w:lang w:val="en-US" w:eastAsia="zh-CN"/>
        </w:rPr>
        <w:t>系统应提供滑动门关键部件看板界面，具体界面设计在设计联络确认。界面应针对每个滑动门的关键部件，包括DCU门控器、驱动电机、电磁锁、门体等进行重点监控，设计关键部件的监测看板，对其实时状态、关键参数模拟量信息、设备可靠度等进行分析和评价，并给出设备的综合评分，为运维人员调整维修策略、延长检修周期提供参考和依据。综合评分各项指标应支持模块化可选，支持权重自定义。</w:t>
      </w:r>
    </w:p>
    <w:p w14:paraId="6AE5661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DCU门控器：DCU门控器是滑动门的核心控制单元，负责接收和处理各种信号，控制门的开启和关闭。监测看板实时显示DCU的工作状态、输入输出信号、故障代码等信息，并通过历史数据分析其运行趋势，评估其可靠度。</w:t>
      </w:r>
    </w:p>
    <w:p w14:paraId="7D8A5F2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驱动电机：驱动电机是滑动门的动力来源，其性能直接影响门的运行速度和稳定性。监测看板实时监控电机的电流、电压、温度等关键参数，分析其负载情况，预测潜在故障，并给出电机的综合评分。</w:t>
      </w:r>
    </w:p>
    <w:p w14:paraId="4070B96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电磁锁：电磁锁是滑动门的安全保障，确保门在关闭状态下无法被非法打开。监测看板实时显示电磁锁的开关状态、电流、电压等信息，分析其提锁异常、卡滞等隐患，评估其安全性能。</w:t>
      </w:r>
    </w:p>
    <w:p w14:paraId="3F8474D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门体：门体是滑动门的物理结构，其运行状态直接影响乘客上下车、列车运行等。监测看板实时监控门体的运行速度、位移、等参数，分析门阻情况，判断其运行平稳性，评估机械性能。</w:t>
      </w:r>
    </w:p>
    <w:p w14:paraId="578405B8">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动作记录与分析</w:t>
      </w:r>
    </w:p>
    <w:p w14:paraId="5E6712C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站台门智能运维系统应提供动作记录与智能分析界面，具体界面设计在设计联络确认。系统应实时获取信号开门指令、站台门开门命令等开关量数据，以及电机电流、门体移动位移和速度曲线等关键模拟量数据，从而构建了一个完整的运行状态数据库。此类数据不仅包括指令的逻辑时序，还涵盖了门体运行过程中的动态参数，如电机电流的变化趋势、门体移动的位移和速度曲线等。通过对这些数据的综合分析，系统能够全面掌握站台门的运行状态，识别出潜在的异常情况，为故障诊断和预防性维护提供科学依据。</w:t>
      </w:r>
    </w:p>
    <w:p w14:paraId="76F202D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动作逻辑时序的检查方面，系统能够智能识别出信号与站台门之间的联动是否正常，是否存在指令延迟、丢失或错误执行等问题。例如，当信号系统发出开门指令后，系统会实时监控站台门是否在规定时间内响应并执行开门动作。如果发现指令执行异常，系统会立即记录相关数据，并通过算法定位该指令异常为故障的根因，如信号指令发送失败、站台门控制器故障、电机启动异常等。通过对这些问题的快速定位，系统能够帮助维护人员迅速找到故障的根源，减少故障排查的时间，避免因故障导致的列车延误或其他安全问题。</w:t>
      </w:r>
    </w:p>
    <w:p w14:paraId="3D64A5E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模拟量数据的分析方面，系统通过对电机电流、门体位移和速度曲线的实时监控，能够识别出各个滑动门单体的运行趋势。例如，当电机电流曲线出现异常波动时，系统可以判断电机是否存在过载或运行不稳定的问题；当门体位移和速度曲线偏离正常范围时，系统可以检测门体是否出现卡阻或运行速度异常等现象。通过对这些趋势的分析，系统能够提前发现门阻异常等潜在隐患，及时触发预警提醒维护人员进行干预处置，从而有效避免故障的发生，确保站台门的正常运行和乘客的安全。这种预防性维护模式不仅降低了故障发生的概率，还延长了设备的使用寿命，减少了综合维护成本。</w:t>
      </w:r>
    </w:p>
    <w:p w14:paraId="593DBC6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通过对逻辑时序和模拟量曲线的分析，可实现故障诊断包括不限于以下内容：</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9"/>
        <w:gridCol w:w="2954"/>
        <w:gridCol w:w="4423"/>
      </w:tblGrid>
      <w:tr w14:paraId="0A4B4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9" w:type="dxa"/>
            <w:vAlign w:val="center"/>
          </w:tcPr>
          <w:p w14:paraId="53D44D5F">
            <w:pPr>
              <w:pStyle w:val="143"/>
              <w:bidi w:val="0"/>
              <w:rPr>
                <w:i w:val="0"/>
                <w:iCs w:val="0"/>
                <w:color w:val="auto"/>
                <w:sz w:val="21"/>
                <w:szCs w:val="21"/>
                <w:highlight w:val="none"/>
                <w:lang w:val="en-US"/>
              </w:rPr>
            </w:pPr>
            <w:r>
              <w:rPr>
                <w:rFonts w:hint="eastAsia"/>
                <w:i w:val="0"/>
                <w:iCs w:val="0"/>
                <w:color w:val="auto"/>
                <w:sz w:val="21"/>
                <w:szCs w:val="21"/>
                <w:highlight w:val="none"/>
                <w:lang w:val="en-US"/>
              </w:rPr>
              <w:t>序号</w:t>
            </w:r>
          </w:p>
        </w:tc>
        <w:tc>
          <w:tcPr>
            <w:tcW w:w="2954" w:type="dxa"/>
            <w:vAlign w:val="center"/>
          </w:tcPr>
          <w:p w14:paraId="12A928C1">
            <w:pPr>
              <w:pStyle w:val="143"/>
              <w:bidi w:val="0"/>
              <w:rPr>
                <w:i w:val="0"/>
                <w:iCs w:val="0"/>
                <w:color w:val="auto"/>
                <w:sz w:val="21"/>
                <w:szCs w:val="21"/>
                <w:highlight w:val="none"/>
                <w:lang w:val="en-US"/>
              </w:rPr>
            </w:pPr>
            <w:r>
              <w:rPr>
                <w:rFonts w:hint="eastAsia"/>
                <w:i w:val="0"/>
                <w:iCs w:val="0"/>
                <w:color w:val="auto"/>
                <w:sz w:val="21"/>
                <w:szCs w:val="21"/>
                <w:highlight w:val="none"/>
                <w:lang w:val="en-US"/>
              </w:rPr>
              <w:t>系统或部件</w:t>
            </w:r>
          </w:p>
        </w:tc>
        <w:tc>
          <w:tcPr>
            <w:tcW w:w="4423" w:type="dxa"/>
            <w:vAlign w:val="center"/>
          </w:tcPr>
          <w:p w14:paraId="7E8D3586">
            <w:pPr>
              <w:pStyle w:val="143"/>
              <w:bidi w:val="0"/>
              <w:rPr>
                <w:i w:val="0"/>
                <w:iCs w:val="0"/>
                <w:color w:val="auto"/>
                <w:sz w:val="21"/>
                <w:szCs w:val="21"/>
                <w:highlight w:val="none"/>
                <w:lang w:val="en-US"/>
              </w:rPr>
            </w:pPr>
            <w:r>
              <w:rPr>
                <w:rFonts w:hint="eastAsia"/>
                <w:i w:val="0"/>
                <w:iCs w:val="0"/>
                <w:color w:val="auto"/>
                <w:sz w:val="21"/>
                <w:szCs w:val="21"/>
                <w:highlight w:val="none"/>
                <w:lang w:val="en-US"/>
              </w:rPr>
              <w:t>监测内容</w:t>
            </w:r>
          </w:p>
        </w:tc>
      </w:tr>
      <w:tr w14:paraId="090B1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9" w:type="dxa"/>
            <w:vAlign w:val="center"/>
          </w:tcPr>
          <w:p w14:paraId="04B50D1A">
            <w:pPr>
              <w:pStyle w:val="143"/>
              <w:bidi w:val="0"/>
              <w:rPr>
                <w:i w:val="0"/>
                <w:iCs w:val="0"/>
                <w:color w:val="auto"/>
                <w:sz w:val="21"/>
                <w:szCs w:val="21"/>
                <w:highlight w:val="none"/>
                <w:lang w:val="en-US"/>
              </w:rPr>
            </w:pPr>
            <w:r>
              <w:rPr>
                <w:rFonts w:hint="eastAsia"/>
                <w:i w:val="0"/>
                <w:iCs w:val="0"/>
                <w:color w:val="auto"/>
                <w:sz w:val="21"/>
                <w:szCs w:val="21"/>
                <w:highlight w:val="none"/>
                <w:lang w:val="en-US"/>
              </w:rPr>
              <w:t>1</w:t>
            </w:r>
          </w:p>
        </w:tc>
        <w:tc>
          <w:tcPr>
            <w:tcW w:w="2954" w:type="dxa"/>
            <w:vAlign w:val="center"/>
          </w:tcPr>
          <w:p w14:paraId="30C43F44">
            <w:pPr>
              <w:pStyle w:val="143"/>
              <w:bidi w:val="0"/>
              <w:rPr>
                <w:i w:val="0"/>
                <w:iCs w:val="0"/>
                <w:color w:val="auto"/>
                <w:sz w:val="21"/>
                <w:szCs w:val="21"/>
                <w:highlight w:val="none"/>
                <w:lang w:val="en-US"/>
              </w:rPr>
            </w:pPr>
            <w:r>
              <w:rPr>
                <w:rFonts w:hint="eastAsia"/>
                <w:i w:val="0"/>
                <w:iCs w:val="0"/>
                <w:color w:val="auto"/>
                <w:sz w:val="21"/>
                <w:szCs w:val="21"/>
                <w:highlight w:val="none"/>
                <w:lang w:val="en-US"/>
              </w:rPr>
              <w:t>行程开关故障</w:t>
            </w:r>
          </w:p>
        </w:tc>
        <w:tc>
          <w:tcPr>
            <w:tcW w:w="4423" w:type="dxa"/>
            <w:vAlign w:val="center"/>
          </w:tcPr>
          <w:p w14:paraId="73BBDC9B">
            <w:pPr>
              <w:pStyle w:val="143"/>
              <w:bidi w:val="0"/>
              <w:rPr>
                <w:i w:val="0"/>
                <w:iCs w:val="0"/>
                <w:color w:val="auto"/>
                <w:sz w:val="21"/>
                <w:szCs w:val="21"/>
                <w:highlight w:val="none"/>
                <w:lang w:val="en-US"/>
              </w:rPr>
            </w:pPr>
            <w:r>
              <w:rPr>
                <w:rFonts w:hint="eastAsia"/>
                <w:i w:val="0"/>
                <w:iCs w:val="0"/>
                <w:color w:val="auto"/>
                <w:sz w:val="21"/>
                <w:szCs w:val="21"/>
                <w:highlight w:val="none"/>
                <w:lang w:val="en-US"/>
              </w:rPr>
              <w:t>左门行程开关故障、右门行程开关故障</w:t>
            </w:r>
          </w:p>
        </w:tc>
      </w:tr>
      <w:tr w14:paraId="59FBE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9" w:type="dxa"/>
            <w:vAlign w:val="center"/>
          </w:tcPr>
          <w:p w14:paraId="0A4D32B9">
            <w:pPr>
              <w:pStyle w:val="143"/>
              <w:bidi w:val="0"/>
              <w:rPr>
                <w:i w:val="0"/>
                <w:iCs w:val="0"/>
                <w:color w:val="auto"/>
                <w:sz w:val="21"/>
                <w:szCs w:val="21"/>
                <w:highlight w:val="none"/>
                <w:lang w:val="en-US"/>
              </w:rPr>
            </w:pPr>
            <w:r>
              <w:rPr>
                <w:rFonts w:hint="eastAsia"/>
                <w:i w:val="0"/>
                <w:iCs w:val="0"/>
                <w:color w:val="auto"/>
                <w:sz w:val="21"/>
                <w:szCs w:val="21"/>
                <w:highlight w:val="none"/>
                <w:lang w:val="en-US"/>
              </w:rPr>
              <w:t>2</w:t>
            </w:r>
          </w:p>
        </w:tc>
        <w:tc>
          <w:tcPr>
            <w:tcW w:w="2954" w:type="dxa"/>
            <w:vAlign w:val="center"/>
          </w:tcPr>
          <w:p w14:paraId="4E9FA97D">
            <w:pPr>
              <w:pStyle w:val="143"/>
              <w:bidi w:val="0"/>
              <w:rPr>
                <w:i w:val="0"/>
                <w:iCs w:val="0"/>
                <w:color w:val="auto"/>
                <w:sz w:val="21"/>
                <w:szCs w:val="21"/>
                <w:highlight w:val="none"/>
                <w:lang w:val="en-US"/>
              </w:rPr>
            </w:pPr>
            <w:r>
              <w:rPr>
                <w:rFonts w:hint="eastAsia"/>
                <w:i w:val="0"/>
                <w:iCs w:val="0"/>
                <w:color w:val="auto"/>
                <w:sz w:val="21"/>
                <w:szCs w:val="21"/>
                <w:highlight w:val="none"/>
                <w:lang w:val="en-US"/>
              </w:rPr>
              <w:t>门体故障</w:t>
            </w:r>
          </w:p>
        </w:tc>
        <w:tc>
          <w:tcPr>
            <w:tcW w:w="4423" w:type="dxa"/>
            <w:vAlign w:val="center"/>
          </w:tcPr>
          <w:p w14:paraId="5E3608C9">
            <w:pPr>
              <w:pStyle w:val="143"/>
              <w:bidi w:val="0"/>
              <w:rPr>
                <w:i w:val="0"/>
                <w:iCs w:val="0"/>
                <w:color w:val="auto"/>
                <w:sz w:val="21"/>
                <w:szCs w:val="21"/>
                <w:highlight w:val="none"/>
                <w:lang w:val="en-US"/>
              </w:rPr>
            </w:pPr>
            <w:r>
              <w:rPr>
                <w:rFonts w:hint="eastAsia"/>
                <w:i w:val="0"/>
                <w:iCs w:val="0"/>
                <w:color w:val="auto"/>
                <w:sz w:val="21"/>
                <w:szCs w:val="21"/>
                <w:highlight w:val="none"/>
                <w:lang w:val="en-US"/>
              </w:rPr>
              <w:t>门体歪斜、异物卡滞</w:t>
            </w:r>
          </w:p>
        </w:tc>
      </w:tr>
      <w:tr w14:paraId="6E1A5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9" w:type="dxa"/>
            <w:vAlign w:val="center"/>
          </w:tcPr>
          <w:p w14:paraId="2F1387EA">
            <w:pPr>
              <w:pStyle w:val="143"/>
              <w:bidi w:val="0"/>
              <w:rPr>
                <w:i w:val="0"/>
                <w:iCs w:val="0"/>
                <w:color w:val="auto"/>
                <w:sz w:val="21"/>
                <w:szCs w:val="21"/>
                <w:highlight w:val="none"/>
                <w:lang w:val="en-US"/>
              </w:rPr>
            </w:pPr>
            <w:r>
              <w:rPr>
                <w:rFonts w:hint="eastAsia"/>
                <w:i w:val="0"/>
                <w:iCs w:val="0"/>
                <w:color w:val="auto"/>
                <w:sz w:val="21"/>
                <w:szCs w:val="21"/>
                <w:highlight w:val="none"/>
                <w:lang w:val="en-US"/>
              </w:rPr>
              <w:t>3</w:t>
            </w:r>
          </w:p>
        </w:tc>
        <w:tc>
          <w:tcPr>
            <w:tcW w:w="2954" w:type="dxa"/>
            <w:vAlign w:val="center"/>
          </w:tcPr>
          <w:p w14:paraId="1B51E630">
            <w:pPr>
              <w:pStyle w:val="143"/>
              <w:bidi w:val="0"/>
              <w:rPr>
                <w:i w:val="0"/>
                <w:iCs w:val="0"/>
                <w:color w:val="auto"/>
                <w:sz w:val="21"/>
                <w:szCs w:val="21"/>
                <w:highlight w:val="none"/>
                <w:lang w:val="en-US"/>
              </w:rPr>
            </w:pPr>
            <w:r>
              <w:rPr>
                <w:rFonts w:hint="eastAsia"/>
                <w:i w:val="0"/>
                <w:iCs w:val="0"/>
                <w:color w:val="auto"/>
                <w:sz w:val="21"/>
                <w:szCs w:val="21"/>
                <w:highlight w:val="none"/>
                <w:lang w:val="en-US"/>
              </w:rPr>
              <w:t>滚轮</w:t>
            </w:r>
          </w:p>
        </w:tc>
        <w:tc>
          <w:tcPr>
            <w:tcW w:w="4423" w:type="dxa"/>
            <w:vAlign w:val="center"/>
          </w:tcPr>
          <w:p w14:paraId="2FF89289">
            <w:pPr>
              <w:pStyle w:val="143"/>
              <w:bidi w:val="0"/>
              <w:rPr>
                <w:i w:val="0"/>
                <w:iCs w:val="0"/>
                <w:color w:val="auto"/>
                <w:sz w:val="21"/>
                <w:szCs w:val="21"/>
                <w:highlight w:val="none"/>
                <w:lang w:val="en-US"/>
              </w:rPr>
            </w:pPr>
            <w:r>
              <w:rPr>
                <w:rFonts w:hint="eastAsia"/>
                <w:i w:val="0"/>
                <w:iCs w:val="0"/>
                <w:color w:val="auto"/>
                <w:sz w:val="21"/>
                <w:szCs w:val="21"/>
                <w:highlight w:val="none"/>
                <w:lang w:val="en-US"/>
              </w:rPr>
              <w:t>滚轮磨损</w:t>
            </w:r>
          </w:p>
        </w:tc>
      </w:tr>
      <w:tr w14:paraId="06A6E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9" w:type="dxa"/>
            <w:vAlign w:val="center"/>
          </w:tcPr>
          <w:p w14:paraId="03661677">
            <w:pPr>
              <w:pStyle w:val="143"/>
              <w:bidi w:val="0"/>
              <w:rPr>
                <w:i w:val="0"/>
                <w:iCs w:val="0"/>
                <w:color w:val="auto"/>
                <w:sz w:val="21"/>
                <w:szCs w:val="21"/>
                <w:highlight w:val="none"/>
                <w:lang w:val="en-US"/>
              </w:rPr>
            </w:pPr>
            <w:r>
              <w:rPr>
                <w:rFonts w:hint="eastAsia"/>
                <w:i w:val="0"/>
                <w:iCs w:val="0"/>
                <w:color w:val="auto"/>
                <w:sz w:val="21"/>
                <w:szCs w:val="21"/>
                <w:highlight w:val="none"/>
                <w:lang w:val="en-US"/>
              </w:rPr>
              <w:t>4</w:t>
            </w:r>
          </w:p>
        </w:tc>
        <w:tc>
          <w:tcPr>
            <w:tcW w:w="2954" w:type="dxa"/>
            <w:vAlign w:val="center"/>
          </w:tcPr>
          <w:p w14:paraId="7E787FCF">
            <w:pPr>
              <w:pStyle w:val="143"/>
              <w:bidi w:val="0"/>
              <w:rPr>
                <w:i w:val="0"/>
                <w:iCs w:val="0"/>
                <w:color w:val="auto"/>
                <w:sz w:val="21"/>
                <w:szCs w:val="21"/>
                <w:highlight w:val="none"/>
                <w:lang w:val="en-US"/>
              </w:rPr>
            </w:pPr>
            <w:r>
              <w:rPr>
                <w:rFonts w:hint="eastAsia"/>
                <w:i w:val="0"/>
                <w:iCs w:val="0"/>
                <w:color w:val="auto"/>
                <w:sz w:val="21"/>
                <w:szCs w:val="21"/>
                <w:highlight w:val="none"/>
                <w:lang w:val="en-US"/>
              </w:rPr>
              <w:t>电机</w:t>
            </w:r>
          </w:p>
        </w:tc>
        <w:tc>
          <w:tcPr>
            <w:tcW w:w="4423" w:type="dxa"/>
            <w:vAlign w:val="center"/>
          </w:tcPr>
          <w:p w14:paraId="6FCC2B52">
            <w:pPr>
              <w:pStyle w:val="143"/>
              <w:bidi w:val="0"/>
              <w:rPr>
                <w:i w:val="0"/>
                <w:iCs w:val="0"/>
                <w:color w:val="auto"/>
                <w:sz w:val="21"/>
                <w:szCs w:val="21"/>
                <w:highlight w:val="none"/>
                <w:lang w:val="en-US"/>
              </w:rPr>
            </w:pPr>
            <w:r>
              <w:rPr>
                <w:rFonts w:hint="eastAsia"/>
                <w:i w:val="0"/>
                <w:iCs w:val="0"/>
                <w:color w:val="auto"/>
                <w:sz w:val="21"/>
                <w:szCs w:val="21"/>
                <w:highlight w:val="none"/>
                <w:lang w:val="en-US"/>
              </w:rPr>
              <w:t>电机故障</w:t>
            </w:r>
          </w:p>
        </w:tc>
      </w:tr>
    </w:tbl>
    <w:p w14:paraId="246EBF99">
      <w:pPr>
        <w:spacing w:line="360" w:lineRule="auto"/>
        <w:ind w:firstLine="420" w:firstLineChars="200"/>
        <w:rPr>
          <w:i w:val="0"/>
          <w:iCs w:val="0"/>
          <w:color w:val="auto"/>
          <w:sz w:val="21"/>
          <w:szCs w:val="15"/>
          <w:highlight w:val="none"/>
        </w:rPr>
      </w:pPr>
    </w:p>
    <w:p w14:paraId="564451A7">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数据统计分析功能</w:t>
      </w:r>
    </w:p>
    <w:p w14:paraId="45E4AFE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站台门智能运维系统提供数据统计分析界面，具体界面设计在设计联络确认。系统应丰富的数据统计功能，包括报警相关信息统计、动作及运行次数统计、关键运行指标统计等内容。</w:t>
      </w:r>
    </w:p>
    <w:p w14:paraId="713C20FA">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报警信息统计</w:t>
      </w:r>
    </w:p>
    <w:p w14:paraId="2ACA19A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报警信息统计包括报警数量、报警类型、报警频率等关键数据，帮助维护人员识别系统整体运行情况。筛选出经常发生故障的设备提醒维护人员进行重点关注；筛选出经常发生的故障类型，进行专项排查，消除同类隐患等。</w:t>
      </w:r>
    </w:p>
    <w:p w14:paraId="2646AE7A">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动作及运行状态统计</w:t>
      </w:r>
    </w:p>
    <w:p w14:paraId="00A0488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动作及运行次数统计方面，系统能够记录站台门的开关次数、开关门动作时长、累计运行时长、皮带动作里程等数据，并结合设备的运行环境和使用频率，分析设备的磨损情况。通过对这些数据的统计分析，为维护人员提供设备寿命预测和更换周期调整建议，延长设备的使用寿命。</w:t>
      </w:r>
    </w:p>
    <w:p w14:paraId="200A2999">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关键运行指标统计</w:t>
      </w:r>
    </w:p>
    <w:p w14:paraId="40EA96E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关键运行指标统计主要包含设备完好率统计、故障频率统计、故障停机率统计、设备MTBF指标统计、设备MTTR维修时间统计等。</w:t>
      </w:r>
    </w:p>
    <w:p w14:paraId="02AC8D87">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设备完好率统计</w:t>
      </w:r>
    </w:p>
    <w:p w14:paraId="71DE770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设备完好率指标直接反映了站台门系统的可用性和稳定性，是评估系统运行效率的核心参数。通过统计设备完好率，运维人员可以快速识别故障频发的设备或区域，优化维护资源的分配，减少非计划停机时间，确保站台门系统的高效运行。</w:t>
      </w:r>
    </w:p>
    <w:p w14:paraId="7E89A660">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设备故障率统计</w:t>
      </w:r>
    </w:p>
    <w:p w14:paraId="01C0B8E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故障率是指站台门设备在单位时间内发生故障的次数，通常以“次/月”或“次/年”为单位。</w:t>
      </w:r>
    </w:p>
    <w:p w14:paraId="47653E1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站台门智能运维系统中，该指标用于衡量设备的可靠性，故障频率越高，说明设备的稳定性越差。通过统计故障频率，运维人员可以识别故障高发的设备或部件，分析故障原因，采取针对性的改进措施，如加强维护频次或更换不稳定的部件设备。</w:t>
      </w:r>
    </w:p>
    <w:p w14:paraId="120B66FA">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故障停机率统计</w:t>
      </w:r>
    </w:p>
    <w:p w14:paraId="5A7A32E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故障停机率是指站台门设备因故障导致的停机时间占统计周期内运行总时间的比例。</w:t>
      </w:r>
    </w:p>
    <w:p w14:paraId="1441146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站台门智能运维系统中，该指标用于评估故障对系统运行的影响程度。通过统计故障停机率，运维人员可以量化故障对运营效率的负面影响，识别重大故障高发的时段或设备，优化维护计划，提升维修的精准度。</w:t>
      </w:r>
    </w:p>
    <w:p w14:paraId="1FB9267D">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设备MTBF指标统计</w:t>
      </w:r>
    </w:p>
    <w:p w14:paraId="01263C8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站台门智能运维系统中，MTBF是衡量设备可靠性的重要指标，MTBF值越高，说明设备的稳定性越好。通过统计MTBF，运维人员可以评估设备的长周期内的运行性能，识别故障频发的设备或部件，优化维护策略，延长设备的使用寿命。</w:t>
      </w:r>
    </w:p>
    <w:p w14:paraId="32ED9D2E">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设备MTTR指标统计</w:t>
      </w:r>
    </w:p>
    <w:p w14:paraId="6F8C09C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站台门智能运维系统中，MTTR是衡量维护效率的重要指标，MTTR值越低，说明维护团队的响应速度和修复能力越强。通过统计MTTR，运维人员可以评估维护流程的效率和效果，识别维修时间过长的故障类型或设备，优化维护资源配置，提升维护效率。</w:t>
      </w:r>
    </w:p>
    <w:p w14:paraId="6A5FC84B">
      <w:pPr>
        <w:pStyle w:val="6"/>
        <w:ind w:left="0"/>
        <w:rPr>
          <w:rFonts w:hint="eastAsia"/>
          <w:i w:val="0"/>
          <w:iCs w:val="0"/>
          <w:color w:val="auto"/>
          <w:sz w:val="21"/>
          <w:szCs w:val="21"/>
          <w:highlight w:val="none"/>
          <w:lang w:val="en-US"/>
        </w:rPr>
      </w:pPr>
      <w:r>
        <w:rPr>
          <w:rFonts w:hint="eastAsia"/>
          <w:i w:val="0"/>
          <w:iCs w:val="0"/>
          <w:color w:val="auto"/>
          <w:sz w:val="21"/>
          <w:szCs w:val="21"/>
          <w:highlight w:val="none"/>
          <w:lang w:val="en-US"/>
        </w:rPr>
        <w:t>健康状态评估</w:t>
      </w:r>
    </w:p>
    <w:p w14:paraId="56D12D3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站台门智能运维系统需综合监测结果、诊断结果、动作记录分析结果、各类指标统计结果，综合评估站台门设备的健康状态，并生成站台门设备健康状态趋势。为检修人员提供站点中整体站台门健康状态图，以确认特定线路或站点中的重点关注设备，同时应支持针对特定设备，查看历史状态变化曲线，结合设备故障等信息，综合了解设备健康状况。</w:t>
      </w:r>
    </w:p>
    <w:p w14:paraId="56D12D3C">
      <w:pPr>
        <w:pStyle w:val="5"/>
        <w:ind w:left="0"/>
        <w:rPr>
          <w:rFonts w:hint="eastAsia"/>
          <w:i w:val="0"/>
          <w:iCs w:val="0"/>
          <w:color w:val="auto"/>
          <w:sz w:val="22"/>
          <w:szCs w:val="22"/>
          <w:highlight w:val="none"/>
        </w:rPr>
      </w:pPr>
      <w:bookmarkStart w:id="176" w:name="bookmark138"/>
      <w:bookmarkEnd w:id="176"/>
      <w:bookmarkStart w:id="177" w:name="_Toc2539"/>
      <w:r>
        <w:rPr>
          <w:rFonts w:hint="eastAsia"/>
          <w:i w:val="0"/>
          <w:iCs w:val="0"/>
          <w:color w:val="auto"/>
          <w:sz w:val="22"/>
          <w:szCs w:val="22"/>
          <w:highlight w:val="none"/>
        </w:rPr>
        <w:t>系统接口</w:t>
      </w:r>
      <w:bookmarkEnd w:id="177"/>
    </w:p>
    <w:p w14:paraId="56D12D3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站台门运维系统部署于中心的云化服务器，在控制中心设置与综合监控系统网络接口，获取站台门系统设备运行状态数据，采用软件协议完成数据交换，接口划分如图所示：</w:t>
      </w:r>
    </w:p>
    <w:p w14:paraId="56D12D3E">
      <w:pPr>
        <w:pStyle w:val="34"/>
        <w:kinsoku w:val="0"/>
        <w:overflowPunct w:val="0"/>
        <w:spacing w:line="360" w:lineRule="auto"/>
        <w:ind w:firstLine="80" w:firstLineChars="200"/>
        <w:rPr>
          <w:rFonts w:hint="eastAsia" w:ascii="宋体" w:hAnsi="宋体" w:eastAsia="宋体" w:cs="仿宋"/>
          <w:i w:val="0"/>
          <w:iCs w:val="0"/>
          <w:color w:val="auto"/>
          <w:sz w:val="4"/>
          <w:szCs w:val="4"/>
          <w:highlight w:val="none"/>
        </w:rPr>
      </w:pPr>
    </w:p>
    <w:p w14:paraId="56D12D3F">
      <w:pPr>
        <w:pStyle w:val="34"/>
        <w:kinsoku w:val="0"/>
        <w:overflowPunct w:val="0"/>
        <w:spacing w:line="360" w:lineRule="auto"/>
        <w:ind w:right="213"/>
        <w:jc w:val="center"/>
        <w:rPr>
          <w:rFonts w:hint="eastAsia" w:ascii="宋体" w:hAnsi="宋体" w:eastAsia="宋体"/>
          <w:i w:val="0"/>
          <w:iCs w:val="0"/>
          <w:color w:val="auto"/>
          <w:sz w:val="2"/>
          <w:szCs w:val="2"/>
          <w:highlight w:val="none"/>
        </w:rPr>
      </w:pPr>
      <w:r>
        <w:rPr>
          <w:rFonts w:hint="eastAsia"/>
          <w:i w:val="0"/>
          <w:iCs w:val="0"/>
          <w:color w:val="auto"/>
          <w:sz w:val="21"/>
          <w:szCs w:val="20"/>
          <w:highlight w:val="none"/>
        </w:rPr>
        <w:drawing>
          <wp:inline distT="0" distB="0" distL="0" distR="0">
            <wp:extent cx="259080" cy="67945"/>
            <wp:effectExtent l="0" t="0" r="0" b="8255"/>
            <wp:docPr id="7678937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893720" name="图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9080" cy="67945"/>
                    </a:xfrm>
                    <a:prstGeom prst="rect">
                      <a:avLst/>
                    </a:prstGeom>
                    <a:noFill/>
                    <a:ln>
                      <a:noFill/>
                    </a:ln>
                  </pic:spPr>
                </pic:pic>
              </a:graphicData>
            </a:graphic>
          </wp:inline>
        </w:drawing>
      </w:r>
      <w:r>
        <w:rPr>
          <w:rFonts w:hint="eastAsia"/>
          <w:i w:val="0"/>
          <w:iCs w:val="0"/>
          <w:color w:val="auto"/>
          <w:sz w:val="21"/>
          <w:szCs w:val="20"/>
          <w:highlight w:val="none"/>
        </w:rPr>
        <w:drawing>
          <wp:inline distT="0" distB="0" distL="0" distR="0">
            <wp:extent cx="259080" cy="67945"/>
            <wp:effectExtent l="0" t="0" r="0" b="8255"/>
            <wp:docPr id="12046622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662291" name="图片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59080" cy="67945"/>
                    </a:xfrm>
                    <a:prstGeom prst="rect">
                      <a:avLst/>
                    </a:prstGeom>
                    <a:noFill/>
                    <a:ln>
                      <a:noFill/>
                    </a:ln>
                  </pic:spPr>
                </pic:pic>
              </a:graphicData>
            </a:graphic>
          </wp:inline>
        </w:drawing>
      </w:r>
      <w:r>
        <w:rPr>
          <w:rFonts w:hint="eastAsia" w:ascii="宋体" w:hAnsi="宋体" w:eastAsia="宋体"/>
          <w:i w:val="0"/>
          <w:iCs w:val="0"/>
          <w:color w:val="auto"/>
          <w:sz w:val="15"/>
          <w:szCs w:val="15"/>
          <w:highlight w:val="none"/>
        </w:rPr>
        <w:t>接口分界</w:t>
      </w:r>
    </w:p>
    <w:p w14:paraId="56D12D40">
      <w:pPr>
        <w:pStyle w:val="34"/>
        <w:kinsoku w:val="0"/>
        <w:overflowPunct w:val="0"/>
        <w:spacing w:line="360" w:lineRule="auto"/>
        <w:ind w:left="196"/>
        <w:jc w:val="left"/>
        <w:rPr>
          <w:rFonts w:hint="eastAsia" w:ascii="宋体" w:hAnsi="宋体" w:eastAsia="宋体"/>
          <w:i w:val="0"/>
          <w:iCs w:val="0"/>
          <w:color w:val="auto"/>
          <w:position w:val="-37"/>
          <w:sz w:val="10"/>
          <w:szCs w:val="10"/>
          <w:highlight w:val="none"/>
        </w:rPr>
      </w:pPr>
      <w:r>
        <w:rPr>
          <w:rFonts w:hint="eastAsia"/>
          <w:i w:val="0"/>
          <w:iCs w:val="0"/>
          <w:color w:val="auto"/>
          <w:sz w:val="21"/>
          <w:szCs w:val="20"/>
          <w:highlight w:val="none"/>
        </w:rPr>
        <w:drawing>
          <wp:inline distT="0" distB="0" distL="0" distR="0">
            <wp:extent cx="3872230" cy="864235"/>
            <wp:effectExtent l="0" t="0" r="13970" b="4445"/>
            <wp:docPr id="1343608664" name="图片 7" descr="箱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608664" name="图片 7" descr="箱线图&#10;&#10;AI 生成的内容可能不正确。"/>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872230" cy="864235"/>
                    </a:xfrm>
                    <a:prstGeom prst="rect">
                      <a:avLst/>
                    </a:prstGeom>
                    <a:noFill/>
                    <a:ln>
                      <a:noFill/>
                    </a:ln>
                  </pic:spPr>
                </pic:pic>
              </a:graphicData>
            </a:graphic>
          </wp:inline>
        </w:drawing>
      </w:r>
    </w:p>
    <w:p w14:paraId="56D12D41">
      <w:pPr>
        <w:pStyle w:val="34"/>
        <w:kinsoku w:val="0"/>
        <w:overflowPunct w:val="0"/>
        <w:spacing w:line="360" w:lineRule="auto"/>
        <w:rPr>
          <w:rFonts w:hint="eastAsia" w:ascii="宋体" w:hAnsi="宋体" w:eastAsia="宋体"/>
          <w:i w:val="0"/>
          <w:iCs w:val="0"/>
          <w:color w:val="auto"/>
          <w:sz w:val="2"/>
          <w:szCs w:val="2"/>
          <w:highlight w:val="none"/>
        </w:rPr>
      </w:pPr>
    </w:p>
    <w:p w14:paraId="56D12D42">
      <w:pPr>
        <w:pStyle w:val="142"/>
        <w:ind w:firstLine="420"/>
        <w:jc w:val="center"/>
        <w:rPr>
          <w:i w:val="0"/>
          <w:iCs w:val="0"/>
          <w:color w:val="auto"/>
          <w:sz w:val="21"/>
          <w:szCs w:val="15"/>
          <w:highlight w:val="none"/>
        </w:rPr>
      </w:pPr>
      <w:r>
        <w:rPr>
          <w:rFonts w:hint="eastAsia"/>
          <w:i w:val="0"/>
          <w:iCs w:val="0"/>
          <w:color w:val="auto"/>
          <w:sz w:val="21"/>
          <w:szCs w:val="15"/>
          <w:highlight w:val="none"/>
        </w:rPr>
        <w:t>站台门智能运维系统与站台门系统接口划分示意图</w:t>
      </w:r>
    </w:p>
    <w:p w14:paraId="56D12D4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a、接口位置：控制中心；</w:t>
      </w:r>
    </w:p>
    <w:p w14:paraId="56D12D4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b、接口类型：通信接口：1000M以太网TCP/IP，RJ45。</w:t>
      </w:r>
    </w:p>
    <w:p w14:paraId="56D12D4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c、软件协议：接口通讯协议支持标准的、通用的、开放的、软件解码的协议，推荐采用Http、Snmp协议；</w:t>
      </w:r>
    </w:p>
    <w:p w14:paraId="56D12D4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d、接口数量：中心一路独立的以太网接口。</w:t>
      </w:r>
    </w:p>
    <w:p w14:paraId="56D12D47">
      <w:pPr>
        <w:pStyle w:val="4"/>
        <w:rPr>
          <w:i w:val="0"/>
          <w:iCs w:val="0"/>
          <w:color w:val="auto"/>
          <w:sz w:val="24"/>
          <w:szCs w:val="21"/>
          <w:highlight w:val="none"/>
        </w:rPr>
      </w:pPr>
      <w:bookmarkStart w:id="178" w:name="bookmark139"/>
      <w:bookmarkEnd w:id="178"/>
      <w:bookmarkStart w:id="179" w:name="bookmark142"/>
      <w:bookmarkEnd w:id="179"/>
      <w:bookmarkStart w:id="180" w:name="_Toc8647"/>
      <w:r>
        <w:rPr>
          <w:rFonts w:hint="eastAsia"/>
          <w:i w:val="0"/>
          <w:iCs w:val="0"/>
          <w:color w:val="auto"/>
          <w:sz w:val="24"/>
          <w:szCs w:val="21"/>
          <w:highlight w:val="none"/>
        </w:rPr>
        <w:t>供电智能运维</w:t>
      </w:r>
      <w:bookmarkEnd w:id="180"/>
    </w:p>
    <w:p w14:paraId="56D12D4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在</w:t>
      </w:r>
      <w:r>
        <w:rPr>
          <w:rFonts w:hint="eastAsia"/>
          <w:i w:val="0"/>
          <w:iCs w:val="0"/>
          <w:color w:val="auto"/>
          <w:sz w:val="21"/>
          <w:szCs w:val="15"/>
          <w:highlight w:val="none"/>
          <w:lang w:val="zh-CN" w:eastAsia="zh-CN"/>
        </w:rPr>
        <w:t>全线</w:t>
      </w:r>
      <w:r>
        <w:rPr>
          <w:rFonts w:hint="eastAsia"/>
          <w:i w:val="0"/>
          <w:iCs w:val="0"/>
          <w:color w:val="auto"/>
          <w:sz w:val="21"/>
          <w:szCs w:val="15"/>
          <w:highlight w:val="none"/>
          <w:lang w:val="en-US" w:eastAsia="zh-CN"/>
        </w:rPr>
        <w:t>23个牵引混合降压变电所，13个降压变电所</w:t>
      </w:r>
      <w:r>
        <w:rPr>
          <w:rFonts w:hint="eastAsia"/>
          <w:i w:val="0"/>
          <w:iCs w:val="0"/>
          <w:color w:val="auto"/>
          <w:sz w:val="21"/>
          <w:szCs w:val="15"/>
          <w:highlight w:val="none"/>
          <w:lang w:val="zh-CN" w:eastAsia="zh-CN"/>
        </w:rPr>
        <w:t>预安装气压传感器、温度传感器、机械特征传感器和数据采集单元；与既有GIS气压监测装置、开关机械特性监测装置、1500V直流断路器温度监测装置建立接口进行数据采集；并通过智慧地铁平台将数据上传至智能运维系统。</w:t>
      </w:r>
    </w:p>
    <w:p w14:paraId="56D12D4A">
      <w:pPr>
        <w:pStyle w:val="5"/>
        <w:ind w:left="0"/>
        <w:rPr>
          <w:i w:val="0"/>
          <w:iCs w:val="0"/>
          <w:color w:val="auto"/>
          <w:sz w:val="22"/>
          <w:szCs w:val="22"/>
          <w:highlight w:val="none"/>
        </w:rPr>
      </w:pPr>
      <w:bookmarkStart w:id="181" w:name="bookmark144"/>
      <w:bookmarkEnd w:id="181"/>
      <w:bookmarkStart w:id="182" w:name="bookmark143"/>
      <w:bookmarkEnd w:id="182"/>
      <w:bookmarkStart w:id="183" w:name="_Toc21562"/>
      <w:r>
        <w:rPr>
          <w:rFonts w:hint="eastAsia"/>
          <w:i w:val="0"/>
          <w:iCs w:val="0"/>
          <w:color w:val="auto"/>
          <w:sz w:val="22"/>
          <w:szCs w:val="22"/>
          <w:highlight w:val="none"/>
        </w:rPr>
        <w:t>系统方案</w:t>
      </w:r>
      <w:bookmarkEnd w:id="183"/>
    </w:p>
    <w:p w14:paraId="56D12D4B">
      <w:pPr>
        <w:pStyle w:val="34"/>
        <w:kinsoku w:val="0"/>
        <w:overflowPunct w:val="0"/>
        <w:spacing w:line="360" w:lineRule="auto"/>
        <w:rPr>
          <w:rFonts w:hint="eastAsia" w:ascii="宋体" w:hAnsi="宋体" w:eastAsia="宋体" w:cs="仿宋"/>
          <w:i w:val="0"/>
          <w:iCs w:val="0"/>
          <w:color w:val="auto"/>
          <w:sz w:val="2"/>
          <w:szCs w:val="2"/>
          <w:highlight w:val="none"/>
        </w:rPr>
      </w:pPr>
    </w:p>
    <w:p w14:paraId="56D12D4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新增采集设备的组网架构如下图所示，在车站设置采集前端通信处理机，分别与GIS气压采集单元、1500V触头温度采集单元、开关机械特性采集单元相联，采集单元下挂气压、温度、开关特性等传感器。前端处理机最终接入综合监控交换机，将数据通过综合监控骨干网上传至中心平台。</w:t>
      </w:r>
    </w:p>
    <w:p w14:paraId="56D12D4D">
      <w:pPr>
        <w:pStyle w:val="34"/>
        <w:kinsoku w:val="0"/>
        <w:overflowPunct w:val="0"/>
        <w:spacing w:line="360" w:lineRule="auto"/>
        <w:ind w:firstLine="560" w:firstLineChars="200"/>
        <w:jc w:val="left"/>
        <w:rPr>
          <w:rFonts w:hint="eastAsia" w:ascii="宋体" w:hAnsi="宋体" w:eastAsia="宋体" w:cs="仿宋"/>
          <w:i w:val="0"/>
          <w:iCs w:val="0"/>
          <w:color w:val="auto"/>
          <w:spacing w:val="-4"/>
          <w:sz w:val="16"/>
          <w:szCs w:val="16"/>
          <w:highlight w:val="none"/>
        </w:rPr>
      </w:pPr>
      <w:r>
        <w:rPr>
          <w:i w:val="0"/>
          <w:iCs w:val="0"/>
          <w:color w:val="auto"/>
          <w:highlight w:val="none"/>
        </w:rPr>
        <w:drawing>
          <wp:inline distT="0" distB="0" distL="114300" distR="114300">
            <wp:extent cx="5105400" cy="3337560"/>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25"/>
                    <a:stretch>
                      <a:fillRect/>
                    </a:stretch>
                  </pic:blipFill>
                  <pic:spPr>
                    <a:xfrm>
                      <a:off x="0" y="0"/>
                      <a:ext cx="5105400" cy="3337560"/>
                    </a:xfrm>
                    <a:prstGeom prst="rect">
                      <a:avLst/>
                    </a:prstGeom>
                    <a:noFill/>
                    <a:ln>
                      <a:noFill/>
                    </a:ln>
                  </pic:spPr>
                </pic:pic>
              </a:graphicData>
            </a:graphic>
          </wp:inline>
        </w:drawing>
      </w:r>
    </w:p>
    <w:p w14:paraId="56D12D4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智能运维系统根据设备监测点位、电气链接关系、运行环境等现状，利用可视化电路图、设备看板等方式，向用户直观呈现各个重点监控点位的位置、运行状态等。确保发生异常时可第一时间通知到维修人员，提升故障处置效率。</w:t>
      </w:r>
    </w:p>
    <w:p w14:paraId="56D12D4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在线路运行一段时间后，智能运维系统需基于大量运行数据进行智能分析，区分各监控指标的正常范围和超限状态，挖掘潜在隐患，并提前触发预警提醒维护人员进行干预；能对SF6气体泄漏、绝缘隔离失效、空开断路器击穿等异常状态进行提前预警。</w:t>
      </w:r>
    </w:p>
    <w:p w14:paraId="56D12D5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既有传感器统计如下：</w:t>
      </w:r>
    </w:p>
    <w:tbl>
      <w:tblPr>
        <w:tblStyle w:val="88"/>
        <w:tblW w:w="8318" w:type="dxa"/>
        <w:tblInd w:w="96" w:type="dxa"/>
        <w:tblLayout w:type="autofit"/>
        <w:tblCellMar>
          <w:top w:w="0" w:type="dxa"/>
          <w:left w:w="108" w:type="dxa"/>
          <w:bottom w:w="0" w:type="dxa"/>
          <w:right w:w="108" w:type="dxa"/>
        </w:tblCellMar>
      </w:tblPr>
      <w:tblGrid>
        <w:gridCol w:w="2901"/>
        <w:gridCol w:w="1976"/>
        <w:gridCol w:w="1572"/>
        <w:gridCol w:w="1080"/>
        <w:gridCol w:w="789"/>
      </w:tblGrid>
      <w:tr w14:paraId="56D12D57">
        <w:tblPrEx>
          <w:tblCellMar>
            <w:top w:w="0" w:type="dxa"/>
            <w:left w:w="108" w:type="dxa"/>
            <w:bottom w:w="0" w:type="dxa"/>
            <w:right w:w="108" w:type="dxa"/>
          </w:tblCellMar>
        </w:tblPrEx>
        <w:trPr>
          <w:trHeight w:val="427" w:hRule="atLeast"/>
        </w:trPr>
        <w:tc>
          <w:tcPr>
            <w:tcW w:w="2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1">
            <w:pPr>
              <w:pStyle w:val="143"/>
              <w:bidi w:val="0"/>
              <w:rPr>
                <w:i w:val="0"/>
                <w:iCs w:val="0"/>
                <w:color w:val="auto"/>
                <w:sz w:val="21"/>
                <w:szCs w:val="21"/>
                <w:highlight w:val="none"/>
              </w:rPr>
            </w:pPr>
            <w:r>
              <w:rPr>
                <w:rFonts w:hint="eastAsia"/>
                <w:i w:val="0"/>
                <w:iCs w:val="0"/>
                <w:color w:val="auto"/>
                <w:sz w:val="21"/>
                <w:szCs w:val="21"/>
                <w:highlight w:val="none"/>
              </w:rPr>
              <w:t>设备分类</w:t>
            </w:r>
          </w:p>
          <w:p w14:paraId="56D12D52">
            <w:pPr>
              <w:pStyle w:val="143"/>
              <w:bidi w:val="0"/>
              <w:rPr>
                <w:i w:val="0"/>
                <w:iCs w:val="0"/>
                <w:color w:val="auto"/>
                <w:sz w:val="21"/>
                <w:szCs w:val="21"/>
                <w:highlight w:val="none"/>
              </w:rPr>
            </w:pPr>
            <w:r>
              <w:rPr>
                <w:rFonts w:hint="eastAsia"/>
                <w:i w:val="0"/>
                <w:iCs w:val="0"/>
                <w:color w:val="auto"/>
                <w:sz w:val="21"/>
                <w:szCs w:val="21"/>
                <w:highlight w:val="none"/>
              </w:rPr>
              <w:t>站点</w:t>
            </w:r>
          </w:p>
        </w:tc>
        <w:tc>
          <w:tcPr>
            <w:tcW w:w="20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3">
            <w:pPr>
              <w:pStyle w:val="143"/>
              <w:bidi w:val="0"/>
              <w:rPr>
                <w:i w:val="0"/>
                <w:iCs w:val="0"/>
                <w:color w:val="auto"/>
                <w:sz w:val="21"/>
                <w:szCs w:val="21"/>
                <w:highlight w:val="none"/>
              </w:rPr>
            </w:pPr>
            <w:r>
              <w:rPr>
                <w:rFonts w:hint="eastAsia"/>
                <w:i w:val="0"/>
                <w:iCs w:val="0"/>
                <w:color w:val="auto"/>
                <w:sz w:val="21"/>
                <w:szCs w:val="21"/>
                <w:highlight w:val="none"/>
              </w:rPr>
              <w:t>典型牵引混合降压式变电所</w:t>
            </w:r>
          </w:p>
        </w:tc>
        <w:tc>
          <w:tcPr>
            <w:tcW w:w="1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4">
            <w:pPr>
              <w:pStyle w:val="143"/>
              <w:bidi w:val="0"/>
              <w:rPr>
                <w:i w:val="0"/>
                <w:iCs w:val="0"/>
                <w:color w:val="auto"/>
                <w:sz w:val="21"/>
                <w:szCs w:val="21"/>
                <w:highlight w:val="none"/>
              </w:rPr>
            </w:pPr>
            <w:r>
              <w:rPr>
                <w:rFonts w:hint="eastAsia"/>
                <w:i w:val="0"/>
                <w:iCs w:val="0"/>
                <w:color w:val="auto"/>
                <w:sz w:val="21"/>
                <w:szCs w:val="21"/>
                <w:highlight w:val="none"/>
              </w:rPr>
              <w:t>典型降压式变电所</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5">
            <w:pPr>
              <w:pStyle w:val="143"/>
              <w:bidi w:val="0"/>
              <w:rPr>
                <w:i w:val="0"/>
                <w:iCs w:val="0"/>
                <w:color w:val="auto"/>
                <w:sz w:val="21"/>
                <w:szCs w:val="21"/>
                <w:highlight w:val="none"/>
              </w:rPr>
            </w:pPr>
            <w:r>
              <w:rPr>
                <w:rFonts w:hint="eastAsia"/>
                <w:i w:val="0"/>
                <w:iCs w:val="0"/>
                <w:color w:val="auto"/>
                <w:sz w:val="21"/>
                <w:szCs w:val="21"/>
                <w:highlight w:val="none"/>
              </w:rPr>
              <w:t>通讯协议</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6">
            <w:pPr>
              <w:pStyle w:val="143"/>
              <w:bidi w:val="0"/>
              <w:rPr>
                <w:i w:val="0"/>
                <w:iCs w:val="0"/>
                <w:color w:val="auto"/>
                <w:sz w:val="21"/>
                <w:szCs w:val="21"/>
                <w:highlight w:val="none"/>
              </w:rPr>
            </w:pPr>
            <w:r>
              <w:rPr>
                <w:rFonts w:hint="eastAsia"/>
                <w:i w:val="0"/>
                <w:iCs w:val="0"/>
                <w:color w:val="auto"/>
                <w:sz w:val="21"/>
                <w:szCs w:val="21"/>
                <w:highlight w:val="none"/>
              </w:rPr>
              <w:t>接口</w:t>
            </w:r>
          </w:p>
        </w:tc>
      </w:tr>
      <w:tr w14:paraId="56D12D5E">
        <w:tblPrEx>
          <w:tblCellMar>
            <w:top w:w="0" w:type="dxa"/>
            <w:left w:w="108" w:type="dxa"/>
            <w:bottom w:w="0" w:type="dxa"/>
            <w:right w:w="108" w:type="dxa"/>
          </w:tblCellMar>
        </w:tblPrEx>
        <w:trPr>
          <w:trHeight w:val="23" w:hRule="atLeast"/>
        </w:trPr>
        <w:tc>
          <w:tcPr>
            <w:tcW w:w="2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8">
            <w:pPr>
              <w:pStyle w:val="143"/>
              <w:bidi w:val="0"/>
              <w:rPr>
                <w:i w:val="0"/>
                <w:iCs w:val="0"/>
                <w:color w:val="auto"/>
                <w:sz w:val="21"/>
                <w:szCs w:val="21"/>
                <w:highlight w:val="none"/>
              </w:rPr>
            </w:pPr>
            <w:r>
              <w:rPr>
                <w:rFonts w:hint="eastAsia"/>
                <w:i w:val="0"/>
                <w:iCs w:val="0"/>
                <w:color w:val="auto"/>
                <w:sz w:val="21"/>
                <w:szCs w:val="21"/>
                <w:highlight w:val="none"/>
              </w:rPr>
              <w:t>机械特征传感器</w:t>
            </w:r>
          </w:p>
          <w:p w14:paraId="56D12D59">
            <w:pPr>
              <w:pStyle w:val="143"/>
              <w:bidi w:val="0"/>
              <w:rPr>
                <w:i w:val="0"/>
                <w:iCs w:val="0"/>
                <w:color w:val="auto"/>
                <w:sz w:val="21"/>
                <w:szCs w:val="21"/>
                <w:highlight w:val="none"/>
              </w:rPr>
            </w:pPr>
            <w:r>
              <w:rPr>
                <w:rFonts w:hint="eastAsia"/>
                <w:i w:val="0"/>
                <w:iCs w:val="0"/>
                <w:color w:val="auto"/>
                <w:sz w:val="21"/>
                <w:szCs w:val="21"/>
                <w:highlight w:val="none"/>
              </w:rPr>
              <w:t>（高压柜交流开关动作）</w:t>
            </w:r>
          </w:p>
        </w:tc>
        <w:tc>
          <w:tcPr>
            <w:tcW w:w="20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A">
            <w:pPr>
              <w:pStyle w:val="143"/>
              <w:bidi w:val="0"/>
              <w:rPr>
                <w:i w:val="0"/>
                <w:iCs w:val="0"/>
                <w:color w:val="auto"/>
                <w:sz w:val="21"/>
                <w:szCs w:val="21"/>
                <w:highlight w:val="none"/>
              </w:rPr>
            </w:pPr>
            <w:r>
              <w:rPr>
                <w:rFonts w:hint="eastAsia"/>
                <w:i w:val="0"/>
                <w:iCs w:val="0"/>
                <w:color w:val="auto"/>
                <w:sz w:val="21"/>
                <w:szCs w:val="21"/>
                <w:highlight w:val="none"/>
              </w:rPr>
              <w:t>10</w:t>
            </w:r>
          </w:p>
        </w:tc>
        <w:tc>
          <w:tcPr>
            <w:tcW w:w="1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B">
            <w:pPr>
              <w:pStyle w:val="143"/>
              <w:bidi w:val="0"/>
              <w:rPr>
                <w:i w:val="0"/>
                <w:iCs w:val="0"/>
                <w:color w:val="auto"/>
                <w:sz w:val="21"/>
                <w:szCs w:val="21"/>
                <w:highlight w:val="none"/>
              </w:rPr>
            </w:pPr>
            <w:r>
              <w:rPr>
                <w:rFonts w:hint="eastAsia"/>
                <w:i w:val="0"/>
                <w:iCs w:val="0"/>
                <w:color w:val="auto"/>
                <w:sz w:val="21"/>
                <w:szCs w:val="21"/>
                <w:highlight w:val="none"/>
              </w:rPr>
              <w:t>7</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C">
            <w:pPr>
              <w:pStyle w:val="143"/>
              <w:bidi w:val="0"/>
              <w:rPr>
                <w:i w:val="0"/>
                <w:iCs w:val="0"/>
                <w:color w:val="auto"/>
                <w:sz w:val="21"/>
                <w:szCs w:val="21"/>
                <w:highlight w:val="none"/>
              </w:rPr>
            </w:pPr>
            <w:r>
              <w:rPr>
                <w:rFonts w:hint="eastAsia"/>
                <w:i w:val="0"/>
                <w:iCs w:val="0"/>
                <w:color w:val="auto"/>
                <w:sz w:val="21"/>
                <w:szCs w:val="21"/>
                <w:highlight w:val="none"/>
              </w:rPr>
              <w:t>Modbus</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D">
            <w:pPr>
              <w:pStyle w:val="143"/>
              <w:bidi w:val="0"/>
              <w:rPr>
                <w:i w:val="0"/>
                <w:iCs w:val="0"/>
                <w:color w:val="auto"/>
                <w:sz w:val="21"/>
                <w:szCs w:val="21"/>
                <w:highlight w:val="none"/>
              </w:rPr>
            </w:pPr>
            <w:r>
              <w:rPr>
                <w:rFonts w:hint="eastAsia"/>
                <w:i w:val="0"/>
                <w:iCs w:val="0"/>
                <w:color w:val="auto"/>
                <w:sz w:val="21"/>
                <w:szCs w:val="21"/>
                <w:highlight w:val="none"/>
              </w:rPr>
              <w:t>RJ45</w:t>
            </w:r>
          </w:p>
        </w:tc>
      </w:tr>
      <w:tr w14:paraId="56D12D65">
        <w:tblPrEx>
          <w:tblCellMar>
            <w:top w:w="0" w:type="dxa"/>
            <w:left w:w="108" w:type="dxa"/>
            <w:bottom w:w="0" w:type="dxa"/>
            <w:right w:w="108" w:type="dxa"/>
          </w:tblCellMar>
        </w:tblPrEx>
        <w:trPr>
          <w:trHeight w:val="23" w:hRule="atLeast"/>
        </w:trPr>
        <w:tc>
          <w:tcPr>
            <w:tcW w:w="2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5F">
            <w:pPr>
              <w:pStyle w:val="143"/>
              <w:bidi w:val="0"/>
              <w:rPr>
                <w:i w:val="0"/>
                <w:iCs w:val="0"/>
                <w:color w:val="auto"/>
                <w:sz w:val="21"/>
                <w:szCs w:val="21"/>
                <w:highlight w:val="none"/>
              </w:rPr>
            </w:pPr>
            <w:r>
              <w:rPr>
                <w:rFonts w:hint="eastAsia"/>
                <w:i w:val="0"/>
                <w:iCs w:val="0"/>
                <w:color w:val="auto"/>
                <w:sz w:val="21"/>
                <w:szCs w:val="21"/>
                <w:highlight w:val="none"/>
              </w:rPr>
              <w:t>气压传感器</w:t>
            </w:r>
          </w:p>
          <w:p w14:paraId="56D12D60">
            <w:pPr>
              <w:pStyle w:val="143"/>
              <w:bidi w:val="0"/>
              <w:rPr>
                <w:i w:val="0"/>
                <w:iCs w:val="0"/>
                <w:color w:val="auto"/>
                <w:sz w:val="21"/>
                <w:szCs w:val="21"/>
                <w:highlight w:val="none"/>
              </w:rPr>
            </w:pPr>
            <w:r>
              <w:rPr>
                <w:rFonts w:hint="eastAsia"/>
                <w:i w:val="0"/>
                <w:iCs w:val="0"/>
                <w:color w:val="auto"/>
                <w:sz w:val="21"/>
                <w:szCs w:val="21"/>
                <w:highlight w:val="none"/>
              </w:rPr>
              <w:t>（高压开关柜气压表）</w:t>
            </w:r>
          </w:p>
        </w:tc>
        <w:tc>
          <w:tcPr>
            <w:tcW w:w="20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1">
            <w:pPr>
              <w:pStyle w:val="143"/>
              <w:bidi w:val="0"/>
              <w:rPr>
                <w:i w:val="0"/>
                <w:iCs w:val="0"/>
                <w:color w:val="auto"/>
                <w:sz w:val="21"/>
                <w:szCs w:val="21"/>
                <w:highlight w:val="none"/>
              </w:rPr>
            </w:pPr>
            <w:r>
              <w:rPr>
                <w:rFonts w:hint="eastAsia"/>
                <w:i w:val="0"/>
                <w:iCs w:val="0"/>
                <w:color w:val="auto"/>
                <w:sz w:val="21"/>
                <w:szCs w:val="21"/>
                <w:highlight w:val="none"/>
              </w:rPr>
              <w:t>21</w:t>
            </w:r>
          </w:p>
        </w:tc>
        <w:tc>
          <w:tcPr>
            <w:tcW w:w="1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2">
            <w:pPr>
              <w:pStyle w:val="143"/>
              <w:bidi w:val="0"/>
              <w:rPr>
                <w:i w:val="0"/>
                <w:iCs w:val="0"/>
                <w:color w:val="auto"/>
                <w:sz w:val="21"/>
                <w:szCs w:val="21"/>
                <w:highlight w:val="none"/>
              </w:rPr>
            </w:pPr>
            <w:r>
              <w:rPr>
                <w:rFonts w:hint="eastAsia"/>
                <w:i w:val="0"/>
                <w:iCs w:val="0"/>
                <w:color w:val="auto"/>
                <w:sz w:val="21"/>
                <w:szCs w:val="21"/>
                <w:highlight w:val="none"/>
              </w:rPr>
              <w:t>15</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3">
            <w:pPr>
              <w:pStyle w:val="143"/>
              <w:bidi w:val="0"/>
              <w:rPr>
                <w:i w:val="0"/>
                <w:iCs w:val="0"/>
                <w:color w:val="auto"/>
                <w:sz w:val="21"/>
                <w:szCs w:val="21"/>
                <w:highlight w:val="none"/>
              </w:rPr>
            </w:pPr>
            <w:r>
              <w:rPr>
                <w:rFonts w:hint="eastAsia"/>
                <w:i w:val="0"/>
                <w:iCs w:val="0"/>
                <w:color w:val="auto"/>
                <w:sz w:val="21"/>
                <w:szCs w:val="21"/>
                <w:highlight w:val="none"/>
              </w:rPr>
              <w:t>IEC61850</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4">
            <w:pPr>
              <w:pStyle w:val="143"/>
              <w:bidi w:val="0"/>
              <w:rPr>
                <w:i w:val="0"/>
                <w:iCs w:val="0"/>
                <w:color w:val="auto"/>
                <w:sz w:val="21"/>
                <w:szCs w:val="21"/>
                <w:highlight w:val="none"/>
              </w:rPr>
            </w:pPr>
            <w:r>
              <w:rPr>
                <w:rFonts w:hint="eastAsia"/>
                <w:i w:val="0"/>
                <w:iCs w:val="0"/>
                <w:color w:val="auto"/>
                <w:sz w:val="21"/>
                <w:szCs w:val="21"/>
                <w:highlight w:val="none"/>
              </w:rPr>
              <w:t>RS485</w:t>
            </w:r>
          </w:p>
        </w:tc>
      </w:tr>
      <w:tr w14:paraId="56D12D6C">
        <w:tblPrEx>
          <w:tblCellMar>
            <w:top w:w="0" w:type="dxa"/>
            <w:left w:w="108" w:type="dxa"/>
            <w:bottom w:w="0" w:type="dxa"/>
            <w:right w:w="108" w:type="dxa"/>
          </w:tblCellMar>
        </w:tblPrEx>
        <w:trPr>
          <w:trHeight w:val="23" w:hRule="atLeast"/>
        </w:trPr>
        <w:tc>
          <w:tcPr>
            <w:tcW w:w="2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6">
            <w:pPr>
              <w:pStyle w:val="143"/>
              <w:bidi w:val="0"/>
              <w:rPr>
                <w:i w:val="0"/>
                <w:iCs w:val="0"/>
                <w:color w:val="auto"/>
                <w:sz w:val="21"/>
                <w:szCs w:val="21"/>
                <w:highlight w:val="none"/>
              </w:rPr>
            </w:pPr>
            <w:r>
              <w:rPr>
                <w:rFonts w:hint="eastAsia"/>
                <w:i w:val="0"/>
                <w:iCs w:val="0"/>
                <w:color w:val="auto"/>
                <w:sz w:val="21"/>
                <w:szCs w:val="21"/>
                <w:highlight w:val="none"/>
              </w:rPr>
              <w:t>温度传感器</w:t>
            </w:r>
          </w:p>
          <w:p w14:paraId="56D12D67">
            <w:pPr>
              <w:pStyle w:val="143"/>
              <w:bidi w:val="0"/>
              <w:rPr>
                <w:i w:val="0"/>
                <w:iCs w:val="0"/>
                <w:color w:val="auto"/>
                <w:sz w:val="21"/>
                <w:szCs w:val="21"/>
                <w:highlight w:val="none"/>
              </w:rPr>
            </w:pPr>
            <w:r>
              <w:rPr>
                <w:rFonts w:hint="eastAsia"/>
                <w:i w:val="0"/>
                <w:iCs w:val="0"/>
                <w:color w:val="auto"/>
                <w:sz w:val="21"/>
                <w:szCs w:val="21"/>
                <w:highlight w:val="none"/>
              </w:rPr>
              <w:t>（光纤测温系统）</w:t>
            </w:r>
          </w:p>
        </w:tc>
        <w:tc>
          <w:tcPr>
            <w:tcW w:w="20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8">
            <w:pPr>
              <w:pStyle w:val="143"/>
              <w:bidi w:val="0"/>
              <w:rPr>
                <w:i w:val="0"/>
                <w:iCs w:val="0"/>
                <w:color w:val="auto"/>
                <w:sz w:val="21"/>
                <w:szCs w:val="21"/>
                <w:highlight w:val="none"/>
              </w:rPr>
            </w:pPr>
            <w:r>
              <w:rPr>
                <w:rFonts w:hint="eastAsia"/>
                <w:i w:val="0"/>
                <w:iCs w:val="0"/>
                <w:color w:val="auto"/>
                <w:sz w:val="21"/>
                <w:szCs w:val="21"/>
                <w:highlight w:val="none"/>
              </w:rPr>
              <w:t>7</w:t>
            </w:r>
          </w:p>
        </w:tc>
        <w:tc>
          <w:tcPr>
            <w:tcW w:w="1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9">
            <w:pPr>
              <w:pStyle w:val="143"/>
              <w:bidi w:val="0"/>
              <w:rPr>
                <w:i w:val="0"/>
                <w:iCs w:val="0"/>
                <w:color w:val="auto"/>
                <w:sz w:val="21"/>
                <w:szCs w:val="21"/>
                <w:highlight w:val="none"/>
              </w:rPr>
            </w:pPr>
            <w:r>
              <w:rPr>
                <w:rFonts w:hint="eastAsia"/>
                <w:i w:val="0"/>
                <w:iCs w:val="0"/>
                <w:color w:val="auto"/>
                <w:sz w:val="21"/>
                <w:szCs w:val="21"/>
                <w:highlight w:val="none"/>
              </w:rPr>
              <w:t>/</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A">
            <w:pPr>
              <w:pStyle w:val="143"/>
              <w:bidi w:val="0"/>
              <w:rPr>
                <w:i w:val="0"/>
                <w:iCs w:val="0"/>
                <w:color w:val="auto"/>
                <w:sz w:val="21"/>
                <w:szCs w:val="21"/>
                <w:highlight w:val="none"/>
              </w:rPr>
            </w:pPr>
            <w:r>
              <w:rPr>
                <w:rFonts w:hint="eastAsia"/>
                <w:i w:val="0"/>
                <w:iCs w:val="0"/>
                <w:color w:val="auto"/>
                <w:sz w:val="21"/>
                <w:szCs w:val="21"/>
                <w:highlight w:val="none"/>
              </w:rPr>
              <w:t>Modbus</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B">
            <w:pPr>
              <w:pStyle w:val="143"/>
              <w:bidi w:val="0"/>
              <w:rPr>
                <w:i w:val="0"/>
                <w:iCs w:val="0"/>
                <w:color w:val="auto"/>
                <w:sz w:val="21"/>
                <w:szCs w:val="21"/>
                <w:highlight w:val="none"/>
              </w:rPr>
            </w:pPr>
            <w:r>
              <w:rPr>
                <w:rFonts w:hint="eastAsia"/>
                <w:i w:val="0"/>
                <w:iCs w:val="0"/>
                <w:color w:val="auto"/>
                <w:sz w:val="21"/>
                <w:szCs w:val="21"/>
                <w:highlight w:val="none"/>
              </w:rPr>
              <w:t>RJ45</w:t>
            </w:r>
          </w:p>
        </w:tc>
      </w:tr>
      <w:tr w14:paraId="56D12D73">
        <w:tblPrEx>
          <w:tblCellMar>
            <w:top w:w="0" w:type="dxa"/>
            <w:left w:w="108" w:type="dxa"/>
            <w:bottom w:w="0" w:type="dxa"/>
            <w:right w:w="108" w:type="dxa"/>
          </w:tblCellMar>
        </w:tblPrEx>
        <w:trPr>
          <w:trHeight w:val="23" w:hRule="atLeast"/>
        </w:trPr>
        <w:tc>
          <w:tcPr>
            <w:tcW w:w="29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D">
            <w:pPr>
              <w:pStyle w:val="143"/>
              <w:bidi w:val="0"/>
              <w:rPr>
                <w:i w:val="0"/>
                <w:iCs w:val="0"/>
                <w:color w:val="auto"/>
                <w:sz w:val="21"/>
                <w:szCs w:val="21"/>
                <w:highlight w:val="none"/>
              </w:rPr>
            </w:pPr>
            <w:r>
              <w:rPr>
                <w:rFonts w:hint="eastAsia"/>
                <w:i w:val="0"/>
                <w:iCs w:val="0"/>
                <w:color w:val="auto"/>
                <w:sz w:val="21"/>
                <w:szCs w:val="21"/>
                <w:highlight w:val="none"/>
              </w:rPr>
              <w:t>机械特征传感器</w:t>
            </w:r>
          </w:p>
          <w:p w14:paraId="56D12D6E">
            <w:pPr>
              <w:pStyle w:val="143"/>
              <w:bidi w:val="0"/>
              <w:rPr>
                <w:i w:val="0"/>
                <w:iCs w:val="0"/>
                <w:color w:val="auto"/>
                <w:sz w:val="21"/>
                <w:szCs w:val="21"/>
                <w:highlight w:val="none"/>
              </w:rPr>
            </w:pPr>
            <w:r>
              <w:rPr>
                <w:rFonts w:hint="eastAsia"/>
                <w:i w:val="0"/>
                <w:iCs w:val="0"/>
                <w:color w:val="auto"/>
                <w:sz w:val="21"/>
                <w:szCs w:val="21"/>
                <w:highlight w:val="none"/>
              </w:rPr>
              <w:t>（直流柜直流开关动作）</w:t>
            </w:r>
          </w:p>
        </w:tc>
        <w:tc>
          <w:tcPr>
            <w:tcW w:w="20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6F">
            <w:pPr>
              <w:pStyle w:val="143"/>
              <w:bidi w:val="0"/>
              <w:rPr>
                <w:i w:val="0"/>
                <w:iCs w:val="0"/>
                <w:color w:val="auto"/>
                <w:sz w:val="21"/>
                <w:szCs w:val="21"/>
                <w:highlight w:val="none"/>
              </w:rPr>
            </w:pPr>
            <w:r>
              <w:rPr>
                <w:rFonts w:hint="eastAsia"/>
                <w:i w:val="0"/>
                <w:iCs w:val="0"/>
                <w:color w:val="auto"/>
                <w:sz w:val="21"/>
                <w:szCs w:val="21"/>
                <w:highlight w:val="none"/>
              </w:rPr>
              <w:t>7</w:t>
            </w:r>
          </w:p>
        </w:tc>
        <w:tc>
          <w:tcPr>
            <w:tcW w:w="16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70">
            <w:pPr>
              <w:pStyle w:val="143"/>
              <w:bidi w:val="0"/>
              <w:rPr>
                <w:i w:val="0"/>
                <w:iCs w:val="0"/>
                <w:color w:val="auto"/>
                <w:sz w:val="21"/>
                <w:szCs w:val="21"/>
                <w:highlight w:val="none"/>
              </w:rPr>
            </w:pPr>
            <w:r>
              <w:rPr>
                <w:rFonts w:hint="eastAsia"/>
                <w:i w:val="0"/>
                <w:iCs w:val="0"/>
                <w:color w:val="auto"/>
                <w:sz w:val="21"/>
                <w:szCs w:val="21"/>
                <w:highlight w:val="none"/>
              </w:rPr>
              <w:t>/</w:t>
            </w:r>
          </w:p>
        </w:tc>
        <w:tc>
          <w:tcPr>
            <w:tcW w:w="9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71">
            <w:pPr>
              <w:pStyle w:val="143"/>
              <w:bidi w:val="0"/>
              <w:rPr>
                <w:i w:val="0"/>
                <w:iCs w:val="0"/>
                <w:color w:val="auto"/>
                <w:sz w:val="21"/>
                <w:szCs w:val="21"/>
                <w:highlight w:val="none"/>
              </w:rPr>
            </w:pPr>
            <w:r>
              <w:rPr>
                <w:rFonts w:hint="eastAsia"/>
                <w:i w:val="0"/>
                <w:iCs w:val="0"/>
                <w:color w:val="auto"/>
                <w:sz w:val="21"/>
                <w:szCs w:val="21"/>
                <w:highlight w:val="none"/>
              </w:rPr>
              <w:t>Modbus</w:t>
            </w:r>
          </w:p>
        </w:tc>
        <w:tc>
          <w:tcPr>
            <w:tcW w:w="75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72">
            <w:pPr>
              <w:pStyle w:val="143"/>
              <w:bidi w:val="0"/>
              <w:rPr>
                <w:i w:val="0"/>
                <w:iCs w:val="0"/>
                <w:color w:val="auto"/>
                <w:sz w:val="21"/>
                <w:szCs w:val="21"/>
                <w:highlight w:val="none"/>
              </w:rPr>
            </w:pPr>
            <w:r>
              <w:rPr>
                <w:rFonts w:hint="eastAsia"/>
                <w:i w:val="0"/>
                <w:iCs w:val="0"/>
                <w:color w:val="auto"/>
                <w:sz w:val="21"/>
                <w:szCs w:val="21"/>
                <w:highlight w:val="none"/>
              </w:rPr>
              <w:t>RJ45</w:t>
            </w:r>
          </w:p>
        </w:tc>
      </w:tr>
    </w:tbl>
    <w:p w14:paraId="56D12D7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专题六：投标人应提供完整的供电智能运维实施方案，包括但不限于数据分析算法、终端设备安装及线缆敷设方案；投标人应承诺所提供实施不影响供电系统正常运行；并满足消防要求。因施工缺陷导致的问题由投标人承担，投标人因对此进行综合考虑，相关费用包含在投标总价中。</w:t>
      </w:r>
    </w:p>
    <w:p w14:paraId="4519ACA6">
      <w:pPr>
        <w:pStyle w:val="5"/>
        <w:ind w:left="0"/>
        <w:rPr>
          <w:rFonts w:hint="eastAsia"/>
          <w:i w:val="0"/>
          <w:iCs w:val="0"/>
          <w:color w:val="auto"/>
          <w:sz w:val="22"/>
          <w:szCs w:val="22"/>
          <w:highlight w:val="none"/>
        </w:rPr>
      </w:pPr>
      <w:bookmarkStart w:id="184" w:name="_Toc21632"/>
      <w:r>
        <w:rPr>
          <w:rFonts w:hint="eastAsia"/>
          <w:i w:val="0"/>
          <w:iCs w:val="0"/>
          <w:color w:val="auto"/>
          <w:sz w:val="22"/>
          <w:szCs w:val="22"/>
          <w:highlight w:val="none"/>
        </w:rPr>
        <w:t>系统功能</w:t>
      </w:r>
      <w:bookmarkEnd w:id="184"/>
    </w:p>
    <w:p w14:paraId="050144D5">
      <w:pPr>
        <w:pStyle w:val="6"/>
        <w:ind w:left="0"/>
        <w:rPr>
          <w:rFonts w:hint="eastAsia"/>
          <w:i w:val="0"/>
          <w:iCs w:val="0"/>
          <w:color w:val="auto"/>
          <w:sz w:val="21"/>
          <w:szCs w:val="21"/>
          <w:highlight w:val="none"/>
        </w:rPr>
      </w:pPr>
      <w:r>
        <w:rPr>
          <w:rFonts w:hint="eastAsia"/>
          <w:i w:val="0"/>
          <w:iCs w:val="0"/>
          <w:color w:val="auto"/>
          <w:sz w:val="21"/>
          <w:szCs w:val="21"/>
          <w:highlight w:val="none"/>
        </w:rPr>
        <w:t>实时监测</w:t>
      </w:r>
    </w:p>
    <w:p w14:paraId="1CBA61C5">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高压开关柜气压表 GIS 气压监测</w:t>
      </w:r>
    </w:p>
    <w:p w14:paraId="3545737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实时采集：通过部署在高压开关柜气压表处的专用气压传感器，不间断获取GIS气压数据，并将数据实时传输至系统平台。</w:t>
      </w:r>
    </w:p>
    <w:p w14:paraId="446C9A1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数据展示：采用气压仪表盘的形式，在系统平台上清晰直观地呈现GIS气压的实时数值及变化情况，方便运维人员和管理人员随时查看。</w:t>
      </w:r>
    </w:p>
    <w:p w14:paraId="155F4A3B">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1500V直流断路器温度监测</w:t>
      </w:r>
    </w:p>
    <w:p w14:paraId="03AF7AE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实时采集：利用温度传感器等设备，对1500V直流断路器的温度进行实时采集，确保数据的准确性和及时性，并将温度数据传输至系统平台。</w:t>
      </w:r>
    </w:p>
    <w:p w14:paraId="7E0B802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数据展示：对开关柜及断路器进行可视化建模，在系统平台上展示1500V直流断路器的实时温度及温度变化情况，让相关人员能够清晰掌握温度状况。</w:t>
      </w:r>
    </w:p>
    <w:p w14:paraId="1A3F6E5F">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交直流断路器机械特性采集</w:t>
      </w:r>
    </w:p>
    <w:p w14:paraId="0E79FA1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实时采集：通过安装在交直流断路器上的动作监测传感器和电流传感器，实时采集分合闸动作状态、动作时间以及动作电流数据，并实时上传至系统平台。</w:t>
      </w:r>
    </w:p>
    <w:p w14:paraId="787B49E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数据展示：在系统平台上，以状态指示灯显示分合闸动作状态，以数字形式展示动作时间和动作电流的具体数值，同时绘制动作电流的变化趋势曲线，便于人员全面了解断路器的运行情况。</w:t>
      </w:r>
    </w:p>
    <w:p w14:paraId="2CCFC438">
      <w:pPr>
        <w:pStyle w:val="6"/>
        <w:ind w:left="0"/>
        <w:rPr>
          <w:rFonts w:hint="eastAsia"/>
          <w:i w:val="0"/>
          <w:iCs w:val="0"/>
          <w:color w:val="auto"/>
          <w:sz w:val="21"/>
          <w:szCs w:val="21"/>
          <w:highlight w:val="none"/>
        </w:rPr>
      </w:pPr>
      <w:r>
        <w:rPr>
          <w:rFonts w:hint="eastAsia"/>
          <w:i w:val="0"/>
          <w:iCs w:val="0"/>
          <w:color w:val="auto"/>
          <w:sz w:val="21"/>
          <w:szCs w:val="21"/>
          <w:highlight w:val="none"/>
        </w:rPr>
        <w:t>曲线分析</w:t>
      </w:r>
    </w:p>
    <w:p w14:paraId="39A757F5">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高压开关柜气压曲线分析</w:t>
      </w:r>
    </w:p>
    <w:p w14:paraId="63E6340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时间维度分析：支持按小时、天、周、月、年等不同时间维度查看气压曲线，分析气压在不同时间段的变化规律，如工作日与休息日的气压差异、季节变化对气压的影响等。</w:t>
      </w:r>
    </w:p>
    <w:p w14:paraId="1166210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异常识别：系统自动对气压曲线进行分析，当曲线出现超出正常波动范围的骤升、骤降或持续偏离正常阈值等情况时，自动标记异常段，并发出提示信息。</w:t>
      </w:r>
    </w:p>
    <w:p w14:paraId="160E878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趋势预测：结合历史气压曲线数据，运用大数据分析算法，对未来一段时间内的气压变化趋势进行预测，生成预测曲线，为提前做好设备维护提供参考。</w:t>
      </w:r>
    </w:p>
    <w:p w14:paraId="4672FCEC">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1500V直流断路器温度曲线分析</w:t>
      </w:r>
    </w:p>
    <w:p w14:paraId="445DB54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时间维度分析：可按不同时间粒度查看温度曲线，分析温度在一天中不同时段、一周内不同日期的变化情况，掌握温度变化的周期性规律。</w:t>
      </w:r>
    </w:p>
    <w:p w14:paraId="59FFA8C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异常识别：当温度曲线出现急剧上升、长时间居高不下或超出设定温度阈值等异常情况时，系统自动识别并高亮显示异常部分，便于快速定位问题。</w:t>
      </w:r>
    </w:p>
    <w:p w14:paraId="3FFAA12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趋势预测：基于历史温度数据，通过算法对未来温度变化趋势进行预测，提前预警可能出现的高温风险。</w:t>
      </w:r>
    </w:p>
    <w:p w14:paraId="0D060EBF">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交直流断路器曲线分析</w:t>
      </w:r>
    </w:p>
    <w:p w14:paraId="3C706F3B">
      <w:pPr>
        <w:pStyle w:val="142"/>
        <w:numPr>
          <w:ilvl w:val="0"/>
          <w:numId w:val="35"/>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开关量动作曲线分析</w:t>
      </w:r>
    </w:p>
    <w:p w14:paraId="40680CF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动作频率分析：通过对动作曲线的统计分析，计算单位时间内分合闸动作的次数，生成动作频率曲线，分析动作的频繁程度，判断设备是否处于异常工作状态。</w:t>
      </w:r>
    </w:p>
    <w:p w14:paraId="72C6341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动作时序分析：将分合闸动作曲线与其他相关数据曲线（如动作电流曲线）叠加分析，查看动作发生时的电流变化情况，判断动作是否正常。</w:t>
      </w:r>
    </w:p>
    <w:p w14:paraId="38C99127">
      <w:pPr>
        <w:pStyle w:val="142"/>
        <w:numPr>
          <w:ilvl w:val="0"/>
          <w:numId w:val="35"/>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交直流断路器动作时间曲线分析</w:t>
      </w:r>
    </w:p>
    <w:p w14:paraId="27D2589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时间分布分析：统计不同动作时间的分布情况，生成动作时间分布曲线，分析动作时间是否在合理范围内，是否存在过长或过短的异常情况。</w:t>
      </w:r>
    </w:p>
    <w:p w14:paraId="4B9C6C8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趋势分析：观察动作时间随时间的变化曲线，分析动作时间是否有逐渐变长或变短的趋势，判断设备的机械性能是否出现退化。</w:t>
      </w:r>
    </w:p>
    <w:p w14:paraId="4AFC0CD9">
      <w:pPr>
        <w:pStyle w:val="142"/>
        <w:numPr>
          <w:ilvl w:val="0"/>
          <w:numId w:val="35"/>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交直流断路器动作电流曲线分析</w:t>
      </w:r>
    </w:p>
    <w:p w14:paraId="4285B53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电流峰值分析：识别动作电流曲线中的峰值，分析峰值的大小及出现时间，判断动作过程中电流是否正常，是否存在过流现象。</w:t>
      </w:r>
    </w:p>
    <w:p w14:paraId="1E85539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变化速率分析：计算动作电流曲线的变化速率，当电流上升或下降速率异常时，系统自动标记，提示可能存在的电路故障。</w:t>
      </w:r>
    </w:p>
    <w:p w14:paraId="7BE4E7E6">
      <w:pPr>
        <w:pStyle w:val="6"/>
        <w:ind w:left="0"/>
        <w:rPr>
          <w:rFonts w:hint="eastAsia"/>
          <w:i w:val="0"/>
          <w:iCs w:val="0"/>
          <w:color w:val="auto"/>
          <w:sz w:val="21"/>
          <w:szCs w:val="21"/>
          <w:highlight w:val="none"/>
        </w:rPr>
      </w:pPr>
      <w:r>
        <w:rPr>
          <w:rFonts w:hint="eastAsia"/>
          <w:i w:val="0"/>
          <w:iCs w:val="0"/>
          <w:color w:val="auto"/>
          <w:sz w:val="21"/>
          <w:szCs w:val="21"/>
          <w:highlight w:val="none"/>
        </w:rPr>
        <w:t>设备健康评估</w:t>
      </w:r>
    </w:p>
    <w:p w14:paraId="253F7F4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对供电系统进行</w:t>
      </w:r>
      <w:r>
        <w:rPr>
          <w:rFonts w:hint="eastAsia"/>
          <w:i w:val="0"/>
          <w:iCs w:val="0"/>
          <w:color w:val="auto"/>
          <w:sz w:val="21"/>
          <w:szCs w:val="15"/>
          <w:highlight w:val="none"/>
          <w:lang w:val="zh-CN" w:eastAsia="zh-CN"/>
        </w:rPr>
        <w:t>健康</w:t>
      </w:r>
      <w:r>
        <w:rPr>
          <w:rFonts w:hint="eastAsia"/>
          <w:i w:val="0"/>
          <w:iCs w:val="0"/>
          <w:color w:val="auto"/>
          <w:sz w:val="21"/>
          <w:szCs w:val="15"/>
          <w:highlight w:val="none"/>
          <w:lang w:val="en-US" w:eastAsia="zh-CN"/>
        </w:rPr>
        <w:t>度进行计算</w:t>
      </w:r>
      <w:r>
        <w:rPr>
          <w:rFonts w:hint="eastAsia"/>
          <w:i w:val="0"/>
          <w:iCs w:val="0"/>
          <w:color w:val="auto"/>
          <w:sz w:val="21"/>
          <w:szCs w:val="15"/>
          <w:highlight w:val="none"/>
          <w:lang w:val="zh-CN" w:eastAsia="zh-CN"/>
        </w:rPr>
        <w:t>评估，其中需要计算的健康因子包括：</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6"/>
        <w:gridCol w:w="2131"/>
        <w:gridCol w:w="1939"/>
      </w:tblGrid>
      <w:tr w14:paraId="67959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1001E1F1">
            <w:pPr>
              <w:pStyle w:val="143"/>
              <w:bidi w:val="0"/>
              <w:rPr>
                <w:i w:val="0"/>
                <w:iCs w:val="0"/>
                <w:color w:val="auto"/>
                <w:sz w:val="21"/>
                <w:szCs w:val="21"/>
                <w:highlight w:val="none"/>
              </w:rPr>
            </w:pPr>
            <w:r>
              <w:rPr>
                <w:rFonts w:hint="eastAsia"/>
                <w:i w:val="0"/>
                <w:iCs w:val="0"/>
                <w:color w:val="auto"/>
                <w:sz w:val="21"/>
                <w:szCs w:val="21"/>
                <w:highlight w:val="none"/>
              </w:rPr>
              <w:t>序号</w:t>
            </w:r>
          </w:p>
        </w:tc>
        <w:tc>
          <w:tcPr>
            <w:tcW w:w="2131" w:type="dxa"/>
            <w:vAlign w:val="center"/>
          </w:tcPr>
          <w:p w14:paraId="3345A1A9">
            <w:pPr>
              <w:pStyle w:val="143"/>
              <w:bidi w:val="0"/>
              <w:rPr>
                <w:i w:val="0"/>
                <w:iCs w:val="0"/>
                <w:color w:val="auto"/>
                <w:sz w:val="21"/>
                <w:szCs w:val="21"/>
                <w:highlight w:val="none"/>
              </w:rPr>
            </w:pPr>
            <w:r>
              <w:rPr>
                <w:rFonts w:hint="eastAsia"/>
                <w:i w:val="0"/>
                <w:iCs w:val="0"/>
                <w:color w:val="auto"/>
                <w:sz w:val="21"/>
                <w:szCs w:val="21"/>
                <w:highlight w:val="none"/>
              </w:rPr>
              <w:t>因子名称</w:t>
            </w:r>
          </w:p>
        </w:tc>
        <w:tc>
          <w:tcPr>
            <w:tcW w:w="1939" w:type="dxa"/>
            <w:vAlign w:val="center"/>
          </w:tcPr>
          <w:p w14:paraId="11579256">
            <w:pPr>
              <w:pStyle w:val="143"/>
              <w:bidi w:val="0"/>
              <w:rPr>
                <w:i w:val="0"/>
                <w:iCs w:val="0"/>
                <w:color w:val="auto"/>
                <w:sz w:val="21"/>
                <w:szCs w:val="21"/>
                <w:highlight w:val="none"/>
              </w:rPr>
            </w:pPr>
            <w:r>
              <w:rPr>
                <w:rFonts w:hint="eastAsia"/>
                <w:i w:val="0"/>
                <w:iCs w:val="0"/>
                <w:color w:val="auto"/>
                <w:sz w:val="21"/>
                <w:szCs w:val="21"/>
                <w:highlight w:val="none"/>
              </w:rPr>
              <w:t>原始数据</w:t>
            </w:r>
          </w:p>
        </w:tc>
      </w:tr>
      <w:tr w14:paraId="05E61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715D8EDC">
            <w:pPr>
              <w:pStyle w:val="143"/>
              <w:bidi w:val="0"/>
              <w:rPr>
                <w:i w:val="0"/>
                <w:iCs w:val="0"/>
                <w:color w:val="auto"/>
                <w:sz w:val="21"/>
                <w:szCs w:val="21"/>
                <w:highlight w:val="none"/>
              </w:rPr>
            </w:pPr>
            <w:r>
              <w:rPr>
                <w:rFonts w:hint="eastAsia"/>
                <w:i w:val="0"/>
                <w:iCs w:val="0"/>
                <w:color w:val="auto"/>
                <w:sz w:val="21"/>
                <w:szCs w:val="21"/>
                <w:highlight w:val="none"/>
              </w:rPr>
              <w:t>1</w:t>
            </w:r>
          </w:p>
        </w:tc>
        <w:tc>
          <w:tcPr>
            <w:tcW w:w="2131" w:type="dxa"/>
            <w:vAlign w:val="center"/>
          </w:tcPr>
          <w:p w14:paraId="2D3E7E17">
            <w:pPr>
              <w:pStyle w:val="143"/>
              <w:bidi w:val="0"/>
              <w:rPr>
                <w:i w:val="0"/>
                <w:iCs w:val="0"/>
                <w:color w:val="auto"/>
                <w:sz w:val="21"/>
                <w:szCs w:val="21"/>
                <w:highlight w:val="none"/>
              </w:rPr>
            </w:pPr>
            <w:r>
              <w:rPr>
                <w:rFonts w:hint="eastAsia"/>
                <w:i w:val="0"/>
                <w:iCs w:val="0"/>
                <w:color w:val="auto"/>
                <w:sz w:val="21"/>
                <w:szCs w:val="21"/>
                <w:highlight w:val="none"/>
              </w:rPr>
              <w:t>GIS气压</w:t>
            </w:r>
          </w:p>
        </w:tc>
        <w:tc>
          <w:tcPr>
            <w:tcW w:w="1939" w:type="dxa"/>
            <w:vAlign w:val="center"/>
          </w:tcPr>
          <w:p w14:paraId="51780F0C">
            <w:pPr>
              <w:pStyle w:val="143"/>
              <w:bidi w:val="0"/>
              <w:rPr>
                <w:i w:val="0"/>
                <w:iCs w:val="0"/>
                <w:color w:val="auto"/>
                <w:sz w:val="21"/>
                <w:szCs w:val="21"/>
                <w:highlight w:val="none"/>
              </w:rPr>
            </w:pPr>
            <w:r>
              <w:rPr>
                <w:rFonts w:hint="eastAsia"/>
                <w:i w:val="0"/>
                <w:iCs w:val="0"/>
                <w:color w:val="auto"/>
                <w:sz w:val="21"/>
                <w:szCs w:val="21"/>
                <w:highlight w:val="none"/>
              </w:rPr>
              <w:t>GIS气压</w:t>
            </w:r>
          </w:p>
        </w:tc>
      </w:tr>
      <w:tr w14:paraId="26168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684A60B9">
            <w:pPr>
              <w:pStyle w:val="143"/>
              <w:bidi w:val="0"/>
              <w:rPr>
                <w:i w:val="0"/>
                <w:iCs w:val="0"/>
                <w:color w:val="auto"/>
                <w:sz w:val="21"/>
                <w:szCs w:val="21"/>
                <w:highlight w:val="none"/>
              </w:rPr>
            </w:pPr>
            <w:r>
              <w:rPr>
                <w:rFonts w:hint="eastAsia"/>
                <w:i w:val="0"/>
                <w:iCs w:val="0"/>
                <w:color w:val="auto"/>
                <w:sz w:val="21"/>
                <w:szCs w:val="21"/>
                <w:highlight w:val="none"/>
              </w:rPr>
              <w:t>2</w:t>
            </w:r>
          </w:p>
        </w:tc>
        <w:tc>
          <w:tcPr>
            <w:tcW w:w="2131" w:type="dxa"/>
            <w:vAlign w:val="center"/>
          </w:tcPr>
          <w:p w14:paraId="086D7E10">
            <w:pPr>
              <w:pStyle w:val="143"/>
              <w:bidi w:val="0"/>
              <w:rPr>
                <w:i w:val="0"/>
                <w:iCs w:val="0"/>
                <w:color w:val="auto"/>
                <w:sz w:val="21"/>
                <w:szCs w:val="21"/>
                <w:highlight w:val="none"/>
              </w:rPr>
            </w:pPr>
            <w:r>
              <w:rPr>
                <w:rFonts w:hint="eastAsia"/>
                <w:i w:val="0"/>
                <w:iCs w:val="0"/>
                <w:color w:val="auto"/>
                <w:sz w:val="21"/>
                <w:szCs w:val="21"/>
                <w:highlight w:val="none"/>
              </w:rPr>
              <w:t>气压变化率</w:t>
            </w:r>
          </w:p>
        </w:tc>
        <w:tc>
          <w:tcPr>
            <w:tcW w:w="1939" w:type="dxa"/>
            <w:vAlign w:val="center"/>
          </w:tcPr>
          <w:p w14:paraId="6B89F205">
            <w:pPr>
              <w:pStyle w:val="143"/>
              <w:bidi w:val="0"/>
              <w:rPr>
                <w:i w:val="0"/>
                <w:iCs w:val="0"/>
                <w:color w:val="auto"/>
                <w:sz w:val="21"/>
                <w:szCs w:val="21"/>
                <w:highlight w:val="none"/>
              </w:rPr>
            </w:pPr>
            <w:r>
              <w:rPr>
                <w:rFonts w:hint="eastAsia"/>
                <w:i w:val="0"/>
                <w:iCs w:val="0"/>
                <w:color w:val="auto"/>
                <w:sz w:val="21"/>
                <w:szCs w:val="21"/>
                <w:highlight w:val="none"/>
              </w:rPr>
              <w:t>GIS气压</w:t>
            </w:r>
          </w:p>
        </w:tc>
      </w:tr>
      <w:tr w14:paraId="6E235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49E7E8A4">
            <w:pPr>
              <w:pStyle w:val="143"/>
              <w:bidi w:val="0"/>
              <w:rPr>
                <w:i w:val="0"/>
                <w:iCs w:val="0"/>
                <w:color w:val="auto"/>
                <w:sz w:val="21"/>
                <w:szCs w:val="21"/>
                <w:highlight w:val="none"/>
              </w:rPr>
            </w:pPr>
            <w:r>
              <w:rPr>
                <w:rFonts w:hint="eastAsia"/>
                <w:i w:val="0"/>
                <w:iCs w:val="0"/>
                <w:color w:val="auto"/>
                <w:sz w:val="21"/>
                <w:szCs w:val="21"/>
                <w:highlight w:val="none"/>
              </w:rPr>
              <w:t>3</w:t>
            </w:r>
          </w:p>
        </w:tc>
        <w:tc>
          <w:tcPr>
            <w:tcW w:w="2131" w:type="dxa"/>
            <w:vAlign w:val="center"/>
          </w:tcPr>
          <w:p w14:paraId="60D4BABC">
            <w:pPr>
              <w:pStyle w:val="143"/>
              <w:bidi w:val="0"/>
              <w:rPr>
                <w:i w:val="0"/>
                <w:iCs w:val="0"/>
                <w:color w:val="auto"/>
                <w:sz w:val="21"/>
                <w:szCs w:val="21"/>
                <w:highlight w:val="none"/>
              </w:rPr>
            </w:pPr>
            <w:r>
              <w:rPr>
                <w:rFonts w:hint="eastAsia"/>
                <w:i w:val="0"/>
                <w:iCs w:val="0"/>
                <w:color w:val="auto"/>
                <w:sz w:val="21"/>
                <w:szCs w:val="21"/>
                <w:highlight w:val="none"/>
              </w:rPr>
              <w:t>分闸时间</w:t>
            </w:r>
          </w:p>
        </w:tc>
        <w:tc>
          <w:tcPr>
            <w:tcW w:w="1939" w:type="dxa"/>
            <w:vAlign w:val="center"/>
          </w:tcPr>
          <w:p w14:paraId="5C0CB25C">
            <w:pPr>
              <w:pStyle w:val="143"/>
              <w:bidi w:val="0"/>
              <w:rPr>
                <w:i w:val="0"/>
                <w:iCs w:val="0"/>
                <w:color w:val="auto"/>
                <w:sz w:val="21"/>
                <w:szCs w:val="21"/>
                <w:highlight w:val="none"/>
              </w:rPr>
            </w:pPr>
            <w:r>
              <w:rPr>
                <w:rFonts w:hint="eastAsia"/>
                <w:i w:val="0"/>
                <w:iCs w:val="0"/>
                <w:color w:val="auto"/>
                <w:sz w:val="21"/>
                <w:szCs w:val="21"/>
                <w:highlight w:val="none"/>
              </w:rPr>
              <w:t>机械特征</w:t>
            </w:r>
          </w:p>
        </w:tc>
      </w:tr>
      <w:tr w14:paraId="099E6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5D6B9D16">
            <w:pPr>
              <w:pStyle w:val="143"/>
              <w:bidi w:val="0"/>
              <w:rPr>
                <w:i w:val="0"/>
                <w:iCs w:val="0"/>
                <w:color w:val="auto"/>
                <w:sz w:val="21"/>
                <w:szCs w:val="21"/>
                <w:highlight w:val="none"/>
              </w:rPr>
            </w:pPr>
            <w:r>
              <w:rPr>
                <w:rFonts w:hint="eastAsia"/>
                <w:i w:val="0"/>
                <w:iCs w:val="0"/>
                <w:color w:val="auto"/>
                <w:sz w:val="21"/>
                <w:szCs w:val="21"/>
                <w:highlight w:val="none"/>
              </w:rPr>
              <w:t>4</w:t>
            </w:r>
          </w:p>
        </w:tc>
        <w:tc>
          <w:tcPr>
            <w:tcW w:w="2131" w:type="dxa"/>
            <w:vAlign w:val="center"/>
          </w:tcPr>
          <w:p w14:paraId="04763355">
            <w:pPr>
              <w:pStyle w:val="143"/>
              <w:bidi w:val="0"/>
              <w:rPr>
                <w:i w:val="0"/>
                <w:iCs w:val="0"/>
                <w:color w:val="auto"/>
                <w:sz w:val="21"/>
                <w:szCs w:val="21"/>
                <w:highlight w:val="none"/>
              </w:rPr>
            </w:pPr>
            <w:r>
              <w:rPr>
                <w:rFonts w:hint="eastAsia"/>
                <w:i w:val="0"/>
                <w:iCs w:val="0"/>
                <w:color w:val="auto"/>
                <w:sz w:val="21"/>
                <w:szCs w:val="21"/>
                <w:highlight w:val="none"/>
              </w:rPr>
              <w:t>合闸时间</w:t>
            </w:r>
          </w:p>
        </w:tc>
        <w:tc>
          <w:tcPr>
            <w:tcW w:w="1939" w:type="dxa"/>
            <w:vAlign w:val="center"/>
          </w:tcPr>
          <w:p w14:paraId="459BEB4B">
            <w:pPr>
              <w:pStyle w:val="143"/>
              <w:bidi w:val="0"/>
              <w:rPr>
                <w:i w:val="0"/>
                <w:iCs w:val="0"/>
                <w:color w:val="auto"/>
                <w:sz w:val="21"/>
                <w:szCs w:val="21"/>
                <w:highlight w:val="none"/>
              </w:rPr>
            </w:pPr>
            <w:r>
              <w:rPr>
                <w:rFonts w:hint="eastAsia"/>
                <w:i w:val="0"/>
                <w:iCs w:val="0"/>
                <w:color w:val="auto"/>
                <w:sz w:val="21"/>
                <w:szCs w:val="21"/>
                <w:highlight w:val="none"/>
              </w:rPr>
              <w:t>机械特征</w:t>
            </w:r>
          </w:p>
        </w:tc>
      </w:tr>
      <w:tr w14:paraId="0AF0B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1C8459EE">
            <w:pPr>
              <w:pStyle w:val="143"/>
              <w:bidi w:val="0"/>
              <w:rPr>
                <w:i w:val="0"/>
                <w:iCs w:val="0"/>
                <w:color w:val="auto"/>
                <w:sz w:val="21"/>
                <w:szCs w:val="21"/>
                <w:highlight w:val="none"/>
              </w:rPr>
            </w:pPr>
            <w:r>
              <w:rPr>
                <w:rFonts w:hint="eastAsia"/>
                <w:i w:val="0"/>
                <w:iCs w:val="0"/>
                <w:color w:val="auto"/>
                <w:sz w:val="21"/>
                <w:szCs w:val="21"/>
                <w:highlight w:val="none"/>
              </w:rPr>
              <w:t>5</w:t>
            </w:r>
          </w:p>
        </w:tc>
        <w:tc>
          <w:tcPr>
            <w:tcW w:w="2131" w:type="dxa"/>
            <w:vAlign w:val="center"/>
          </w:tcPr>
          <w:p w14:paraId="1C7AB7BC">
            <w:pPr>
              <w:pStyle w:val="143"/>
              <w:bidi w:val="0"/>
              <w:rPr>
                <w:i w:val="0"/>
                <w:iCs w:val="0"/>
                <w:color w:val="auto"/>
                <w:sz w:val="21"/>
                <w:szCs w:val="21"/>
                <w:highlight w:val="none"/>
              </w:rPr>
            </w:pPr>
            <w:r>
              <w:rPr>
                <w:rFonts w:hint="eastAsia"/>
                <w:i w:val="0"/>
                <w:iCs w:val="0"/>
                <w:color w:val="auto"/>
                <w:sz w:val="21"/>
                <w:szCs w:val="21"/>
                <w:highlight w:val="none"/>
              </w:rPr>
              <w:t>动态温升</w:t>
            </w:r>
          </w:p>
        </w:tc>
        <w:tc>
          <w:tcPr>
            <w:tcW w:w="1939" w:type="dxa"/>
            <w:vAlign w:val="center"/>
          </w:tcPr>
          <w:p w14:paraId="2AE76A96">
            <w:pPr>
              <w:pStyle w:val="143"/>
              <w:bidi w:val="0"/>
              <w:rPr>
                <w:i w:val="0"/>
                <w:iCs w:val="0"/>
                <w:color w:val="auto"/>
                <w:sz w:val="21"/>
                <w:szCs w:val="21"/>
                <w:highlight w:val="none"/>
              </w:rPr>
            </w:pPr>
            <w:r>
              <w:rPr>
                <w:rFonts w:hint="eastAsia"/>
                <w:i w:val="0"/>
                <w:iCs w:val="0"/>
                <w:color w:val="auto"/>
                <w:sz w:val="21"/>
                <w:szCs w:val="21"/>
                <w:highlight w:val="none"/>
              </w:rPr>
              <w:t>温度</w:t>
            </w:r>
          </w:p>
        </w:tc>
      </w:tr>
      <w:tr w14:paraId="21118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4F424744">
            <w:pPr>
              <w:pStyle w:val="143"/>
              <w:bidi w:val="0"/>
              <w:rPr>
                <w:i w:val="0"/>
                <w:iCs w:val="0"/>
                <w:color w:val="auto"/>
                <w:sz w:val="21"/>
                <w:szCs w:val="21"/>
                <w:highlight w:val="none"/>
              </w:rPr>
            </w:pPr>
            <w:r>
              <w:rPr>
                <w:rFonts w:hint="eastAsia"/>
                <w:i w:val="0"/>
                <w:iCs w:val="0"/>
                <w:color w:val="auto"/>
                <w:sz w:val="21"/>
                <w:szCs w:val="21"/>
                <w:highlight w:val="none"/>
              </w:rPr>
              <w:t>6</w:t>
            </w:r>
          </w:p>
        </w:tc>
        <w:tc>
          <w:tcPr>
            <w:tcW w:w="2131" w:type="dxa"/>
            <w:vAlign w:val="center"/>
          </w:tcPr>
          <w:p w14:paraId="3CB4CC40">
            <w:pPr>
              <w:pStyle w:val="143"/>
              <w:bidi w:val="0"/>
              <w:rPr>
                <w:i w:val="0"/>
                <w:iCs w:val="0"/>
                <w:color w:val="auto"/>
                <w:sz w:val="21"/>
                <w:szCs w:val="21"/>
                <w:highlight w:val="none"/>
              </w:rPr>
            </w:pPr>
            <w:r>
              <w:rPr>
                <w:rFonts w:hint="eastAsia"/>
                <w:i w:val="0"/>
                <w:iCs w:val="0"/>
                <w:color w:val="auto"/>
                <w:sz w:val="21"/>
                <w:szCs w:val="21"/>
                <w:highlight w:val="none"/>
              </w:rPr>
              <w:t>稳态温升</w:t>
            </w:r>
          </w:p>
        </w:tc>
        <w:tc>
          <w:tcPr>
            <w:tcW w:w="1939" w:type="dxa"/>
            <w:vAlign w:val="center"/>
          </w:tcPr>
          <w:p w14:paraId="7F0C9733">
            <w:pPr>
              <w:pStyle w:val="143"/>
              <w:bidi w:val="0"/>
              <w:rPr>
                <w:i w:val="0"/>
                <w:iCs w:val="0"/>
                <w:color w:val="auto"/>
                <w:sz w:val="21"/>
                <w:szCs w:val="21"/>
                <w:highlight w:val="none"/>
              </w:rPr>
            </w:pPr>
            <w:r>
              <w:rPr>
                <w:rFonts w:hint="eastAsia"/>
                <w:i w:val="0"/>
                <w:iCs w:val="0"/>
                <w:color w:val="auto"/>
                <w:sz w:val="21"/>
                <w:szCs w:val="21"/>
                <w:highlight w:val="none"/>
              </w:rPr>
              <w:t>温度</w:t>
            </w:r>
          </w:p>
        </w:tc>
      </w:tr>
      <w:tr w14:paraId="21730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6" w:type="dxa"/>
            <w:vAlign w:val="center"/>
          </w:tcPr>
          <w:p w14:paraId="3924263F">
            <w:pPr>
              <w:pStyle w:val="143"/>
              <w:bidi w:val="0"/>
              <w:rPr>
                <w:i w:val="0"/>
                <w:iCs w:val="0"/>
                <w:color w:val="auto"/>
                <w:sz w:val="21"/>
                <w:szCs w:val="21"/>
                <w:highlight w:val="none"/>
              </w:rPr>
            </w:pPr>
            <w:r>
              <w:rPr>
                <w:rFonts w:hint="eastAsia"/>
                <w:i w:val="0"/>
                <w:iCs w:val="0"/>
                <w:color w:val="auto"/>
                <w:sz w:val="21"/>
                <w:szCs w:val="21"/>
                <w:highlight w:val="none"/>
              </w:rPr>
              <w:t>7</w:t>
            </w:r>
          </w:p>
        </w:tc>
        <w:tc>
          <w:tcPr>
            <w:tcW w:w="2131" w:type="dxa"/>
            <w:vAlign w:val="center"/>
          </w:tcPr>
          <w:p w14:paraId="3ADC204B">
            <w:pPr>
              <w:pStyle w:val="143"/>
              <w:bidi w:val="0"/>
              <w:rPr>
                <w:i w:val="0"/>
                <w:iCs w:val="0"/>
                <w:color w:val="auto"/>
                <w:sz w:val="21"/>
                <w:szCs w:val="21"/>
                <w:highlight w:val="none"/>
              </w:rPr>
            </w:pPr>
            <w:r>
              <w:rPr>
                <w:rFonts w:hint="eastAsia"/>
                <w:i w:val="0"/>
                <w:iCs w:val="0"/>
                <w:color w:val="auto"/>
                <w:sz w:val="21"/>
                <w:szCs w:val="21"/>
                <w:highlight w:val="none"/>
              </w:rPr>
              <w:t>相对温升</w:t>
            </w:r>
          </w:p>
        </w:tc>
        <w:tc>
          <w:tcPr>
            <w:tcW w:w="1939" w:type="dxa"/>
            <w:vAlign w:val="center"/>
          </w:tcPr>
          <w:p w14:paraId="29CFBC2F">
            <w:pPr>
              <w:pStyle w:val="143"/>
              <w:bidi w:val="0"/>
              <w:rPr>
                <w:i w:val="0"/>
                <w:iCs w:val="0"/>
                <w:color w:val="auto"/>
                <w:sz w:val="21"/>
                <w:szCs w:val="21"/>
                <w:highlight w:val="none"/>
              </w:rPr>
            </w:pPr>
            <w:r>
              <w:rPr>
                <w:rFonts w:hint="eastAsia"/>
                <w:i w:val="0"/>
                <w:iCs w:val="0"/>
                <w:color w:val="auto"/>
                <w:sz w:val="21"/>
                <w:szCs w:val="21"/>
                <w:highlight w:val="none"/>
              </w:rPr>
              <w:t>温度</w:t>
            </w:r>
          </w:p>
        </w:tc>
      </w:tr>
    </w:tbl>
    <w:p w14:paraId="5F3A6202">
      <w:pPr>
        <w:pStyle w:val="6"/>
        <w:ind w:left="0"/>
        <w:rPr>
          <w:rFonts w:hint="eastAsia"/>
          <w:i w:val="0"/>
          <w:iCs w:val="0"/>
          <w:color w:val="auto"/>
          <w:sz w:val="21"/>
          <w:szCs w:val="21"/>
          <w:highlight w:val="none"/>
        </w:rPr>
      </w:pPr>
      <w:r>
        <w:rPr>
          <w:rFonts w:hint="eastAsia"/>
          <w:i w:val="0"/>
          <w:iCs w:val="0"/>
          <w:color w:val="auto"/>
          <w:sz w:val="21"/>
          <w:szCs w:val="21"/>
          <w:highlight w:val="none"/>
        </w:rPr>
        <w:t>故障诊断</w:t>
      </w:r>
    </w:p>
    <w:p w14:paraId="5DCED3E5">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故障识别功能</w:t>
      </w:r>
    </w:p>
    <w:p w14:paraId="62A3EAFB">
      <w:pPr>
        <w:pStyle w:val="142"/>
        <w:numPr>
          <w:ilvl w:val="0"/>
          <w:numId w:val="36"/>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高压开关柜气压故障识别</w:t>
      </w:r>
    </w:p>
    <w:p w14:paraId="457A838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气压过低识别：当监测到GIS气压持续低于设定的最低阈值，且排除传感器故障后，系统判定为气压过低故障。</w:t>
      </w:r>
    </w:p>
    <w:p w14:paraId="08141AC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气压骤降识别：若GIS气压在短时间内下降幅度超过设定值，系统识别为气压骤降故障，可能存在漏气情况。</w:t>
      </w:r>
    </w:p>
    <w:p w14:paraId="0652E948">
      <w:pPr>
        <w:pStyle w:val="142"/>
        <w:numPr>
          <w:ilvl w:val="0"/>
          <w:numId w:val="36"/>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1500V直流断路器温度故障识别</w:t>
      </w:r>
    </w:p>
    <w:p w14:paraId="35CC251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温度过高识别：当1500V直流断路器温度超过设定的最高阈值时，系统判定为温度过高故障。</w:t>
      </w:r>
    </w:p>
    <w:p w14:paraId="73B84E4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温度骤升识别：若温度在短时间内上升幅度超过设定值，系统识别为温度骤升故障，可能存在过载或接触不良等问题。</w:t>
      </w:r>
    </w:p>
    <w:p w14:paraId="009EFE77">
      <w:pPr>
        <w:pStyle w:val="142"/>
        <w:numPr>
          <w:ilvl w:val="0"/>
          <w:numId w:val="36"/>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交直流断路器故障识别</w:t>
      </w:r>
    </w:p>
    <w:p w14:paraId="6E94CF9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分合闸动作异常识别：当系统监测到分合闸动作与指令不符（如指令合闸但实际分闸）、无指令情况下自动分合闸，或动作响应延迟超过设定时间时，判定为分合闸动作异常故障。</w:t>
      </w:r>
    </w:p>
    <w:p w14:paraId="5DED45E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动作时间异常识别：若动作时间超出正常范围（过长或过短），且多次出现该情况，系统识别为动作时间异常故障。</w:t>
      </w:r>
    </w:p>
    <w:p w14:paraId="729E7C3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动作电流异常识别：当动作电流超过额定电流的设定倍数，或电流为零（无动作电流）时，系统判定为动作电流异常故障。</w:t>
      </w:r>
    </w:p>
    <w:p w14:paraId="45101BA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结合诊断知识库输出故障类型和故障原因，同时给出对应的检修建议和工器具、备件要求，诊断覆盖范围包括：GIS气压缓降、GIS气压骤降、GIS气压波动、分闸时间延长、合闸时间波动、分合闸时差过大、动态温升过大、稳态温升过大、相对温升过大。</w:t>
      </w:r>
    </w:p>
    <w:p w14:paraId="2A266A89">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故障原因分析功能</w:t>
      </w:r>
    </w:p>
    <w:p w14:paraId="1ED1E0E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基于规则库的原因分析：系统内置故障原因规则库，存储各类故障与可能原因的对应关系。当识别出故障后，系统根据故障类型和相关数据，从规则库中匹配可能的原因。</w:t>
      </w:r>
    </w:p>
    <w:p w14:paraId="74AE2DF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如GIS气压过低，可能原因包括密封件老化、阀门泄漏等。</w:t>
      </w:r>
    </w:p>
    <w:p w14:paraId="59278A4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1500V直流断路器温度过高，可能原因有散热风扇故障、触头氧化导致接触电阻增大等。</w:t>
      </w:r>
    </w:p>
    <w:p w14:paraId="5CF1466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交直流断路器动作电流异常，可能原因包括线圈短路、电源电压异常等。</w:t>
      </w:r>
    </w:p>
    <w:p w14:paraId="2F277BA5">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基于历史数据的原因分析：系统对历史故障数据和处理结果进行分析，挖掘故障与原因之间的潜在关联。当出现类似故障时，结合历史数据给出更精准的原因分析，例如某一型号交直流断路器多次出现动作时间过长故障，历史处理结果多为机构卡涩，系统则优先考虑该原因。</w:t>
      </w:r>
    </w:p>
    <w:p w14:paraId="18BF3DB0">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故障处理建议功能</w:t>
      </w:r>
    </w:p>
    <w:p w14:paraId="7BAE4D1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自动生成处理建议：根据故障原因分析结果，系统从预设的处理方案库中调取对应的处理建议，包括操作步骤、所需工具、注意事项等。</w:t>
      </w:r>
    </w:p>
    <w:p w14:paraId="68D1835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如针对GIS气压过低故障，建议检查密封部位、进行补气操作等。</w:t>
      </w:r>
    </w:p>
    <w:p w14:paraId="48A87BC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对于 1500V 直流断路器温度过高，建议检查散热系统、清理触头氧化层等。</w:t>
      </w:r>
    </w:p>
    <w:p w14:paraId="02A1F6C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处理建议优先级排序：当同一设备同时出现多种故障或一种故障有多种处理建议时，系统根据故障的严重程度、影响范围等因素，对处理建议进行优先级排序，引导运维人员优先处理关键问题。</w:t>
      </w:r>
    </w:p>
    <w:p w14:paraId="1A844C6B">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历史故障分析与趋势预测功能</w:t>
      </w:r>
    </w:p>
    <w:p w14:paraId="6074537A">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历史故障查询：系统存储所有故障的详细信息，包括故障时间、设备、类型、原因、处理结果等，支持按时间、设备类型、故障类型等条件进行查询和统计。</w:t>
      </w:r>
    </w:p>
    <w:p w14:paraId="69B35F6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故障趋势分析：通过对历史故障数据的统计分析，生成故障趋势曲线，展示不同设备、不同故障类型的发生频率和变化趋势。例如，分析某类高压开关柜GIS气压故障的月度发生次数变化，判断故障是否有增多趋势。</w:t>
      </w:r>
    </w:p>
    <w:p w14:paraId="2160352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故障预测：结合故障趋势分析和实时监测数据，对可能发生的故障进行预测。如根据1500V直流断路器温度的上升趋势，预测未来可能出现温度过高故障，并提前发出预警。</w:t>
      </w:r>
    </w:p>
    <w:p w14:paraId="02E41C99">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故障报警与通知功能</w:t>
      </w:r>
    </w:p>
    <w:p w14:paraId="0429BDA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多级报警：根据故障的严重程度（如轻微故障、一般故障、严重故障），系统发出不同级别的报警信号（如声音、灯光、弹窗等），提醒运维人员及时处理。</w:t>
      </w:r>
    </w:p>
    <w:p w14:paraId="505C64C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自动通知：系统可通过短信、系统消息等方式，将故障信息（包括故障设备、类型、位置、建议处理措施）自动发送给相关运维人员和管理人员，确保信息及时传递。</w:t>
      </w:r>
    </w:p>
    <w:p w14:paraId="0392822C">
      <w:pPr>
        <w:pStyle w:val="6"/>
        <w:ind w:left="0"/>
        <w:rPr>
          <w:rFonts w:hint="eastAsia"/>
          <w:i w:val="0"/>
          <w:iCs w:val="0"/>
          <w:color w:val="auto"/>
          <w:sz w:val="21"/>
          <w:szCs w:val="21"/>
          <w:highlight w:val="none"/>
        </w:rPr>
      </w:pPr>
      <w:r>
        <w:rPr>
          <w:rFonts w:hint="eastAsia"/>
          <w:i w:val="0"/>
          <w:iCs w:val="0"/>
          <w:color w:val="auto"/>
          <w:sz w:val="21"/>
          <w:szCs w:val="21"/>
          <w:highlight w:val="none"/>
        </w:rPr>
        <w:t>故障预测</w:t>
      </w:r>
    </w:p>
    <w:p w14:paraId="748E8A7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en-US" w:eastAsia="zh-CN"/>
        </w:rPr>
        <w:t>通过对GIS气压、温升和机械特性波形进行预测实现对相关故障的预测，支持12小时和</w:t>
      </w:r>
      <w:r>
        <w:rPr>
          <w:rFonts w:hint="eastAsia"/>
          <w:i w:val="0"/>
          <w:iCs w:val="0"/>
          <w:color w:val="auto"/>
          <w:sz w:val="21"/>
          <w:szCs w:val="15"/>
          <w:highlight w:val="none"/>
          <w:lang w:val="zh-CN" w:eastAsia="zh-CN"/>
        </w:rPr>
        <w:t>5天两种颗粒度的预测，且预测准确率高于95%。</w:t>
      </w:r>
    </w:p>
    <w:p w14:paraId="448F8E2D">
      <w:pPr>
        <w:pStyle w:val="6"/>
        <w:ind w:left="0"/>
        <w:rPr>
          <w:rFonts w:hint="eastAsia"/>
          <w:i w:val="0"/>
          <w:iCs w:val="0"/>
          <w:color w:val="auto"/>
          <w:sz w:val="21"/>
          <w:szCs w:val="21"/>
          <w:highlight w:val="none"/>
        </w:rPr>
      </w:pPr>
      <w:r>
        <w:rPr>
          <w:rFonts w:hint="eastAsia"/>
          <w:i w:val="0"/>
          <w:iCs w:val="0"/>
          <w:color w:val="auto"/>
          <w:sz w:val="21"/>
          <w:szCs w:val="21"/>
          <w:highlight w:val="none"/>
        </w:rPr>
        <w:t>故障回放</w:t>
      </w:r>
    </w:p>
    <w:p w14:paraId="524E35AE">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同一界面时间轴构建</w:t>
      </w:r>
    </w:p>
    <w:p w14:paraId="1D6E2C2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系统在同一界面构建统一的时间轴，将高压开关柜气压表 GIS 气压、1500V 直流断路器温度的变化曲线，交直流断路器分合闸动作的状态标记（如合闸为“1”、分闸为“0”）、动作时间的数值点、动作电流的变化曲线等，均按时间顺序对应到该时间轴上进行展示。</w:t>
      </w:r>
    </w:p>
    <w:p w14:paraId="26A19DA1">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时间戳精准定位与切面显示</w:t>
      </w:r>
    </w:p>
    <w:p w14:paraId="2128F6D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通过时间戳，系统可精准定位到任意一个时间点，形成时间切面。在该时间切面上，同步显示该时间点所有数据的具体数值和状态，如某一时刻的GIS气压值、直流断路器温度值、交直流断路器是否处于分合闸状态、此时的动作时间（若有动作）和动作电流值等。</w:t>
      </w:r>
    </w:p>
    <w:p w14:paraId="3B9174C9">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故障时间点标记</w:t>
      </w:r>
    </w:p>
    <w:p w14:paraId="563A1A16">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在时间轴上，用醒目的特殊标记（如红色闪烁点）标注故障发生的时间点，方便运维人员快速定位到故障发生时刻，集中查看故障前后的数据变化。</w:t>
      </w:r>
    </w:p>
    <w:p w14:paraId="0E079A62">
      <w:pPr>
        <w:pStyle w:val="7"/>
        <w:rPr>
          <w:rFonts w:hint="eastAsia" w:ascii="Times New Roman" w:hAnsi="Times New Roman"/>
          <w:bCs w:val="0"/>
          <w:i w:val="0"/>
          <w:iCs w:val="0"/>
          <w:color w:val="auto"/>
          <w:sz w:val="21"/>
          <w:szCs w:val="15"/>
          <w:highlight w:val="none"/>
          <w:lang w:val="en-US"/>
        </w:rPr>
      </w:pPr>
      <w:r>
        <w:rPr>
          <w:rFonts w:hint="eastAsia" w:ascii="Times New Roman" w:hAnsi="Times New Roman"/>
          <w:bCs w:val="0"/>
          <w:i w:val="0"/>
          <w:iCs w:val="0"/>
          <w:color w:val="auto"/>
          <w:sz w:val="21"/>
          <w:szCs w:val="15"/>
          <w:highlight w:val="none"/>
          <w:lang w:val="en-US"/>
        </w:rPr>
        <w:t>故障时段与正常时段对比</w:t>
      </w:r>
    </w:p>
    <w:p w14:paraId="54BA53A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系统支持选取故障发生时段的数据与历史正常运行时段的同期数据进行对比回放。在同一界面分区域或叠加展示两个时段的各数据变化曲线和状态，通过颜色区分（如故障时段用红色，正常时段用蓝色），直观呈现两者的差异。例如，对比故障时和正常时的 GIS 气压变化趋势、1500V直流断路器温度的波动范围等。</w:t>
      </w:r>
    </w:p>
    <w:p w14:paraId="0B281466">
      <w:pPr>
        <w:pStyle w:val="6"/>
        <w:ind w:left="0"/>
        <w:rPr>
          <w:rFonts w:hint="eastAsia"/>
          <w:i w:val="0"/>
          <w:iCs w:val="0"/>
          <w:color w:val="auto"/>
          <w:sz w:val="21"/>
          <w:szCs w:val="21"/>
          <w:highlight w:val="none"/>
        </w:rPr>
      </w:pPr>
      <w:r>
        <w:rPr>
          <w:rFonts w:hint="eastAsia"/>
          <w:i w:val="0"/>
          <w:iCs w:val="0"/>
          <w:color w:val="auto"/>
          <w:sz w:val="21"/>
          <w:szCs w:val="21"/>
          <w:highlight w:val="none"/>
        </w:rPr>
        <w:t>统计分析</w:t>
      </w:r>
    </w:p>
    <w:p w14:paraId="1BA341A8">
      <w:pPr>
        <w:pStyle w:val="7"/>
        <w:rPr>
          <w:rFonts w:hint="eastAsia" w:ascii="Times New Roman" w:hAnsi="Times New Roman"/>
          <w:bCs w:val="0"/>
          <w:i w:val="0"/>
          <w:iCs w:val="0"/>
          <w:color w:val="auto"/>
          <w:sz w:val="21"/>
          <w:szCs w:val="15"/>
          <w:highlight w:val="none"/>
          <w:lang w:val="zh-CN"/>
        </w:rPr>
      </w:pPr>
      <w:r>
        <w:rPr>
          <w:rFonts w:hint="eastAsia" w:ascii="Times New Roman" w:hAnsi="Times New Roman"/>
          <w:bCs w:val="0"/>
          <w:i w:val="0"/>
          <w:iCs w:val="0"/>
          <w:color w:val="auto"/>
          <w:sz w:val="21"/>
          <w:szCs w:val="15"/>
          <w:highlight w:val="none"/>
          <w:lang w:val="zh-CN"/>
        </w:rPr>
        <w:t>基础统计分析功能</w:t>
      </w:r>
    </w:p>
    <w:p w14:paraId="611A9123">
      <w:pPr>
        <w:pStyle w:val="142"/>
        <w:numPr>
          <w:ilvl w:val="0"/>
          <w:numId w:val="37"/>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高压开关柜GIS气压统计</w:t>
      </w:r>
    </w:p>
    <w:p w14:paraId="533ED40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计算一定时间范围内（如每小时、每天、每月）的气压平均值、最大值、最小值、标准差，反映气压的整体水平、波动范围和离散程度。</w:t>
      </w:r>
    </w:p>
    <w:p w14:paraId="2C58714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统计气压处于正常阈值范围内的时长占比，以及超出阈值的次数和时长，评估气压的稳定性。</w:t>
      </w:r>
    </w:p>
    <w:p w14:paraId="57FF5443">
      <w:pPr>
        <w:pStyle w:val="142"/>
        <w:numPr>
          <w:ilvl w:val="0"/>
          <w:numId w:val="37"/>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1500V直流断路器温度统计</w:t>
      </w:r>
    </w:p>
    <w:p w14:paraId="79507E8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统计一定时间内的温度平均值、最大值、最小值、极差，掌握温度的整体变化情况。</w:t>
      </w:r>
    </w:p>
    <w:p w14:paraId="201217D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计算温度在不同区间（如正常区间、预警区间、故障区间）的分布频次和占比，分析温度的分布特征。</w:t>
      </w:r>
    </w:p>
    <w:p w14:paraId="71299268">
      <w:pPr>
        <w:pStyle w:val="142"/>
        <w:numPr>
          <w:ilvl w:val="0"/>
          <w:numId w:val="37"/>
        </w:numPr>
        <w:ind w:left="0" w:leftChars="0" w:firstLine="420" w:firstLineChars="20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交直流断路器统计</w:t>
      </w:r>
    </w:p>
    <w:p w14:paraId="62E290E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分合闸动作：统计单位时间内（如每小时、每天）的分闸次数、合闸次数，计算分合闸动作频率，分析动作的频繁程度。</w:t>
      </w:r>
    </w:p>
    <w:p w14:paraId="28DE925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动作时间：计算动作时间的平均值、最大值、最小值、标准差，统计动作时间在正常范围内的占比，以及超出正常范围的次数。</w:t>
      </w:r>
    </w:p>
    <w:p w14:paraId="7DA1D17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动作电流：统计动作电流的平均值、峰值、谷值，计算电流的波动幅度，分析动作电流的整体状况。</w:t>
      </w:r>
    </w:p>
    <w:p w14:paraId="43ED168C">
      <w:pPr>
        <w:pStyle w:val="7"/>
        <w:rPr>
          <w:rFonts w:hint="eastAsia" w:ascii="Times New Roman" w:hAnsi="Times New Roman"/>
          <w:bCs w:val="0"/>
          <w:i w:val="0"/>
          <w:iCs w:val="0"/>
          <w:color w:val="auto"/>
          <w:sz w:val="21"/>
          <w:szCs w:val="15"/>
          <w:highlight w:val="none"/>
          <w:lang w:val="zh-CN"/>
        </w:rPr>
      </w:pPr>
      <w:r>
        <w:rPr>
          <w:rFonts w:hint="eastAsia" w:ascii="Times New Roman" w:hAnsi="Times New Roman"/>
          <w:bCs w:val="0"/>
          <w:i w:val="0"/>
          <w:iCs w:val="0"/>
          <w:color w:val="auto"/>
          <w:sz w:val="21"/>
          <w:szCs w:val="15"/>
          <w:highlight w:val="none"/>
          <w:lang w:val="zh-CN"/>
        </w:rPr>
        <w:t>趋势统计分析功能</w:t>
      </w:r>
    </w:p>
    <w:p w14:paraId="7986D6B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时间序列趋势分析：按日、周、月、年等时间维度，对各类数据进行趋势统计，绘制趋势曲线图。</w:t>
      </w:r>
    </w:p>
    <w:p w14:paraId="44E927B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如绘制GIS气压的日变化趋势图，观察一天中气压的波动规律；绘制1500V直流断路器温度的月度趋势图，分析温度随月份的变化趋势。</w:t>
      </w:r>
    </w:p>
    <w:p w14:paraId="3FA57883">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通过趋势图，识别数据的上升、下降或周期性变化趋势，提前发现潜在的设备运行问题。</w:t>
      </w:r>
    </w:p>
    <w:p w14:paraId="4A0D1C0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累计趋势分析：对交直流断路器的分合闸动作次数、动作时间累计值、动作电流累计值等进行累计统计，绘制累计趋势图，分析设备的使用强度和损耗情况。</w:t>
      </w:r>
    </w:p>
    <w:p w14:paraId="73F9C5C2">
      <w:pPr>
        <w:pStyle w:val="7"/>
        <w:rPr>
          <w:rFonts w:hint="eastAsia" w:ascii="Times New Roman" w:hAnsi="Times New Roman"/>
          <w:bCs w:val="0"/>
          <w:i w:val="0"/>
          <w:iCs w:val="0"/>
          <w:color w:val="auto"/>
          <w:sz w:val="21"/>
          <w:szCs w:val="15"/>
          <w:highlight w:val="none"/>
          <w:lang w:val="zh-CN"/>
        </w:rPr>
      </w:pPr>
      <w:r>
        <w:rPr>
          <w:rFonts w:hint="eastAsia" w:ascii="Times New Roman" w:hAnsi="Times New Roman"/>
          <w:bCs w:val="0"/>
          <w:i w:val="0"/>
          <w:iCs w:val="0"/>
          <w:color w:val="auto"/>
          <w:sz w:val="21"/>
          <w:szCs w:val="15"/>
          <w:highlight w:val="none"/>
          <w:lang w:val="zh-CN"/>
        </w:rPr>
        <w:t>设备对比统计分析功能</w:t>
      </w:r>
    </w:p>
    <w:p w14:paraId="502495AB">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同类型设备对比：选取多台同类型设备（如同型号高压开关柜、同规格交直流断路器），对其相同数据指标（如GIS气压平均值、分合闸动作频率等）进行统计对比，生成对比表格或柱状图、折线图等。</w:t>
      </w:r>
    </w:p>
    <w:p w14:paraId="268E941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分析设备之间的性能差异，找出运行状态较好和较差的设备，为设备维护和更换提供参考。</w:t>
      </w:r>
    </w:p>
    <w:p w14:paraId="46D32CF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不同设备关联对比：统计分析不同设备数据之间的关联性，如分析1500V直流断路器温度与交直流断路器动作电流之间的关系，判断两者是否存在相关性，为设备故障原因分析提供线索。</w:t>
      </w:r>
    </w:p>
    <w:p w14:paraId="2E6FC815">
      <w:pPr>
        <w:pStyle w:val="7"/>
        <w:rPr>
          <w:rFonts w:hint="eastAsia" w:ascii="Times New Roman" w:hAnsi="Times New Roman"/>
          <w:bCs w:val="0"/>
          <w:i w:val="0"/>
          <w:iCs w:val="0"/>
          <w:color w:val="auto"/>
          <w:sz w:val="21"/>
          <w:szCs w:val="15"/>
          <w:highlight w:val="none"/>
          <w:lang w:val="zh-CN"/>
        </w:rPr>
      </w:pPr>
      <w:r>
        <w:rPr>
          <w:rFonts w:hint="eastAsia" w:ascii="Times New Roman" w:hAnsi="Times New Roman"/>
          <w:bCs w:val="0"/>
          <w:i w:val="0"/>
          <w:iCs w:val="0"/>
          <w:color w:val="auto"/>
          <w:sz w:val="21"/>
          <w:szCs w:val="15"/>
          <w:highlight w:val="none"/>
          <w:lang w:val="zh-CN"/>
        </w:rPr>
        <w:t>故障相关统计分析功能</w:t>
      </w:r>
    </w:p>
    <w:p w14:paraId="115B9FC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故障时数据特征统计：统计故障发生时，各类数据的具体数值及范围，如故障发生时GIS气压的平均值、最大值、最小值，1500V 直流断路器的温度范围等，总结故障发生时的数据特征。</w:t>
      </w:r>
    </w:p>
    <w:p w14:paraId="030C659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故障与数据变化关联性统计：分析故障发生前各类数据的变化趋势与故障发生的关联性，如统计在温度骤升后多长时间内发生故障的概率，为故障预警提供依据。</w:t>
      </w:r>
    </w:p>
    <w:p w14:paraId="0DA2075C">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故障频次与数据指标统计：按不同数据指标的异常情况（如GIS气压过低、动作电流异常等），统计对应的故障发生频次，找出与故障关联度较高的数据指标。</w:t>
      </w:r>
    </w:p>
    <w:p w14:paraId="1C00FC10">
      <w:pPr>
        <w:pStyle w:val="7"/>
        <w:rPr>
          <w:rFonts w:hint="eastAsia" w:ascii="Times New Roman" w:hAnsi="Times New Roman"/>
          <w:bCs w:val="0"/>
          <w:i w:val="0"/>
          <w:iCs w:val="0"/>
          <w:color w:val="auto"/>
          <w:sz w:val="21"/>
          <w:szCs w:val="15"/>
          <w:highlight w:val="none"/>
          <w:lang w:val="zh-CN"/>
        </w:rPr>
      </w:pPr>
      <w:r>
        <w:rPr>
          <w:rFonts w:hint="eastAsia" w:ascii="Times New Roman" w:hAnsi="Times New Roman"/>
          <w:bCs w:val="0"/>
          <w:i w:val="0"/>
          <w:iCs w:val="0"/>
          <w:color w:val="auto"/>
          <w:sz w:val="21"/>
          <w:szCs w:val="15"/>
          <w:highlight w:val="none"/>
          <w:lang w:val="zh-CN"/>
        </w:rPr>
        <w:t>报表生成与展示功能</w:t>
      </w:r>
    </w:p>
    <w:p w14:paraId="6CD2BFA9">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自动生成统计报表：系统根据预设的统计周期（如日报、周报、月报）和统计内容，自动生成各类统计报表，包括数据基础统计报表、趋势分析报表、设备对比报表、故障相关统计报表等。</w:t>
      </w:r>
    </w:p>
    <w:p w14:paraId="6C0FAC08">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多样化展示形式：报表以表格、柱状图、折线图、饼图、曲线图等多种形式展示，直观清晰地呈现统计结果，方便管理人员快速了解设备运行状况和数据变化趋势。</w:t>
      </w:r>
    </w:p>
    <w:p w14:paraId="30478FA4">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报表自定义与导出：支持用户根据需求自定义统计报表的内容、格式和展示方式，同时支持报表的导出功能，可导出为Excel等格式，便于数据存档和分享。</w:t>
      </w:r>
    </w:p>
    <w:p w14:paraId="56D12D76">
      <w:pPr>
        <w:pStyle w:val="5"/>
        <w:ind w:left="0"/>
        <w:rPr>
          <w:i w:val="0"/>
          <w:iCs w:val="0"/>
          <w:color w:val="auto"/>
          <w:sz w:val="22"/>
          <w:szCs w:val="22"/>
          <w:highlight w:val="none"/>
        </w:rPr>
      </w:pPr>
      <w:bookmarkStart w:id="185" w:name="bookmark145"/>
      <w:bookmarkEnd w:id="185"/>
      <w:bookmarkStart w:id="186" w:name="_Toc15297"/>
      <w:r>
        <w:rPr>
          <w:rFonts w:hint="eastAsia"/>
          <w:i w:val="0"/>
          <w:iCs w:val="0"/>
          <w:color w:val="auto"/>
          <w:sz w:val="22"/>
          <w:szCs w:val="22"/>
          <w:highlight w:val="none"/>
        </w:rPr>
        <w:t>系统接口</w:t>
      </w:r>
      <w:bookmarkEnd w:id="186"/>
    </w:p>
    <w:p w14:paraId="56D12D77">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供电运维系统部署于中心的云化服务器，通过在增加车站监测服务器采集数据，通过综合监控系统与智慧地铁系统网络接口，获取车站供电系统设备运行状态数据，采用软件协议完成数据交换，接口划分如图所示：</w:t>
      </w:r>
    </w:p>
    <w:p w14:paraId="56D12D78">
      <w:pPr>
        <w:pStyle w:val="34"/>
        <w:kinsoku w:val="0"/>
        <w:overflowPunct w:val="0"/>
        <w:spacing w:line="360" w:lineRule="auto"/>
        <w:rPr>
          <w:rFonts w:hint="eastAsia" w:ascii="宋体" w:hAnsi="宋体" w:eastAsia="宋体" w:cs="仿宋"/>
          <w:i w:val="0"/>
          <w:iCs w:val="0"/>
          <w:color w:val="auto"/>
          <w:sz w:val="2"/>
          <w:szCs w:val="2"/>
          <w:highlight w:val="none"/>
        </w:rPr>
      </w:pPr>
    </w:p>
    <w:p w14:paraId="56D12D79">
      <w:pPr>
        <w:pStyle w:val="34"/>
        <w:kinsoku w:val="0"/>
        <w:overflowPunct w:val="0"/>
        <w:spacing w:line="360" w:lineRule="auto"/>
        <w:ind w:left="44"/>
        <w:jc w:val="center"/>
        <w:rPr>
          <w:rFonts w:hint="eastAsia" w:ascii="宋体" w:hAnsi="宋体" w:eastAsia="宋体" w:cs="宋体"/>
          <w:i w:val="0"/>
          <w:iCs w:val="0"/>
          <w:color w:val="auto"/>
          <w:sz w:val="13"/>
          <w:szCs w:val="13"/>
          <w:highlight w:val="none"/>
        </w:rPr>
      </w:pPr>
      <w:r>
        <w:rPr>
          <w:rFonts w:hint="eastAsia"/>
          <w:i w:val="0"/>
          <w:iCs w:val="0"/>
          <w:color w:val="auto"/>
          <w:sz w:val="21"/>
          <w:szCs w:val="20"/>
          <w:highlight w:val="none"/>
        </w:rPr>
        <w:drawing>
          <wp:inline distT="0" distB="0" distL="0" distR="0">
            <wp:extent cx="238760" cy="67945"/>
            <wp:effectExtent l="0" t="0" r="5080" b="8255"/>
            <wp:docPr id="20209745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74535" name="图片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38760" cy="67945"/>
                    </a:xfrm>
                    <a:prstGeom prst="rect">
                      <a:avLst/>
                    </a:prstGeom>
                    <a:noFill/>
                    <a:ln>
                      <a:noFill/>
                    </a:ln>
                  </pic:spPr>
                </pic:pic>
              </a:graphicData>
            </a:graphic>
          </wp:inline>
        </w:drawing>
      </w:r>
      <w:r>
        <w:rPr>
          <w:rFonts w:hint="eastAsia"/>
          <w:i w:val="0"/>
          <w:iCs w:val="0"/>
          <w:color w:val="auto"/>
          <w:sz w:val="21"/>
          <w:szCs w:val="20"/>
          <w:highlight w:val="none"/>
        </w:rPr>
        <w:drawing>
          <wp:inline distT="0" distB="0" distL="0" distR="0">
            <wp:extent cx="238760" cy="67945"/>
            <wp:effectExtent l="0" t="0" r="5080" b="8255"/>
            <wp:docPr id="1253565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65317" name="图片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38760" cy="67945"/>
                    </a:xfrm>
                    <a:prstGeom prst="rect">
                      <a:avLst/>
                    </a:prstGeom>
                    <a:noFill/>
                    <a:ln>
                      <a:noFill/>
                    </a:ln>
                  </pic:spPr>
                </pic:pic>
              </a:graphicData>
            </a:graphic>
          </wp:inline>
        </w:drawing>
      </w:r>
      <w:r>
        <w:rPr>
          <w:rFonts w:hint="eastAsia" w:ascii="宋体" w:hAnsi="宋体" w:eastAsia="宋体"/>
          <w:i w:val="0"/>
          <w:iCs w:val="0"/>
          <w:color w:val="auto"/>
          <w:sz w:val="13"/>
          <w:szCs w:val="13"/>
          <w:highlight w:val="none"/>
        </w:rPr>
        <w:t>接口分界</w:t>
      </w:r>
    </w:p>
    <w:p w14:paraId="56D12D7A">
      <w:pPr>
        <w:pStyle w:val="34"/>
        <w:kinsoku w:val="0"/>
        <w:overflowPunct w:val="0"/>
        <w:spacing w:line="360" w:lineRule="auto"/>
        <w:rPr>
          <w:rFonts w:hint="eastAsia" w:ascii="宋体" w:hAnsi="宋体" w:eastAsia="宋体"/>
          <w:i w:val="0"/>
          <w:iCs w:val="0"/>
          <w:color w:val="auto"/>
          <w:sz w:val="2"/>
          <w:szCs w:val="2"/>
          <w:highlight w:val="none"/>
        </w:rPr>
      </w:pPr>
    </w:p>
    <w:p w14:paraId="56D12D7B">
      <w:pPr>
        <w:pStyle w:val="34"/>
        <w:kinsoku w:val="0"/>
        <w:overflowPunct w:val="0"/>
        <w:spacing w:line="360" w:lineRule="auto"/>
        <w:ind w:left="442"/>
        <w:rPr>
          <w:rFonts w:hint="eastAsia" w:ascii="宋体" w:hAnsi="宋体" w:eastAsia="宋体"/>
          <w:i w:val="0"/>
          <w:iCs w:val="0"/>
          <w:color w:val="auto"/>
          <w:position w:val="-35"/>
          <w:sz w:val="10"/>
          <w:szCs w:val="10"/>
          <w:highlight w:val="none"/>
        </w:rPr>
      </w:pPr>
      <w:r>
        <w:rPr>
          <w:rFonts w:hint="eastAsia"/>
          <w:i w:val="0"/>
          <w:iCs w:val="0"/>
          <w:color w:val="auto"/>
          <w:sz w:val="21"/>
          <w:szCs w:val="20"/>
          <w:highlight w:val="none"/>
        </w:rPr>
        <w:drawing>
          <wp:inline distT="0" distB="0" distL="0" distR="0">
            <wp:extent cx="4801235" cy="966470"/>
            <wp:effectExtent l="0" t="0" r="14605" b="8890"/>
            <wp:docPr id="1562267037" name="图片 3"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267037" name="图片 3" descr="图片包含 图形用户界面&#10;&#10;AI 生成的内容可能不正确。"/>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801235" cy="966470"/>
                    </a:xfrm>
                    <a:prstGeom prst="rect">
                      <a:avLst/>
                    </a:prstGeom>
                    <a:noFill/>
                    <a:ln>
                      <a:noFill/>
                    </a:ln>
                  </pic:spPr>
                </pic:pic>
              </a:graphicData>
            </a:graphic>
          </wp:inline>
        </w:drawing>
      </w:r>
    </w:p>
    <w:p w14:paraId="56D12D7C">
      <w:pPr>
        <w:pStyle w:val="34"/>
        <w:kinsoku w:val="0"/>
        <w:overflowPunct w:val="0"/>
        <w:spacing w:line="360" w:lineRule="auto"/>
        <w:rPr>
          <w:rFonts w:hint="eastAsia" w:ascii="宋体" w:hAnsi="宋体" w:eastAsia="宋体"/>
          <w:i w:val="0"/>
          <w:iCs w:val="0"/>
          <w:color w:val="auto"/>
          <w:sz w:val="2"/>
          <w:szCs w:val="2"/>
          <w:highlight w:val="none"/>
        </w:rPr>
      </w:pPr>
    </w:p>
    <w:p w14:paraId="56D12D7D">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供电智能运维系统与车辆系统接口划分示意图</w:t>
      </w:r>
    </w:p>
    <w:p w14:paraId="56D12D7E">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a、接口位置：车站，控制中心；</w:t>
      </w:r>
    </w:p>
    <w:p w14:paraId="56D12D7F">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b、接口类型：通信接口：1000M以太网TCP/IP，RJ45。</w:t>
      </w:r>
    </w:p>
    <w:p w14:paraId="56D12D80">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c、软件协议：接口通讯协议支持标准的、通用的、开放的、软件</w:t>
      </w:r>
    </w:p>
    <w:p w14:paraId="56D12D81">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解码的协议，推荐采用Http、Snmp协议；</w:t>
      </w:r>
    </w:p>
    <w:p w14:paraId="56D12D82">
      <w:pPr>
        <w:pStyle w:val="142"/>
        <w:ind w:firstLine="420"/>
        <w:rPr>
          <w:rFonts w:hint="eastAsia"/>
          <w:i w:val="0"/>
          <w:iCs w:val="0"/>
          <w:color w:val="auto"/>
          <w:sz w:val="21"/>
          <w:szCs w:val="15"/>
          <w:highlight w:val="none"/>
          <w:lang w:val="zh-CN" w:eastAsia="zh-CN"/>
        </w:rPr>
      </w:pPr>
      <w:r>
        <w:rPr>
          <w:rFonts w:hint="eastAsia"/>
          <w:i w:val="0"/>
          <w:iCs w:val="0"/>
          <w:color w:val="auto"/>
          <w:sz w:val="21"/>
          <w:szCs w:val="15"/>
          <w:highlight w:val="none"/>
          <w:lang w:val="zh-CN" w:eastAsia="zh-CN"/>
        </w:rPr>
        <w:t>d、接口数量：车站一路独立的以太网接口、控制中心一路独立的以太网接口。</w:t>
      </w:r>
    </w:p>
    <w:p w14:paraId="56D12D83">
      <w:pPr>
        <w:pStyle w:val="3"/>
        <w:rPr>
          <w:i w:val="0"/>
          <w:iCs w:val="0"/>
          <w:color w:val="auto"/>
          <w:sz w:val="24"/>
          <w:szCs w:val="32"/>
          <w:highlight w:val="none"/>
        </w:rPr>
      </w:pPr>
      <w:bookmarkStart w:id="187" w:name="_Toc244"/>
      <w:r>
        <w:rPr>
          <w:rFonts w:hint="eastAsia"/>
          <w:i w:val="0"/>
          <w:iCs w:val="0"/>
          <w:color w:val="auto"/>
          <w:sz w:val="24"/>
          <w:szCs w:val="32"/>
          <w:highlight w:val="none"/>
        </w:rPr>
        <w:t>智慧公寓管理系统</w:t>
      </w:r>
      <w:bookmarkEnd w:id="187"/>
      <w:r>
        <w:rPr>
          <w:rFonts w:hint="eastAsia" w:ascii="宋体" w:hAnsi="宋体" w:cs="宋体"/>
          <w:szCs w:val="21"/>
          <w:highlight w:val="none"/>
        </w:rPr>
        <w:t>★</w:t>
      </w:r>
    </w:p>
    <w:p w14:paraId="56D12D84">
      <w:pPr>
        <w:pStyle w:val="4"/>
        <w:rPr>
          <w:i w:val="0"/>
          <w:iCs w:val="0"/>
          <w:color w:val="auto"/>
          <w:sz w:val="24"/>
          <w:szCs w:val="21"/>
          <w:highlight w:val="none"/>
        </w:rPr>
      </w:pPr>
      <w:bookmarkStart w:id="188" w:name="_Toc26342"/>
      <w:r>
        <w:rPr>
          <w:rFonts w:hint="eastAsia"/>
          <w:i w:val="0"/>
          <w:iCs w:val="0"/>
          <w:color w:val="auto"/>
          <w:sz w:val="24"/>
          <w:szCs w:val="21"/>
          <w:highlight w:val="none"/>
        </w:rPr>
        <w:t>系统概述</w:t>
      </w:r>
      <w:bookmarkEnd w:id="188"/>
    </w:p>
    <w:p w14:paraId="56D12D8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为确保司机的良好休息时间，提高乘务司机的正线驾乘安全，提升公寓管理效率，本项目拟建设智慧司机公寓管理系统，系统应配置软硬件设备，通过导入需要入住公寓的司机值勤排班表，司机通过刷卡即可自动办理入住，系统同步自动分配房间；当到达司机出勤时间时，房间照明自动开启，司机起床离开房间，并进行上岗刷卡报到时照明和房间空调自动关闭，起到节能降碳效果。</w:t>
      </w:r>
    </w:p>
    <w:p w14:paraId="56D12D86">
      <w:pPr>
        <w:pStyle w:val="4"/>
        <w:rPr>
          <w:i w:val="0"/>
          <w:iCs w:val="0"/>
          <w:color w:val="auto"/>
          <w:sz w:val="24"/>
          <w:szCs w:val="21"/>
          <w:highlight w:val="none"/>
        </w:rPr>
      </w:pPr>
      <w:bookmarkStart w:id="189" w:name="_Toc24862"/>
      <w:r>
        <w:rPr>
          <w:rFonts w:hint="eastAsia"/>
          <w:i w:val="0"/>
          <w:iCs w:val="0"/>
          <w:color w:val="auto"/>
          <w:sz w:val="24"/>
          <w:szCs w:val="21"/>
          <w:highlight w:val="none"/>
        </w:rPr>
        <w:t>工程范围</w:t>
      </w:r>
      <w:bookmarkEnd w:id="189"/>
    </w:p>
    <w:p w14:paraId="56D12D8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本期工程覆盖长沙市轨道交通6号线黄梨路车辆段司机公寓（一楼大厅、第3-7层司机公寓）及梧桐路停车场综合楼（一楼大厅、第三层司机公寓）。</w:t>
      </w:r>
    </w:p>
    <w:p w14:paraId="56D12D88">
      <w:pPr>
        <w:pStyle w:val="4"/>
        <w:rPr>
          <w:i w:val="0"/>
          <w:iCs w:val="0"/>
          <w:color w:val="auto"/>
          <w:sz w:val="24"/>
          <w:szCs w:val="21"/>
          <w:highlight w:val="none"/>
        </w:rPr>
      </w:pPr>
      <w:bookmarkStart w:id="190" w:name="_Toc18492"/>
      <w:r>
        <w:rPr>
          <w:rFonts w:hint="eastAsia"/>
          <w:i w:val="0"/>
          <w:iCs w:val="0"/>
          <w:color w:val="auto"/>
          <w:sz w:val="24"/>
          <w:szCs w:val="21"/>
          <w:highlight w:val="none"/>
        </w:rPr>
        <w:t>系统构成</w:t>
      </w:r>
      <w:bookmarkEnd w:id="190"/>
    </w:p>
    <w:p w14:paraId="56D12D8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智慧公寓管理系统由多部分设备组成，具体如下：​</w:t>
      </w:r>
    </w:p>
    <w:p w14:paraId="56D12D8A">
      <w:pPr>
        <w:pStyle w:val="142"/>
        <w:ind w:firstLine="422"/>
        <w:rPr>
          <w:i w:val="0"/>
          <w:iCs w:val="0"/>
          <w:color w:val="auto"/>
          <w:sz w:val="21"/>
          <w:szCs w:val="15"/>
          <w:highlight w:val="none"/>
        </w:rPr>
      </w:pPr>
      <w:r>
        <w:rPr>
          <w:b/>
          <w:bCs/>
          <w:i w:val="0"/>
          <w:iCs w:val="0"/>
          <w:color w:val="auto"/>
          <w:sz w:val="21"/>
          <w:szCs w:val="15"/>
          <w:highlight w:val="none"/>
        </w:rPr>
        <w:t>公寓管理办公室设备</w:t>
      </w:r>
      <w:r>
        <w:rPr>
          <w:i w:val="0"/>
          <w:iCs w:val="0"/>
          <w:color w:val="auto"/>
          <w:sz w:val="21"/>
          <w:szCs w:val="15"/>
          <w:highlight w:val="none"/>
        </w:rPr>
        <w:t>：</w:t>
      </w:r>
      <w:r>
        <w:rPr>
          <w:rFonts w:hint="eastAsia"/>
          <w:i w:val="0"/>
          <w:iCs w:val="0"/>
          <w:color w:val="auto"/>
          <w:sz w:val="21"/>
          <w:szCs w:val="15"/>
          <w:highlight w:val="none"/>
          <w:lang w:val="en-US" w:eastAsia="zh-CN"/>
        </w:rPr>
        <w:t>包含管理工作站、交换机、KVM视频发射器及配套软件。​</w:t>
      </w:r>
    </w:p>
    <w:p w14:paraId="56D12D8B">
      <w:pPr>
        <w:pStyle w:val="142"/>
        <w:ind w:firstLine="422"/>
        <w:rPr>
          <w:i w:val="0"/>
          <w:iCs w:val="0"/>
          <w:color w:val="auto"/>
          <w:sz w:val="21"/>
          <w:szCs w:val="15"/>
          <w:highlight w:val="none"/>
        </w:rPr>
      </w:pPr>
      <w:r>
        <w:rPr>
          <w:b/>
          <w:bCs/>
          <w:i w:val="0"/>
          <w:iCs w:val="0"/>
          <w:color w:val="auto"/>
          <w:sz w:val="21"/>
          <w:szCs w:val="15"/>
          <w:highlight w:val="none"/>
        </w:rPr>
        <w:t>公寓大厅设备</w:t>
      </w:r>
      <w:r>
        <w:rPr>
          <w:i w:val="0"/>
          <w:iCs w:val="0"/>
          <w:color w:val="auto"/>
          <w:sz w:val="21"/>
          <w:szCs w:val="15"/>
          <w:highlight w:val="none"/>
        </w:rPr>
        <w:t>：</w:t>
      </w:r>
      <w:r>
        <w:rPr>
          <w:rFonts w:hint="eastAsia"/>
          <w:i w:val="0"/>
          <w:iCs w:val="0"/>
          <w:color w:val="auto"/>
          <w:sz w:val="21"/>
          <w:szCs w:val="15"/>
          <w:highlight w:val="none"/>
          <w:lang w:val="en-US" w:eastAsia="zh-CN"/>
        </w:rPr>
        <w:t>WIFI读卡器、KVM视频接收器。</w:t>
      </w:r>
    </w:p>
    <w:p w14:paraId="56D12D8C">
      <w:pPr>
        <w:pStyle w:val="142"/>
        <w:ind w:firstLine="422"/>
        <w:rPr>
          <w:i w:val="0"/>
          <w:iCs w:val="0"/>
          <w:color w:val="auto"/>
          <w:sz w:val="21"/>
          <w:szCs w:val="15"/>
          <w:highlight w:val="none"/>
          <w:lang w:val="en-US"/>
        </w:rPr>
      </w:pPr>
      <w:r>
        <w:rPr>
          <w:b/>
          <w:bCs/>
          <w:i w:val="0"/>
          <w:iCs w:val="0"/>
          <w:color w:val="auto"/>
          <w:sz w:val="21"/>
          <w:szCs w:val="15"/>
          <w:highlight w:val="none"/>
        </w:rPr>
        <w:t>楼层设备</w:t>
      </w:r>
      <w:r>
        <w:rPr>
          <w:i w:val="0"/>
          <w:iCs w:val="0"/>
          <w:color w:val="auto"/>
          <w:sz w:val="21"/>
          <w:szCs w:val="15"/>
          <w:highlight w:val="none"/>
        </w:rPr>
        <w:t>：</w:t>
      </w:r>
      <w:r>
        <w:rPr>
          <w:rFonts w:hint="eastAsia"/>
          <w:i w:val="0"/>
          <w:iCs w:val="0"/>
          <w:color w:val="auto"/>
          <w:sz w:val="21"/>
          <w:szCs w:val="15"/>
          <w:highlight w:val="none"/>
          <w:lang w:val="en-US" w:eastAsia="zh-CN"/>
        </w:rPr>
        <w:t>公寓管理显示大屏、WIFI路由器、WIFI中继器。</w:t>
      </w:r>
    </w:p>
    <w:p w14:paraId="56D12D8D">
      <w:pPr>
        <w:pStyle w:val="142"/>
        <w:ind w:firstLine="422"/>
        <w:rPr>
          <w:i w:val="0"/>
          <w:iCs w:val="0"/>
          <w:color w:val="auto"/>
          <w:sz w:val="21"/>
          <w:szCs w:val="15"/>
          <w:highlight w:val="none"/>
        </w:rPr>
      </w:pPr>
      <w:r>
        <w:rPr>
          <w:b/>
          <w:bCs/>
          <w:i w:val="0"/>
          <w:iCs w:val="0"/>
          <w:color w:val="auto"/>
          <w:sz w:val="21"/>
          <w:szCs w:val="15"/>
          <w:highlight w:val="none"/>
        </w:rPr>
        <w:t>电梯梯控装置</w:t>
      </w:r>
      <w:r>
        <w:rPr>
          <w:i w:val="0"/>
          <w:iCs w:val="0"/>
          <w:color w:val="auto"/>
          <w:sz w:val="21"/>
          <w:szCs w:val="15"/>
          <w:highlight w:val="none"/>
        </w:rPr>
        <w:t>：</w:t>
      </w:r>
      <w:r>
        <w:rPr>
          <w:rFonts w:hint="eastAsia"/>
          <w:i w:val="0"/>
          <w:iCs w:val="0"/>
          <w:color w:val="auto"/>
          <w:sz w:val="21"/>
          <w:szCs w:val="15"/>
          <w:highlight w:val="none"/>
          <w:lang w:val="en-US" w:eastAsia="zh-CN"/>
        </w:rPr>
        <w:t>梯控装置及接口。​</w:t>
      </w:r>
    </w:p>
    <w:p w14:paraId="56D12D8E">
      <w:pPr>
        <w:pStyle w:val="142"/>
        <w:ind w:firstLine="422"/>
        <w:rPr>
          <w:i w:val="0"/>
          <w:iCs w:val="0"/>
          <w:color w:val="auto"/>
          <w:sz w:val="21"/>
          <w:szCs w:val="15"/>
          <w:highlight w:val="none"/>
        </w:rPr>
      </w:pPr>
      <w:r>
        <w:rPr>
          <w:b/>
          <w:bCs/>
          <w:i w:val="0"/>
          <w:iCs w:val="0"/>
          <w:color w:val="auto"/>
          <w:sz w:val="21"/>
          <w:szCs w:val="15"/>
          <w:highlight w:val="none"/>
        </w:rPr>
        <w:t>房间就地设备</w:t>
      </w:r>
      <w:r>
        <w:rPr>
          <w:i w:val="0"/>
          <w:iCs w:val="0"/>
          <w:color w:val="auto"/>
          <w:sz w:val="21"/>
          <w:szCs w:val="15"/>
          <w:highlight w:val="none"/>
        </w:rPr>
        <w:t>：</w:t>
      </w:r>
      <w:r>
        <w:rPr>
          <w:rFonts w:hint="eastAsia"/>
          <w:i w:val="0"/>
          <w:iCs w:val="0"/>
          <w:color w:val="auto"/>
          <w:sz w:val="21"/>
          <w:szCs w:val="15"/>
          <w:highlight w:val="none"/>
          <w:lang w:val="en-US" w:eastAsia="zh-CN"/>
        </w:rPr>
        <w:t>智能开关控制器、智能电子门锁。​</w:t>
      </w:r>
    </w:p>
    <w:p w14:paraId="56D12D8F">
      <w:pPr>
        <w:pStyle w:val="4"/>
        <w:rPr>
          <w:i w:val="0"/>
          <w:iCs w:val="0"/>
          <w:color w:val="auto"/>
          <w:sz w:val="24"/>
          <w:szCs w:val="21"/>
          <w:highlight w:val="none"/>
        </w:rPr>
      </w:pPr>
      <w:bookmarkStart w:id="191" w:name="_Toc17342"/>
      <w:r>
        <w:rPr>
          <w:rFonts w:hint="eastAsia"/>
          <w:i w:val="0"/>
          <w:iCs w:val="0"/>
          <w:color w:val="auto"/>
          <w:sz w:val="24"/>
          <w:szCs w:val="21"/>
          <w:highlight w:val="none"/>
        </w:rPr>
        <w:t>系统方案</w:t>
      </w:r>
      <w:bookmarkEnd w:id="191"/>
    </w:p>
    <w:p w14:paraId="56D12D9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在公寓管理室部署公寓管理服务器、管理工作站、交换机等，在公寓部署4块显示器，通过内部局域网与终端设备建立数据连接；</w:t>
      </w:r>
    </w:p>
    <w:p w14:paraId="56D12D9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公寓一楼大厅及楼层电梯旁部署的WIFI读卡器等设备，利用WiFi实现数据传输，满足司机刷卡入住和报到需求；</w:t>
      </w:r>
    </w:p>
    <w:p w14:paraId="56D12D9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公寓各楼层部署WIFI路由器及WIFI中继器，联通中心设备与房间内设备。</w:t>
      </w:r>
    </w:p>
    <w:p w14:paraId="56D12D9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每个房间安装智能自动控制设备，通过WIFI与管理工作站通信，同时智能控制设备通过WIFI向智能开关控制器发送控制信号，实现房间照明及空调的智能控制，达成节能降耗目标。</w:t>
      </w:r>
    </w:p>
    <w:p w14:paraId="56D12D94">
      <w:pPr>
        <w:pStyle w:val="34"/>
        <w:kinsoku w:val="0"/>
        <w:overflowPunct w:val="0"/>
        <w:spacing w:line="360" w:lineRule="auto"/>
        <w:ind w:firstLine="560" w:firstLineChars="200"/>
        <w:jc w:val="left"/>
        <w:rPr>
          <w:i w:val="0"/>
          <w:iCs w:val="0"/>
          <w:color w:val="auto"/>
          <w:highlight w:val="none"/>
        </w:rPr>
      </w:pPr>
      <w:r>
        <w:rPr>
          <w:i w:val="0"/>
          <w:iCs w:val="0"/>
          <w:color w:val="auto"/>
          <w:highlight w:val="none"/>
        </w:rPr>
        <w:object>
          <v:shape id="_x0000_i1026" o:spt="75" type="#_x0000_t75" style="height:340.9pt;width:385.1pt;" o:ole="t" filled="f" o:preferrelative="t" stroked="f" coordsize="21600,21600">
            <v:path/>
            <v:fill on="f" focussize="0,0"/>
            <v:stroke on="f" joinstyle="miter"/>
            <v:imagedata r:id="rId30" o:title=""/>
            <o:lock v:ext="edit" aspectratio="f"/>
            <w10:wrap type="none"/>
            <w10:anchorlock/>
          </v:shape>
          <o:OLEObject Type="Embed" ProgID="Visio.Drawing.15" ShapeID="_x0000_i1026" DrawAspect="Content" ObjectID="_1468075726" r:id="rId29">
            <o:LockedField>false</o:LockedField>
          </o:OLEObject>
        </w:object>
      </w:r>
    </w:p>
    <w:p w14:paraId="56D12D95">
      <w:pPr>
        <w:pStyle w:val="34"/>
        <w:kinsoku w:val="0"/>
        <w:overflowPunct w:val="0"/>
        <w:spacing w:line="360" w:lineRule="auto"/>
        <w:ind w:firstLine="420" w:firstLineChars="200"/>
        <w:jc w:val="center"/>
        <w:rPr>
          <w:i w:val="0"/>
          <w:iCs w:val="0"/>
          <w:color w:val="auto"/>
          <w:sz w:val="21"/>
          <w:szCs w:val="15"/>
          <w:highlight w:val="none"/>
        </w:rPr>
      </w:pPr>
      <w:r>
        <w:rPr>
          <w:rFonts w:hint="eastAsia"/>
          <w:i w:val="0"/>
          <w:iCs w:val="0"/>
          <w:color w:val="auto"/>
          <w:sz w:val="21"/>
          <w:szCs w:val="15"/>
          <w:highlight w:val="none"/>
        </w:rPr>
        <w:t>智慧司机公寓系统图</w:t>
      </w:r>
    </w:p>
    <w:p w14:paraId="56D12D96">
      <w:pPr>
        <w:pStyle w:val="4"/>
        <w:rPr>
          <w:i w:val="0"/>
          <w:iCs w:val="0"/>
          <w:color w:val="auto"/>
          <w:sz w:val="24"/>
          <w:szCs w:val="21"/>
          <w:highlight w:val="none"/>
        </w:rPr>
      </w:pPr>
      <w:bookmarkStart w:id="192" w:name="_Toc26646"/>
      <w:r>
        <w:rPr>
          <w:rFonts w:hint="eastAsia"/>
          <w:i w:val="0"/>
          <w:iCs w:val="0"/>
          <w:color w:val="auto"/>
          <w:sz w:val="24"/>
          <w:szCs w:val="21"/>
          <w:highlight w:val="none"/>
        </w:rPr>
        <w:t>系统功能</w:t>
      </w:r>
      <w:bookmarkEnd w:id="192"/>
    </w:p>
    <w:p w14:paraId="56D12D97">
      <w:pPr>
        <w:pStyle w:val="5"/>
        <w:ind w:left="0"/>
        <w:rPr>
          <w:i w:val="0"/>
          <w:iCs w:val="0"/>
          <w:color w:val="auto"/>
          <w:sz w:val="22"/>
          <w:szCs w:val="22"/>
          <w:highlight w:val="none"/>
        </w:rPr>
      </w:pPr>
      <w:bookmarkStart w:id="193" w:name="_Toc31271"/>
      <w:r>
        <w:rPr>
          <w:rFonts w:hint="eastAsia"/>
          <w:i w:val="0"/>
          <w:iCs w:val="0"/>
          <w:color w:val="auto"/>
          <w:sz w:val="22"/>
          <w:szCs w:val="22"/>
          <w:highlight w:val="none"/>
        </w:rPr>
        <w:t>功能概述</w:t>
      </w:r>
      <w:bookmarkEnd w:id="193"/>
    </w:p>
    <w:p w14:paraId="56D12D9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智慧公寓管理系统旨在保障司机良好休息，提升驾乘安全与公寓管理效率。通过导入司机值勤排班表，实现司机刷卡自动入住、系统智能分房、自动生成节能控制计划。在司机入住时，智能开关设备自动工作，空调、照明开启，具有预警通知功能；司机退房后，房间内照明和空调自动关闭，有效节能降碳。</w:t>
      </w:r>
    </w:p>
    <w:p w14:paraId="56D12D99">
      <w:pPr>
        <w:pStyle w:val="5"/>
        <w:ind w:left="0"/>
        <w:rPr>
          <w:i w:val="0"/>
          <w:iCs w:val="0"/>
          <w:color w:val="auto"/>
          <w:sz w:val="22"/>
          <w:szCs w:val="22"/>
          <w:highlight w:val="none"/>
        </w:rPr>
      </w:pPr>
      <w:bookmarkStart w:id="194" w:name="_Toc15257"/>
      <w:r>
        <w:rPr>
          <w:rFonts w:hint="eastAsia"/>
          <w:i w:val="0"/>
          <w:iCs w:val="0"/>
          <w:color w:val="auto"/>
          <w:sz w:val="22"/>
          <w:szCs w:val="22"/>
          <w:highlight w:val="none"/>
        </w:rPr>
        <w:t>数据导入</w:t>
      </w:r>
      <w:bookmarkEnd w:id="194"/>
    </w:p>
    <w:p w14:paraId="56D12D9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借助与GBIM系统的接口，实现排班表及交路表的导入功能。系统根据需求，将排班表和交路表进行数据整合，管理员可依据班次乘务开行情况，按日期时段导入排班表，并将司乘人员分组，系统自定义相关规则。</w:t>
      </w:r>
    </w:p>
    <w:p w14:paraId="56D12D9B">
      <w:pPr>
        <w:pStyle w:val="5"/>
        <w:ind w:left="0"/>
        <w:rPr>
          <w:i w:val="0"/>
          <w:iCs w:val="0"/>
          <w:color w:val="auto"/>
          <w:sz w:val="22"/>
          <w:szCs w:val="22"/>
          <w:highlight w:val="none"/>
        </w:rPr>
      </w:pPr>
      <w:bookmarkStart w:id="195" w:name="_Toc29057"/>
      <w:r>
        <w:rPr>
          <w:rFonts w:hint="eastAsia"/>
          <w:i w:val="0"/>
          <w:iCs w:val="0"/>
          <w:color w:val="auto"/>
          <w:sz w:val="22"/>
          <w:szCs w:val="22"/>
          <w:highlight w:val="none"/>
        </w:rPr>
        <w:t>电梯梯控</w:t>
      </w:r>
      <w:bookmarkEnd w:id="195"/>
    </w:p>
    <w:p w14:paraId="56D12D9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新增电梯梯控装置，读取门禁卡权限，控制电梯使用，保障公寓安全。投标人如需增加设备或需电梯开放相关接口才能满足相关功能时，应自行列入报价清单，计入投标总价，若因投标人因漏报、误报所造成的工程量增加的费用由投标人自行承担。</w:t>
      </w:r>
    </w:p>
    <w:p w14:paraId="56D12D9D">
      <w:pPr>
        <w:pStyle w:val="5"/>
        <w:ind w:left="0"/>
        <w:rPr>
          <w:i w:val="0"/>
          <w:iCs w:val="0"/>
          <w:color w:val="auto"/>
          <w:sz w:val="22"/>
          <w:szCs w:val="22"/>
          <w:highlight w:val="none"/>
        </w:rPr>
      </w:pPr>
      <w:bookmarkStart w:id="196" w:name="_Toc32131"/>
      <w:r>
        <w:rPr>
          <w:rFonts w:hint="eastAsia"/>
          <w:i w:val="0"/>
          <w:iCs w:val="0"/>
          <w:color w:val="auto"/>
          <w:sz w:val="22"/>
          <w:szCs w:val="22"/>
          <w:highlight w:val="none"/>
        </w:rPr>
        <w:t>智能分房</w:t>
      </w:r>
      <w:bookmarkEnd w:id="196"/>
    </w:p>
    <w:p w14:paraId="56D12D9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管理员导入排班表、交路表后，系统按班次人员信息智能分配房间，优先将同班次人员安排在同一房间，并将员工卡关联为房间门锁开门钥匙，司机自助入住时同步激活门锁权限。</w:t>
      </w:r>
    </w:p>
    <w:p w14:paraId="56D12D9F">
      <w:pPr>
        <w:pStyle w:val="5"/>
        <w:ind w:left="0"/>
        <w:rPr>
          <w:i w:val="0"/>
          <w:iCs w:val="0"/>
          <w:color w:val="auto"/>
          <w:sz w:val="22"/>
          <w:szCs w:val="22"/>
          <w:highlight w:val="none"/>
        </w:rPr>
      </w:pPr>
      <w:bookmarkStart w:id="197" w:name="_Toc15101"/>
      <w:r>
        <w:rPr>
          <w:rFonts w:hint="eastAsia"/>
          <w:i w:val="0"/>
          <w:iCs w:val="0"/>
          <w:color w:val="auto"/>
          <w:sz w:val="22"/>
          <w:szCs w:val="22"/>
          <w:highlight w:val="none"/>
        </w:rPr>
        <w:t>信息管理</w:t>
      </w:r>
      <w:bookmarkEnd w:id="197"/>
    </w:p>
    <w:p w14:paraId="56D12DA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在公寓管理系统提前录入员工姓名、工号、部门、联系电话等关键信息，支持手动录入或批量导入；同时系统支持WIFI信号SSID广播隐藏；具备消息提醒功能，具体提醒策略在设计联络阶段确定。</w:t>
      </w:r>
    </w:p>
    <w:p w14:paraId="56D12DA1">
      <w:pPr>
        <w:pStyle w:val="5"/>
        <w:ind w:left="0"/>
        <w:rPr>
          <w:i w:val="0"/>
          <w:iCs w:val="0"/>
          <w:color w:val="auto"/>
          <w:sz w:val="22"/>
          <w:szCs w:val="22"/>
          <w:highlight w:val="none"/>
        </w:rPr>
      </w:pPr>
      <w:bookmarkStart w:id="198" w:name="_Toc24063"/>
      <w:r>
        <w:rPr>
          <w:rFonts w:hint="eastAsia"/>
          <w:i w:val="0"/>
          <w:iCs w:val="0"/>
          <w:color w:val="auto"/>
          <w:sz w:val="22"/>
          <w:szCs w:val="22"/>
          <w:highlight w:val="none"/>
        </w:rPr>
        <w:t>节能控制</w:t>
      </w:r>
      <w:bookmarkEnd w:id="198"/>
    </w:p>
    <w:p w14:paraId="56D12DA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房间部署智能开关控制器，实现照明、空调智能控制。司机入住时自动开灯，司机离开并刷员工卡退房后，自动关闭房间照明和空调。</w:t>
      </w:r>
    </w:p>
    <w:p w14:paraId="56D12DA3">
      <w:pPr>
        <w:pStyle w:val="5"/>
        <w:ind w:left="0"/>
        <w:rPr>
          <w:i w:val="0"/>
          <w:iCs w:val="0"/>
          <w:color w:val="auto"/>
          <w:sz w:val="22"/>
          <w:szCs w:val="22"/>
          <w:highlight w:val="none"/>
        </w:rPr>
      </w:pPr>
      <w:bookmarkStart w:id="199" w:name="_Toc8914"/>
      <w:r>
        <w:rPr>
          <w:rFonts w:hint="eastAsia"/>
          <w:i w:val="0"/>
          <w:iCs w:val="0"/>
          <w:color w:val="auto"/>
          <w:sz w:val="22"/>
          <w:szCs w:val="22"/>
          <w:highlight w:val="none"/>
        </w:rPr>
        <w:t>终端设备功能</w:t>
      </w:r>
      <w:bookmarkEnd w:id="199"/>
    </w:p>
    <w:p w14:paraId="56D12DA4">
      <w:pPr>
        <w:pStyle w:val="142"/>
        <w:ind w:firstLine="422"/>
        <w:rPr>
          <w:i w:val="0"/>
          <w:iCs w:val="0"/>
          <w:color w:val="auto"/>
          <w:sz w:val="21"/>
          <w:szCs w:val="15"/>
          <w:highlight w:val="none"/>
        </w:rPr>
      </w:pPr>
      <w:r>
        <w:rPr>
          <w:b/>
          <w:bCs/>
          <w:i w:val="0"/>
          <w:iCs w:val="0"/>
          <w:color w:val="auto"/>
          <w:sz w:val="21"/>
          <w:szCs w:val="15"/>
          <w:highlight w:val="none"/>
        </w:rPr>
        <w:t>智能开关控制器</w:t>
      </w:r>
      <w:r>
        <w:rPr>
          <w:i w:val="0"/>
          <w:iCs w:val="0"/>
          <w:color w:val="auto"/>
          <w:sz w:val="21"/>
          <w:szCs w:val="15"/>
          <w:highlight w:val="none"/>
        </w:rPr>
        <w:t>：</w:t>
      </w:r>
      <w:r>
        <w:rPr>
          <w:rFonts w:hint="eastAsia"/>
          <w:i w:val="0"/>
          <w:iCs w:val="0"/>
          <w:color w:val="auto"/>
          <w:sz w:val="21"/>
          <w:szCs w:val="15"/>
          <w:highlight w:val="none"/>
          <w:lang w:val="en-US" w:eastAsia="zh-CN"/>
        </w:rPr>
        <w:t>接收指令，控制房间照明和空调开关。​</w:t>
      </w:r>
    </w:p>
    <w:p w14:paraId="56D12DA5">
      <w:pPr>
        <w:pStyle w:val="142"/>
        <w:ind w:firstLine="422"/>
        <w:rPr>
          <w:i w:val="0"/>
          <w:iCs w:val="0"/>
          <w:color w:val="auto"/>
          <w:sz w:val="21"/>
          <w:szCs w:val="15"/>
          <w:highlight w:val="none"/>
        </w:rPr>
      </w:pPr>
      <w:r>
        <w:rPr>
          <w:b/>
          <w:bCs/>
          <w:i w:val="0"/>
          <w:iCs w:val="0"/>
          <w:color w:val="auto"/>
          <w:sz w:val="21"/>
          <w:szCs w:val="15"/>
          <w:highlight w:val="none"/>
        </w:rPr>
        <w:t>智能电子门锁</w:t>
      </w:r>
      <w:r>
        <w:rPr>
          <w:i w:val="0"/>
          <w:iCs w:val="0"/>
          <w:color w:val="auto"/>
          <w:sz w:val="21"/>
          <w:szCs w:val="15"/>
          <w:highlight w:val="none"/>
        </w:rPr>
        <w:t>：</w:t>
      </w:r>
      <w:r>
        <w:rPr>
          <w:rFonts w:hint="eastAsia"/>
          <w:i w:val="0"/>
          <w:iCs w:val="0"/>
          <w:color w:val="auto"/>
          <w:sz w:val="21"/>
          <w:szCs w:val="15"/>
          <w:highlight w:val="none"/>
          <w:lang w:val="en-US" w:eastAsia="zh-CN"/>
        </w:rPr>
        <w:t>接收指令，实现司机刷卡开门。​</w:t>
      </w:r>
    </w:p>
    <w:p w14:paraId="56D12DA6">
      <w:pPr>
        <w:pStyle w:val="142"/>
        <w:ind w:firstLine="422"/>
        <w:rPr>
          <w:i w:val="0"/>
          <w:iCs w:val="0"/>
          <w:color w:val="auto"/>
          <w:sz w:val="21"/>
          <w:szCs w:val="15"/>
          <w:highlight w:val="none"/>
        </w:rPr>
      </w:pPr>
      <w:r>
        <w:rPr>
          <w:b/>
          <w:bCs/>
          <w:i w:val="0"/>
          <w:iCs w:val="0"/>
          <w:color w:val="auto"/>
          <w:sz w:val="21"/>
          <w:szCs w:val="15"/>
          <w:highlight w:val="none"/>
        </w:rPr>
        <w:t>WiFi读卡器</w:t>
      </w:r>
      <w:r>
        <w:rPr>
          <w:i w:val="0"/>
          <w:iCs w:val="0"/>
          <w:color w:val="auto"/>
          <w:sz w:val="21"/>
          <w:szCs w:val="15"/>
          <w:highlight w:val="none"/>
        </w:rPr>
        <w:t>：</w:t>
      </w:r>
      <w:r>
        <w:rPr>
          <w:rFonts w:hint="eastAsia"/>
          <w:i w:val="0"/>
          <w:iCs w:val="0"/>
          <w:color w:val="auto"/>
          <w:sz w:val="21"/>
          <w:szCs w:val="15"/>
          <w:highlight w:val="none"/>
          <w:lang w:val="en-US" w:eastAsia="zh-CN"/>
        </w:rPr>
        <w:t>读取司机员工卡信息并传送至管理工作站。​</w:t>
      </w:r>
    </w:p>
    <w:p w14:paraId="56D12DA7">
      <w:pPr>
        <w:pStyle w:val="142"/>
        <w:ind w:firstLine="422"/>
        <w:rPr>
          <w:i w:val="0"/>
          <w:iCs w:val="0"/>
          <w:color w:val="auto"/>
          <w:sz w:val="21"/>
          <w:szCs w:val="15"/>
          <w:highlight w:val="none"/>
        </w:rPr>
      </w:pPr>
      <w:r>
        <w:rPr>
          <w:b/>
          <w:bCs/>
          <w:i w:val="0"/>
          <w:iCs w:val="0"/>
          <w:color w:val="auto"/>
          <w:sz w:val="21"/>
          <w:szCs w:val="15"/>
          <w:highlight w:val="none"/>
        </w:rPr>
        <w:t>公寓管理显示大屏：</w:t>
      </w:r>
      <w:r>
        <w:rPr>
          <w:rFonts w:hint="eastAsia"/>
          <w:i w:val="0"/>
          <w:iCs w:val="0"/>
          <w:color w:val="auto"/>
          <w:sz w:val="21"/>
          <w:szCs w:val="15"/>
          <w:highlight w:val="none"/>
          <w:lang w:val="en-US" w:eastAsia="zh-CN"/>
        </w:rPr>
        <w:t>展示房间安排、上岗报到及公司通知等信息。​</w:t>
      </w:r>
    </w:p>
    <w:p w14:paraId="56D12DA8">
      <w:pPr>
        <w:pStyle w:val="142"/>
        <w:ind w:firstLine="422"/>
        <w:rPr>
          <w:rFonts w:hint="eastAsia"/>
          <w:i w:val="0"/>
          <w:iCs w:val="0"/>
          <w:color w:val="auto"/>
          <w:sz w:val="21"/>
          <w:szCs w:val="15"/>
          <w:highlight w:val="none"/>
          <w:lang w:val="en-US" w:eastAsia="zh-CN"/>
        </w:rPr>
      </w:pPr>
      <w:r>
        <w:rPr>
          <w:b/>
          <w:bCs/>
          <w:i w:val="0"/>
          <w:iCs w:val="0"/>
          <w:color w:val="auto"/>
          <w:sz w:val="21"/>
          <w:szCs w:val="15"/>
          <w:highlight w:val="none"/>
        </w:rPr>
        <w:t>KVM视频发射器、接收器</w:t>
      </w:r>
      <w:r>
        <w:rPr>
          <w:i w:val="0"/>
          <w:iCs w:val="0"/>
          <w:color w:val="auto"/>
          <w:sz w:val="21"/>
          <w:szCs w:val="15"/>
          <w:highlight w:val="none"/>
        </w:rPr>
        <w:t>：</w:t>
      </w:r>
      <w:r>
        <w:rPr>
          <w:rFonts w:hint="eastAsia"/>
          <w:i w:val="0"/>
          <w:iCs w:val="0"/>
          <w:color w:val="auto"/>
          <w:sz w:val="21"/>
          <w:szCs w:val="15"/>
          <w:highlight w:val="none"/>
          <w:lang w:val="en-US" w:eastAsia="zh-CN"/>
        </w:rPr>
        <w:t>传输管理工作站信息至公寓管理显示大屏。</w:t>
      </w:r>
    </w:p>
    <w:p w14:paraId="56D12DA9">
      <w:pPr>
        <w:pStyle w:val="4"/>
        <w:rPr>
          <w:i w:val="0"/>
          <w:iCs w:val="0"/>
          <w:color w:val="auto"/>
          <w:sz w:val="24"/>
          <w:szCs w:val="21"/>
          <w:highlight w:val="none"/>
        </w:rPr>
      </w:pPr>
      <w:bookmarkStart w:id="200" w:name="_Toc19006"/>
      <w:r>
        <w:rPr>
          <w:rFonts w:hint="eastAsia"/>
          <w:i w:val="0"/>
          <w:iCs w:val="0"/>
          <w:color w:val="auto"/>
          <w:sz w:val="24"/>
          <w:szCs w:val="21"/>
          <w:highlight w:val="none"/>
        </w:rPr>
        <w:t>系统电源、接地</w:t>
      </w:r>
      <w:bookmarkEnd w:id="200"/>
    </w:p>
    <w:p w14:paraId="56D12DA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系统电源从动照专业设置的电源插座取电。接地采用综合接地方式，接地电阻不大于1欧姆，接入既有低压配电专业设置的弱电接地端子箱预留接地端子，确保系统稳定运行。</w:t>
      </w:r>
    </w:p>
    <w:p w14:paraId="56D12DAB">
      <w:pPr>
        <w:pStyle w:val="3"/>
        <w:rPr>
          <w:i w:val="0"/>
          <w:iCs w:val="0"/>
          <w:color w:val="auto"/>
          <w:sz w:val="24"/>
          <w:szCs w:val="32"/>
          <w:highlight w:val="none"/>
        </w:rPr>
      </w:pPr>
      <w:bookmarkStart w:id="201" w:name="bookmark153"/>
      <w:bookmarkEnd w:id="201"/>
      <w:bookmarkStart w:id="202" w:name="bookmark154"/>
      <w:bookmarkEnd w:id="202"/>
      <w:bookmarkStart w:id="203" w:name="bookmark152"/>
      <w:bookmarkEnd w:id="203"/>
      <w:bookmarkStart w:id="204" w:name="bookmark151"/>
      <w:bookmarkEnd w:id="204"/>
      <w:bookmarkStart w:id="205" w:name="bookmark148"/>
      <w:bookmarkEnd w:id="205"/>
      <w:bookmarkStart w:id="206" w:name="bookmark147"/>
      <w:bookmarkEnd w:id="206"/>
      <w:bookmarkStart w:id="207" w:name="bookmark146"/>
      <w:bookmarkEnd w:id="207"/>
      <w:bookmarkStart w:id="208" w:name="bookmark150"/>
      <w:bookmarkEnd w:id="208"/>
      <w:bookmarkStart w:id="209" w:name="_Toc13309"/>
      <w:r>
        <w:rPr>
          <w:rFonts w:hint="eastAsia"/>
          <w:i w:val="0"/>
          <w:iCs w:val="0"/>
          <w:color w:val="auto"/>
          <w:sz w:val="24"/>
          <w:szCs w:val="32"/>
          <w:highlight w:val="none"/>
        </w:rPr>
        <w:t>维修作业管理系统</w:t>
      </w:r>
      <w:bookmarkEnd w:id="209"/>
      <w:r>
        <w:rPr>
          <w:rFonts w:hint="eastAsia" w:ascii="宋体" w:hAnsi="宋体" w:cs="宋体"/>
          <w:szCs w:val="21"/>
          <w:highlight w:val="none"/>
        </w:rPr>
        <w:t>★</w:t>
      </w:r>
    </w:p>
    <w:p w14:paraId="56D12DAC">
      <w:pPr>
        <w:pStyle w:val="4"/>
        <w:rPr>
          <w:i w:val="0"/>
          <w:iCs w:val="0"/>
          <w:color w:val="auto"/>
          <w:sz w:val="24"/>
          <w:szCs w:val="21"/>
          <w:highlight w:val="none"/>
        </w:rPr>
      </w:pPr>
      <w:bookmarkStart w:id="210" w:name="_Toc20907"/>
      <w:r>
        <w:rPr>
          <w:rFonts w:hint="eastAsia"/>
          <w:i w:val="0"/>
          <w:iCs w:val="0"/>
          <w:color w:val="auto"/>
          <w:sz w:val="24"/>
          <w:szCs w:val="21"/>
          <w:highlight w:val="none"/>
        </w:rPr>
        <w:t>系统构成</w:t>
      </w:r>
      <w:bookmarkEnd w:id="210"/>
    </w:p>
    <w:p w14:paraId="56D12DA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维修人员管理系统硬件主要由蓝牙信标、蓝牙工牌、基站及交换机等相关网络设备构成。基站为蓝牙工牌提供充电和数据采集服务。</w:t>
      </w:r>
    </w:p>
    <w:p w14:paraId="56D12DAE">
      <w:pPr>
        <w:pStyle w:val="4"/>
        <w:rPr>
          <w:i w:val="0"/>
          <w:iCs w:val="0"/>
          <w:color w:val="auto"/>
          <w:sz w:val="24"/>
          <w:szCs w:val="21"/>
          <w:highlight w:val="none"/>
        </w:rPr>
      </w:pPr>
      <w:bookmarkStart w:id="211" w:name="_Toc14099"/>
      <w:r>
        <w:rPr>
          <w:rFonts w:hint="eastAsia"/>
          <w:i w:val="0"/>
          <w:iCs w:val="0"/>
          <w:color w:val="auto"/>
          <w:sz w:val="24"/>
          <w:szCs w:val="21"/>
          <w:highlight w:val="none"/>
        </w:rPr>
        <w:t>系统方案</w:t>
      </w:r>
      <w:bookmarkEnd w:id="211"/>
    </w:p>
    <w:p w14:paraId="56D12DAF">
      <w:pPr>
        <w:pStyle w:val="5"/>
        <w:ind w:left="0"/>
        <w:rPr>
          <w:i w:val="0"/>
          <w:iCs w:val="0"/>
          <w:color w:val="auto"/>
          <w:sz w:val="22"/>
          <w:szCs w:val="22"/>
          <w:highlight w:val="none"/>
        </w:rPr>
      </w:pPr>
      <w:bookmarkStart w:id="212" w:name="_Toc7669"/>
      <w:r>
        <w:rPr>
          <w:rFonts w:hint="eastAsia"/>
          <w:i w:val="0"/>
          <w:iCs w:val="0"/>
          <w:color w:val="auto"/>
          <w:sz w:val="22"/>
          <w:szCs w:val="22"/>
          <w:highlight w:val="none"/>
        </w:rPr>
        <w:t>设备部署方案</w:t>
      </w:r>
      <w:bookmarkEnd w:id="212"/>
    </w:p>
    <w:p w14:paraId="56D12DB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在重要设备机房、重点设备及巡检空间等，依据各区域实际空间大小和监测精度需求，布设一个或多个蓝牙信标，可精确到机柜级别的末端设备，实现对作业区域的全面覆盖。同时，为每位维修人员配备一个蓝牙工牌，用于采集人员行为数据。</w:t>
      </w:r>
    </w:p>
    <w:p w14:paraId="56D12DB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根据各工班规模，在对应的维修工班管理室配置基站，为人员定位提供基础信号覆盖。每基站包含1个通信网关、1套充电桩（每个最多支持15个蓝牙工牌的充电），确保蓝牙工牌的数据能够稳定上传和充电。</w:t>
      </w:r>
    </w:p>
    <w:p w14:paraId="56D12DB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基站接入维修工区内交换机，交换机接入OA系统，实现与管理网通信网络的联通。</w:t>
      </w:r>
    </w:p>
    <w:p w14:paraId="4F6A86B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系统部署于管理网云平台，并通过与GBIM系统接口获取工单信息，通过监测传感器数据与GBIM工单信息对比，分析工单完成情况，对异常状态及时预警处理。</w:t>
      </w:r>
    </w:p>
    <w:p w14:paraId="56D12DB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投标人如需增加设备或需GBIM开放相关接口才能满足本项目全部功能时，应自行列入报价清单，计入投标总价，若因投标人因漏报、误报所造成的工程量增加的费用由投标人自行承担。</w:t>
      </w:r>
    </w:p>
    <w:p w14:paraId="56D12DB4">
      <w:pPr>
        <w:pStyle w:val="34"/>
        <w:kinsoku w:val="0"/>
        <w:overflowPunct w:val="0"/>
        <w:spacing w:line="360" w:lineRule="auto"/>
        <w:rPr>
          <w:rFonts w:hint="eastAsia" w:ascii="宋体" w:hAnsi="宋体" w:eastAsia="宋体" w:cs="仿宋"/>
          <w:i w:val="0"/>
          <w:iCs w:val="0"/>
          <w:color w:val="auto"/>
          <w:sz w:val="16"/>
          <w:szCs w:val="16"/>
          <w:highlight w:val="none"/>
        </w:rPr>
      </w:pPr>
    </w:p>
    <w:p w14:paraId="56D12DB5">
      <w:pPr>
        <w:pStyle w:val="34"/>
        <w:kinsoku w:val="0"/>
        <w:overflowPunct w:val="0"/>
        <w:spacing w:line="360" w:lineRule="auto"/>
        <w:ind w:left="775"/>
        <w:jc w:val="left"/>
        <w:rPr>
          <w:rFonts w:hint="eastAsia" w:ascii="宋体" w:hAnsi="宋体" w:eastAsia="宋体" w:cs="仿宋"/>
          <w:i w:val="0"/>
          <w:iCs w:val="0"/>
          <w:color w:val="auto"/>
          <w:position w:val="-58"/>
          <w:sz w:val="10"/>
          <w:szCs w:val="10"/>
          <w:highlight w:val="none"/>
        </w:rPr>
      </w:pPr>
      <w:r>
        <w:rPr>
          <w:rFonts w:hint="eastAsia"/>
          <w:i w:val="0"/>
          <w:iCs w:val="0"/>
          <w:color w:val="auto"/>
          <w:sz w:val="21"/>
          <w:szCs w:val="20"/>
          <w:highlight w:val="none"/>
        </w:rPr>
        <w:drawing>
          <wp:inline distT="0" distB="0" distL="0" distR="0">
            <wp:extent cx="4713605" cy="1550035"/>
            <wp:effectExtent l="0" t="0" r="10795" b="4445"/>
            <wp:docPr id="1742847928" name="图片 14"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47928" name="图片 14" descr="图示&#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713605" cy="1550035"/>
                    </a:xfrm>
                    <a:prstGeom prst="rect">
                      <a:avLst/>
                    </a:prstGeom>
                    <a:noFill/>
                    <a:ln>
                      <a:noFill/>
                    </a:ln>
                  </pic:spPr>
                </pic:pic>
              </a:graphicData>
            </a:graphic>
          </wp:inline>
        </w:drawing>
      </w:r>
    </w:p>
    <w:p w14:paraId="56D12DB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投标人应提供维修工区内定位基站部署方案。</w:t>
      </w:r>
    </w:p>
    <w:p w14:paraId="56D12DB7">
      <w:pPr>
        <w:pStyle w:val="5"/>
        <w:ind w:left="0"/>
        <w:rPr>
          <w:i w:val="0"/>
          <w:iCs w:val="0"/>
          <w:color w:val="auto"/>
          <w:sz w:val="22"/>
          <w:szCs w:val="22"/>
          <w:highlight w:val="none"/>
        </w:rPr>
      </w:pPr>
      <w:bookmarkStart w:id="213" w:name="_Toc27825"/>
      <w:r>
        <w:rPr>
          <w:rFonts w:hint="eastAsia"/>
          <w:i w:val="0"/>
          <w:iCs w:val="0"/>
          <w:color w:val="auto"/>
          <w:sz w:val="22"/>
          <w:szCs w:val="22"/>
          <w:highlight w:val="none"/>
        </w:rPr>
        <w:t>系统工作流程</w:t>
      </w:r>
      <w:bookmarkEnd w:id="213"/>
    </w:p>
    <w:p w14:paraId="56D12DB8">
      <w:pPr>
        <w:pStyle w:val="142"/>
        <w:ind w:firstLine="422"/>
        <w:rPr>
          <w:i w:val="0"/>
          <w:iCs w:val="0"/>
          <w:color w:val="auto"/>
          <w:sz w:val="21"/>
          <w:szCs w:val="15"/>
          <w:highlight w:val="none"/>
        </w:rPr>
      </w:pPr>
      <w:r>
        <w:rPr>
          <w:rFonts w:hint="eastAsia"/>
          <w:b/>
          <w:bCs/>
          <w:i w:val="0"/>
          <w:iCs w:val="0"/>
          <w:color w:val="auto"/>
          <w:sz w:val="21"/>
          <w:szCs w:val="15"/>
          <w:highlight w:val="none"/>
        </w:rPr>
        <w:t>设备部署</w:t>
      </w:r>
      <w:r>
        <w:rPr>
          <w:i w:val="0"/>
          <w:iCs w:val="0"/>
          <w:color w:val="auto"/>
          <w:sz w:val="21"/>
          <w:szCs w:val="15"/>
          <w:highlight w:val="none"/>
        </w:rPr>
        <w:t>：</w:t>
      </w:r>
      <w:r>
        <w:rPr>
          <w:rFonts w:hint="eastAsia"/>
          <w:i w:val="0"/>
          <w:iCs w:val="0"/>
          <w:color w:val="auto"/>
          <w:sz w:val="21"/>
          <w:szCs w:val="15"/>
          <w:highlight w:val="none"/>
          <w:lang w:val="en-US" w:eastAsia="zh-CN"/>
        </w:rPr>
        <w:t>在主要设备用房、重要设备机柜、主要设备及主要巡检路线点等作业位置安装空间传感器，构建数据采集基础网络。​</w:t>
      </w:r>
    </w:p>
    <w:p w14:paraId="56D12DB9">
      <w:pPr>
        <w:pStyle w:val="142"/>
        <w:ind w:firstLine="422"/>
        <w:rPr>
          <w:i w:val="0"/>
          <w:iCs w:val="0"/>
          <w:color w:val="auto"/>
          <w:sz w:val="21"/>
          <w:szCs w:val="15"/>
          <w:highlight w:val="none"/>
        </w:rPr>
      </w:pPr>
      <w:r>
        <w:rPr>
          <w:b/>
          <w:bCs/>
          <w:i w:val="0"/>
          <w:iCs w:val="0"/>
          <w:color w:val="auto"/>
          <w:sz w:val="21"/>
          <w:szCs w:val="15"/>
          <w:highlight w:val="none"/>
        </w:rPr>
        <w:t>系统空间初始化</w:t>
      </w:r>
      <w:r>
        <w:rPr>
          <w:i w:val="0"/>
          <w:iCs w:val="0"/>
          <w:color w:val="auto"/>
          <w:sz w:val="21"/>
          <w:szCs w:val="15"/>
          <w:highlight w:val="none"/>
        </w:rPr>
        <w:t>：</w:t>
      </w:r>
      <w:r>
        <w:rPr>
          <w:rFonts w:hint="eastAsia"/>
          <w:i w:val="0"/>
          <w:iCs w:val="0"/>
          <w:color w:val="auto"/>
          <w:sz w:val="21"/>
          <w:szCs w:val="15"/>
          <w:highlight w:val="none"/>
          <w:lang w:val="en-US" w:eastAsia="zh-CN"/>
        </w:rPr>
        <w:t>将部署的空间及设备信息导入系统，建立室内定位网络，为后续人员定位和轨迹追踪提供空间数据基础。​</w:t>
      </w:r>
    </w:p>
    <w:p w14:paraId="56D12DBA">
      <w:pPr>
        <w:pStyle w:val="142"/>
        <w:ind w:firstLine="422"/>
        <w:rPr>
          <w:i w:val="0"/>
          <w:iCs w:val="0"/>
          <w:color w:val="auto"/>
          <w:sz w:val="21"/>
          <w:szCs w:val="15"/>
          <w:highlight w:val="none"/>
        </w:rPr>
      </w:pPr>
      <w:r>
        <w:rPr>
          <w:b/>
          <w:bCs/>
          <w:i w:val="0"/>
          <w:iCs w:val="0"/>
          <w:color w:val="auto"/>
          <w:sz w:val="21"/>
          <w:szCs w:val="15"/>
          <w:highlight w:val="none"/>
        </w:rPr>
        <w:t>数据采集</w:t>
      </w:r>
      <w:r>
        <w:rPr>
          <w:i w:val="0"/>
          <w:iCs w:val="0"/>
          <w:color w:val="auto"/>
          <w:sz w:val="21"/>
          <w:szCs w:val="15"/>
          <w:highlight w:val="none"/>
        </w:rPr>
        <w:t>：</w:t>
      </w:r>
      <w:r>
        <w:rPr>
          <w:rFonts w:hint="eastAsia"/>
          <w:i w:val="0"/>
          <w:iCs w:val="0"/>
          <w:color w:val="auto"/>
          <w:sz w:val="21"/>
          <w:szCs w:val="15"/>
          <w:highlight w:val="none"/>
          <w:lang w:val="en-US" w:eastAsia="zh-CN"/>
        </w:rPr>
        <w:t>设备巡检人员每日上班佩戴蓝牙工牌，实现身份识别。蓝牙工牌采集周边蓝牙信标发出的信号值，并缓存至设备中，记录人员作业行为数据。​</w:t>
      </w:r>
    </w:p>
    <w:p w14:paraId="56D12DBB">
      <w:pPr>
        <w:pStyle w:val="142"/>
        <w:ind w:firstLine="422"/>
        <w:rPr>
          <w:i w:val="0"/>
          <w:iCs w:val="0"/>
          <w:color w:val="auto"/>
          <w:sz w:val="21"/>
          <w:szCs w:val="15"/>
          <w:highlight w:val="none"/>
        </w:rPr>
      </w:pPr>
      <w:r>
        <w:rPr>
          <w:b/>
          <w:bCs/>
          <w:i w:val="0"/>
          <w:iCs w:val="0"/>
          <w:color w:val="auto"/>
          <w:sz w:val="21"/>
          <w:szCs w:val="15"/>
          <w:highlight w:val="none"/>
        </w:rPr>
        <w:t>数据上传</w:t>
      </w:r>
      <w:r>
        <w:rPr>
          <w:i w:val="0"/>
          <w:iCs w:val="0"/>
          <w:color w:val="auto"/>
          <w:sz w:val="21"/>
          <w:szCs w:val="15"/>
          <w:highlight w:val="none"/>
        </w:rPr>
        <w:t>：</w:t>
      </w:r>
      <w:r>
        <w:rPr>
          <w:rFonts w:hint="eastAsia"/>
          <w:i w:val="0"/>
          <w:iCs w:val="0"/>
          <w:color w:val="auto"/>
          <w:sz w:val="21"/>
          <w:szCs w:val="15"/>
          <w:highlight w:val="none"/>
          <w:lang w:val="en-US" w:eastAsia="zh-CN"/>
        </w:rPr>
        <w:t>蓝牙工牌通过智能网关将采集的数据上传至服务器，完成数据从终端到系统云端的传输。​</w:t>
      </w:r>
    </w:p>
    <w:p w14:paraId="56D12DBC">
      <w:pPr>
        <w:pStyle w:val="142"/>
        <w:ind w:firstLine="422"/>
        <w:rPr>
          <w:i w:val="0"/>
          <w:iCs w:val="0"/>
          <w:color w:val="auto"/>
          <w:sz w:val="21"/>
          <w:szCs w:val="15"/>
          <w:highlight w:val="none"/>
        </w:rPr>
      </w:pPr>
      <w:r>
        <w:rPr>
          <w:b/>
          <w:bCs/>
          <w:i w:val="0"/>
          <w:iCs w:val="0"/>
          <w:color w:val="auto"/>
          <w:sz w:val="21"/>
          <w:szCs w:val="15"/>
          <w:highlight w:val="none"/>
        </w:rPr>
        <w:t>大数据分析</w:t>
      </w:r>
      <w:r>
        <w:rPr>
          <w:i w:val="0"/>
          <w:iCs w:val="0"/>
          <w:color w:val="auto"/>
          <w:sz w:val="21"/>
          <w:szCs w:val="15"/>
          <w:highlight w:val="none"/>
        </w:rPr>
        <w:t>：</w:t>
      </w:r>
      <w:r>
        <w:rPr>
          <w:rFonts w:hint="eastAsia"/>
          <w:i w:val="0"/>
          <w:iCs w:val="0"/>
          <w:color w:val="auto"/>
          <w:sz w:val="21"/>
          <w:szCs w:val="15"/>
          <w:highlight w:val="none"/>
          <w:lang w:val="en-US" w:eastAsia="zh-CN"/>
        </w:rPr>
        <w:t>服务器接收设备传入的信号值，并进行数据清洗，计算人员轨迹，如实记录数据，并结合维修人员的维修任务工单定额工时进行轨迹校验，确保作业符合标准要求。</w:t>
      </w:r>
    </w:p>
    <w:p w14:paraId="56D12DBD">
      <w:pPr>
        <w:pStyle w:val="4"/>
        <w:rPr>
          <w:i w:val="0"/>
          <w:iCs w:val="0"/>
          <w:color w:val="auto"/>
          <w:sz w:val="24"/>
          <w:szCs w:val="21"/>
          <w:highlight w:val="none"/>
        </w:rPr>
      </w:pPr>
      <w:bookmarkStart w:id="214" w:name="_Toc23626"/>
      <w:r>
        <w:rPr>
          <w:rFonts w:hint="eastAsia"/>
          <w:i w:val="0"/>
          <w:iCs w:val="0"/>
          <w:color w:val="auto"/>
          <w:sz w:val="24"/>
          <w:szCs w:val="21"/>
          <w:highlight w:val="none"/>
        </w:rPr>
        <w:t>系统功能</w:t>
      </w:r>
      <w:bookmarkEnd w:id="214"/>
    </w:p>
    <w:p w14:paraId="56D12DB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系统功能包括巡检管理、检修管理、工作记录查询、智能预警、大模型应用等功能。</w:t>
      </w:r>
    </w:p>
    <w:p w14:paraId="56D12DBF">
      <w:pPr>
        <w:pStyle w:val="5"/>
        <w:ind w:left="0"/>
        <w:rPr>
          <w:i w:val="0"/>
          <w:iCs w:val="0"/>
          <w:color w:val="auto"/>
          <w:sz w:val="22"/>
          <w:szCs w:val="22"/>
          <w:highlight w:val="none"/>
        </w:rPr>
      </w:pPr>
      <w:bookmarkStart w:id="215" w:name="_Toc2116"/>
      <w:r>
        <w:rPr>
          <w:rFonts w:hint="eastAsia"/>
          <w:i w:val="0"/>
          <w:iCs w:val="0"/>
          <w:color w:val="auto"/>
          <w:sz w:val="22"/>
          <w:szCs w:val="22"/>
          <w:highlight w:val="none"/>
        </w:rPr>
        <w:t>维修人员管理设备管理</w:t>
      </w:r>
      <w:bookmarkEnd w:id="215"/>
    </w:p>
    <w:p w14:paraId="56D12DC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系统具备对维修人员管理设备的查看、编辑和管理功能，方便管理人员对硬件设备进行维护和配置，确保设备正常运行。</w:t>
      </w:r>
    </w:p>
    <w:p w14:paraId="56D12DC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维修作业管理系统功能基于既有管控平台进行开发，投标人需制定合理的系统部署方案，以便尽可能减少甚至避免对既有系统运营的影响。</w:t>
      </w:r>
    </w:p>
    <w:p w14:paraId="56D12DC2">
      <w:pPr>
        <w:pStyle w:val="5"/>
        <w:ind w:left="0"/>
        <w:rPr>
          <w:i w:val="0"/>
          <w:iCs w:val="0"/>
          <w:color w:val="auto"/>
          <w:sz w:val="22"/>
          <w:szCs w:val="22"/>
          <w:highlight w:val="none"/>
        </w:rPr>
      </w:pPr>
      <w:bookmarkStart w:id="216" w:name="_Toc10610"/>
      <w:r>
        <w:rPr>
          <w:rFonts w:hint="eastAsia"/>
          <w:i w:val="0"/>
          <w:iCs w:val="0"/>
          <w:color w:val="auto"/>
          <w:sz w:val="22"/>
          <w:szCs w:val="22"/>
          <w:highlight w:val="none"/>
        </w:rPr>
        <w:t>巡检、检修管理</w:t>
      </w:r>
      <w:bookmarkEnd w:id="216"/>
    </w:p>
    <w:p w14:paraId="56D12DC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维修作业管理系统依据GBIM工单数据生成员工检修任务定额轨迹，结合员工每日行为数据，精准匹配计划完成情况，实现24小时不间断监管服务计划的落地执行，保障巡检、检修工作按计划高质量完成。</w:t>
      </w:r>
    </w:p>
    <w:p w14:paraId="56D12DC4">
      <w:pPr>
        <w:pStyle w:val="5"/>
        <w:ind w:left="0"/>
        <w:rPr>
          <w:i w:val="0"/>
          <w:iCs w:val="0"/>
          <w:color w:val="auto"/>
          <w:sz w:val="22"/>
          <w:szCs w:val="22"/>
          <w:highlight w:val="none"/>
        </w:rPr>
      </w:pPr>
      <w:bookmarkStart w:id="217" w:name="_Toc22086"/>
      <w:r>
        <w:rPr>
          <w:rFonts w:hint="eastAsia"/>
          <w:i w:val="0"/>
          <w:iCs w:val="0"/>
          <w:color w:val="auto"/>
          <w:sz w:val="22"/>
          <w:szCs w:val="22"/>
          <w:highlight w:val="none"/>
        </w:rPr>
        <w:t>工作记录查询</w:t>
      </w:r>
      <w:bookmarkEnd w:id="217"/>
    </w:p>
    <w:p w14:paraId="56D12DC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支持查看特定人员工作记录，包括单次工作记录，如行为方式、所在位置、停留时长；以及整体工作记录，如月工作时长、月总有效工作点位，为人员工作考核和绩效评估提供详细数据。支持历史数据台账导出功能，支持定制化报表，以及报表导出功能。</w:t>
      </w:r>
    </w:p>
    <w:p w14:paraId="56D12DC6">
      <w:pPr>
        <w:pStyle w:val="5"/>
        <w:ind w:left="0"/>
        <w:rPr>
          <w:i w:val="0"/>
          <w:iCs w:val="0"/>
          <w:color w:val="auto"/>
          <w:sz w:val="22"/>
          <w:szCs w:val="22"/>
          <w:highlight w:val="none"/>
        </w:rPr>
      </w:pPr>
      <w:bookmarkStart w:id="218" w:name="_Toc24486"/>
      <w:r>
        <w:rPr>
          <w:rFonts w:hint="eastAsia"/>
          <w:i w:val="0"/>
          <w:iCs w:val="0"/>
          <w:color w:val="auto"/>
          <w:sz w:val="22"/>
          <w:szCs w:val="22"/>
          <w:highlight w:val="none"/>
        </w:rPr>
        <w:t>智能预警</w:t>
      </w:r>
      <w:bookmarkEnd w:id="218"/>
    </w:p>
    <w:p w14:paraId="56D12DC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系统可根据巡检、检修设定，针对未达相关设定的操作，通过与GBIM系统间接口向城轨云进行异常提醒与预警，如未到达工作位置、工作时间过短或过长等情况。同时支持自定义周期导出工作报告，便于管理人员及时掌握工作动态，发现问题并采取措施。</w:t>
      </w:r>
    </w:p>
    <w:p w14:paraId="56D12DC8">
      <w:pPr>
        <w:pStyle w:val="5"/>
        <w:ind w:left="0"/>
        <w:rPr>
          <w:i w:val="0"/>
          <w:iCs w:val="0"/>
          <w:color w:val="auto"/>
          <w:sz w:val="22"/>
          <w:szCs w:val="22"/>
          <w:highlight w:val="none"/>
        </w:rPr>
      </w:pPr>
      <w:bookmarkStart w:id="219" w:name="_Toc4380"/>
      <w:r>
        <w:rPr>
          <w:rFonts w:hint="eastAsia"/>
          <w:i w:val="0"/>
          <w:iCs w:val="0"/>
          <w:color w:val="auto"/>
          <w:sz w:val="22"/>
          <w:szCs w:val="22"/>
          <w:highlight w:val="none"/>
        </w:rPr>
        <w:t>大模型智能运维助手</w:t>
      </w:r>
      <w:bookmarkEnd w:id="219"/>
    </w:p>
    <w:p w14:paraId="56D12DC9">
      <w:pPr>
        <w:pStyle w:val="6"/>
        <w:ind w:left="0"/>
        <w:rPr>
          <w:i w:val="0"/>
          <w:iCs w:val="0"/>
          <w:color w:val="auto"/>
          <w:sz w:val="21"/>
          <w:szCs w:val="21"/>
          <w:highlight w:val="none"/>
        </w:rPr>
      </w:pPr>
      <w:r>
        <w:rPr>
          <w:rFonts w:hint="eastAsia"/>
          <w:i w:val="0"/>
          <w:iCs w:val="0"/>
          <w:color w:val="auto"/>
          <w:sz w:val="21"/>
          <w:szCs w:val="21"/>
          <w:highlight w:val="none"/>
        </w:rPr>
        <w:t>故障诊断功能</w:t>
      </w:r>
    </w:p>
    <w:p w14:paraId="56D12DC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支持通过自然语言对话解答轨道交通故障及处理相关问题，实现高效故障诊断。具备记忆能力，能理解故障描述语义和上下文关系，准确回答问题；还可通过故障描述查找相似工单，查看处理详情，借鉴过往经验。</w:t>
      </w:r>
    </w:p>
    <w:p w14:paraId="56D12DCD">
      <w:pPr>
        <w:pStyle w:val="6"/>
        <w:ind w:left="0"/>
        <w:rPr>
          <w:i w:val="0"/>
          <w:iCs w:val="0"/>
          <w:color w:val="auto"/>
          <w:sz w:val="21"/>
          <w:szCs w:val="21"/>
          <w:highlight w:val="none"/>
        </w:rPr>
      </w:pPr>
      <w:r>
        <w:rPr>
          <w:i w:val="0"/>
          <w:iCs w:val="0"/>
          <w:color w:val="auto"/>
          <w:sz w:val="21"/>
          <w:szCs w:val="21"/>
          <w:highlight w:val="none"/>
        </w:rPr>
        <w:t>训练与部署方式</w:t>
      </w:r>
    </w:p>
    <w:p w14:paraId="56D12DC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大模型采用远端训练、本地部署原则，基座模型由供应商提供，具备轨道交通行业领域知识，尤其是设备维保知识。可结合业务实际数据进行全参预训练或指令微调，提高在轨交维保领域的认知深度和答案生成质量。</w:t>
      </w:r>
    </w:p>
    <w:p w14:paraId="56D12DCF">
      <w:pPr>
        <w:pStyle w:val="4"/>
        <w:rPr>
          <w:i w:val="0"/>
          <w:iCs w:val="0"/>
          <w:color w:val="auto"/>
          <w:sz w:val="24"/>
          <w:szCs w:val="21"/>
          <w:highlight w:val="none"/>
        </w:rPr>
      </w:pPr>
      <w:bookmarkStart w:id="220" w:name="_Toc23652"/>
      <w:r>
        <w:rPr>
          <w:rFonts w:hint="eastAsia"/>
          <w:i w:val="0"/>
          <w:iCs w:val="0"/>
          <w:color w:val="auto"/>
          <w:sz w:val="24"/>
          <w:szCs w:val="21"/>
          <w:highlight w:val="none"/>
        </w:rPr>
        <w:t>与OA系统接口</w:t>
      </w:r>
      <w:bookmarkEnd w:id="220"/>
    </w:p>
    <w:p w14:paraId="56D12DD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OA系统已在车站设置OA系统工作站，维修作业管理系统通过与OA系统的接口，将定位基站接入OA系统工作站，通过OA系统网络实现与GBIM系统信息互通，实现信息获取和上传功能。</w:t>
      </w:r>
    </w:p>
    <w:p w14:paraId="56D12DD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维修作业管理系统与OA\GBIM系统接口划分示意图</w:t>
      </w:r>
    </w:p>
    <w:p w14:paraId="56D12DD2">
      <w:pPr>
        <w:pStyle w:val="34"/>
        <w:kinsoku w:val="0"/>
        <w:overflowPunct w:val="0"/>
        <w:spacing w:line="360" w:lineRule="auto"/>
        <w:ind w:firstLine="420" w:firstLineChars="200"/>
        <w:rPr>
          <w:rFonts w:hint="eastAsia" w:ascii="宋体" w:hAnsi="宋体" w:eastAsia="宋体" w:cs="仿宋"/>
          <w:i w:val="0"/>
          <w:iCs w:val="0"/>
          <w:color w:val="auto"/>
          <w:spacing w:val="-4"/>
          <w:sz w:val="16"/>
          <w:szCs w:val="16"/>
          <w:highlight w:val="none"/>
        </w:rPr>
      </w:pPr>
      <w:r>
        <w:rPr>
          <w:rFonts w:hint="eastAsia"/>
          <w:i w:val="0"/>
          <w:iCs w:val="0"/>
          <w:color w:val="auto"/>
          <w:sz w:val="21"/>
          <w:szCs w:val="20"/>
          <w:highlight w:val="none"/>
        </w:rPr>
        <w:object>
          <v:shape id="_x0000_i1027" o:spt="75" type="#_x0000_t75" style="height:175.65pt;width:298.35pt;" o:ole="t" filled="f" o:preferrelative="t" stroked="f" coordsize="21600,21600">
            <v:path/>
            <v:fill on="f" focussize="0,0"/>
            <v:stroke on="f" joinstyle="miter"/>
            <v:imagedata r:id="rId33" o:title=""/>
            <o:lock v:ext="edit" aspectratio="f"/>
            <w10:wrap type="none"/>
            <w10:anchorlock/>
          </v:shape>
          <o:OLEObject Type="Embed" ProgID="Visio.Drawing.15" ShapeID="_x0000_i1027" DrawAspect="Content" ObjectID="_1468075727" r:id="rId32">
            <o:LockedField>false</o:LockedField>
          </o:OLEObject>
        </w:object>
      </w:r>
    </w:p>
    <w:p w14:paraId="56D12DD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a、接口位置：车站控制室；</w:t>
      </w:r>
    </w:p>
    <w:p w14:paraId="56D12DD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b、接口类型：通信接口：1000M以太网TCP/IP，RJ45。</w:t>
      </w:r>
    </w:p>
    <w:p w14:paraId="56D12DD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c、软件协议：接口通讯协议支持标准的、通用的、开放的、软件解码的协议，推荐采用Http、Snmp协议；</w:t>
      </w:r>
    </w:p>
    <w:p w14:paraId="56D12DD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d、接口数量：车站一路独立的以太网接口。</w:t>
      </w:r>
    </w:p>
    <w:p w14:paraId="56D12DD7">
      <w:pPr>
        <w:pStyle w:val="142"/>
        <w:ind w:firstLine="420"/>
        <w:rPr>
          <w:i w:val="0"/>
          <w:iCs w:val="0"/>
          <w:color w:val="auto"/>
          <w:sz w:val="21"/>
          <w:szCs w:val="15"/>
          <w:highlight w:val="none"/>
        </w:rPr>
      </w:pPr>
    </w:p>
    <w:p w14:paraId="56D12DD8">
      <w:pPr>
        <w:pStyle w:val="4"/>
        <w:rPr>
          <w:i w:val="0"/>
          <w:iCs w:val="0"/>
          <w:color w:val="auto"/>
          <w:sz w:val="24"/>
          <w:szCs w:val="21"/>
          <w:highlight w:val="none"/>
        </w:rPr>
      </w:pPr>
      <w:bookmarkStart w:id="221" w:name="_Toc16960"/>
      <w:r>
        <w:rPr>
          <w:rFonts w:hint="eastAsia"/>
          <w:i w:val="0"/>
          <w:iCs w:val="0"/>
          <w:color w:val="auto"/>
          <w:sz w:val="24"/>
          <w:szCs w:val="21"/>
          <w:highlight w:val="none"/>
        </w:rPr>
        <w:t>系统电源、接地</w:t>
      </w:r>
      <w:bookmarkEnd w:id="221"/>
    </w:p>
    <w:p w14:paraId="56D12DD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行为传感器网关与基站安装在工班管理位置房间，系统电源为三级负荷，非消防电源；电源由动照专业设置的电源插座取电。</w:t>
      </w:r>
    </w:p>
    <w:p w14:paraId="56D12DD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接地采用综合接地方式，接地电阻不大于1欧姆，接入既有低压配电专业设置弱电接地端子箱预留接地端子。</w:t>
      </w:r>
    </w:p>
    <w:p w14:paraId="56D12DDB">
      <w:pPr>
        <w:pStyle w:val="3"/>
        <w:rPr>
          <w:i w:val="0"/>
          <w:iCs w:val="0"/>
          <w:color w:val="auto"/>
          <w:sz w:val="24"/>
          <w:szCs w:val="32"/>
          <w:highlight w:val="none"/>
        </w:rPr>
      </w:pPr>
      <w:bookmarkStart w:id="222" w:name="_Toc17797"/>
      <w:r>
        <w:rPr>
          <w:rFonts w:hint="eastAsia"/>
          <w:i w:val="0"/>
          <w:iCs w:val="0"/>
          <w:color w:val="auto"/>
          <w:sz w:val="24"/>
          <w:szCs w:val="32"/>
          <w:highlight w:val="none"/>
        </w:rPr>
        <w:t>云平台扩容</w:t>
      </w:r>
      <w:bookmarkEnd w:id="222"/>
      <w:r>
        <w:rPr>
          <w:rFonts w:hint="eastAsia" w:ascii="宋体" w:hAnsi="宋体" w:cs="宋体"/>
          <w:szCs w:val="21"/>
          <w:highlight w:val="none"/>
        </w:rPr>
        <w:t>★</w:t>
      </w:r>
    </w:p>
    <w:p w14:paraId="56D12DDC">
      <w:pPr>
        <w:pStyle w:val="4"/>
        <w:rPr>
          <w:i w:val="0"/>
          <w:iCs w:val="0"/>
          <w:color w:val="auto"/>
          <w:sz w:val="24"/>
          <w:szCs w:val="21"/>
          <w:highlight w:val="none"/>
        </w:rPr>
      </w:pPr>
      <w:bookmarkStart w:id="223" w:name="_Toc14681"/>
      <w:r>
        <w:rPr>
          <w:rFonts w:hint="eastAsia"/>
          <w:i w:val="0"/>
          <w:iCs w:val="0"/>
          <w:color w:val="auto"/>
          <w:sz w:val="24"/>
          <w:szCs w:val="21"/>
          <w:highlight w:val="none"/>
        </w:rPr>
        <w:t>生产网云平台扩容方案</w:t>
      </w:r>
      <w:bookmarkEnd w:id="223"/>
    </w:p>
    <w:p w14:paraId="56D12DDD">
      <w:pPr>
        <w:pStyle w:val="5"/>
        <w:ind w:left="0"/>
        <w:rPr>
          <w:i w:val="0"/>
          <w:iCs w:val="0"/>
          <w:color w:val="auto"/>
          <w:sz w:val="22"/>
          <w:szCs w:val="22"/>
          <w:highlight w:val="none"/>
        </w:rPr>
      </w:pPr>
      <w:bookmarkStart w:id="224" w:name="_Toc20578"/>
      <w:r>
        <w:rPr>
          <w:rFonts w:hint="eastAsia"/>
          <w:i w:val="0"/>
          <w:iCs w:val="0"/>
          <w:color w:val="auto"/>
          <w:sz w:val="22"/>
          <w:szCs w:val="22"/>
          <w:highlight w:val="none"/>
          <w:lang w:val="en-US"/>
        </w:rPr>
        <w:t>扩容需求</w:t>
      </w:r>
      <w:bookmarkEnd w:id="224"/>
    </w:p>
    <w:p w14:paraId="56D12DDE">
      <w:pPr>
        <w:pStyle w:val="6"/>
        <w:ind w:left="0"/>
        <w:rPr>
          <w:i w:val="0"/>
          <w:iCs w:val="0"/>
          <w:color w:val="auto"/>
          <w:sz w:val="21"/>
          <w:szCs w:val="21"/>
          <w:highlight w:val="none"/>
        </w:rPr>
      </w:pPr>
      <w:r>
        <w:rPr>
          <w:rFonts w:hint="eastAsia"/>
          <w:i w:val="0"/>
          <w:iCs w:val="0"/>
          <w:color w:val="auto"/>
          <w:sz w:val="21"/>
          <w:szCs w:val="21"/>
          <w:highlight w:val="none"/>
        </w:rPr>
        <w:t>运营期应用部署需求</w:t>
      </w:r>
    </w:p>
    <w:p w14:paraId="56D12DD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运营期生产网云平台资源规划服务范围为满足智慧地铁生产网云平台业务应用的基础资源云计算服务，涵盖运营安全、管控、智能运维应用等，并对大数据平台存储扩容、提供备份空间。其为防洪防汛应急处置、智慧人脸门禁等业务应用提供基础资源云计算服务，车站视频智能分析应用、智能钥匙柜为非上云应用由车站供算力，本期新增智能视频分析数据存储复用建设期大数据资源。</w:t>
      </w:r>
    </w:p>
    <w:p w14:paraId="56D12DE0">
      <w:pPr>
        <w:pStyle w:val="6"/>
        <w:ind w:left="0"/>
        <w:rPr>
          <w:i w:val="0"/>
          <w:iCs w:val="0"/>
          <w:color w:val="auto"/>
          <w:sz w:val="21"/>
          <w:szCs w:val="21"/>
          <w:highlight w:val="none"/>
        </w:rPr>
      </w:pPr>
      <w:r>
        <w:rPr>
          <w:rFonts w:hint="eastAsia"/>
          <w:i w:val="0"/>
          <w:iCs w:val="0"/>
          <w:color w:val="auto"/>
          <w:sz w:val="21"/>
          <w:szCs w:val="21"/>
          <w:highlight w:val="none"/>
        </w:rPr>
        <w:t>云资源扩容需求</w:t>
      </w:r>
    </w:p>
    <w:p w14:paraId="56D12DE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运营期智慧地铁生产网云平台扩容需求资源如下表所述。</w:t>
      </w:r>
    </w:p>
    <w:p w14:paraId="56D12DE2">
      <w:pPr>
        <w:pStyle w:val="34"/>
        <w:kinsoku w:val="0"/>
        <w:overflowPunct w:val="0"/>
        <w:spacing w:line="360" w:lineRule="auto"/>
        <w:rPr>
          <w:rFonts w:hint="eastAsia" w:ascii="宋体" w:hAnsi="宋体" w:eastAsia="宋体" w:cs="仿宋"/>
          <w:i w:val="0"/>
          <w:iCs w:val="0"/>
          <w:color w:val="auto"/>
          <w:sz w:val="2"/>
          <w:szCs w:val="2"/>
          <w:highlight w:val="none"/>
        </w:rPr>
      </w:pPr>
    </w:p>
    <w:tbl>
      <w:tblPr>
        <w:tblStyle w:val="88"/>
        <w:tblW w:w="0" w:type="auto"/>
        <w:tblInd w:w="137" w:type="dxa"/>
        <w:tblLayout w:type="fixed"/>
        <w:tblCellMar>
          <w:top w:w="0" w:type="dxa"/>
          <w:left w:w="108" w:type="dxa"/>
          <w:bottom w:w="0" w:type="dxa"/>
          <w:right w:w="108" w:type="dxa"/>
        </w:tblCellMar>
      </w:tblPr>
      <w:tblGrid>
        <w:gridCol w:w="1134"/>
        <w:gridCol w:w="1418"/>
        <w:gridCol w:w="1171"/>
        <w:gridCol w:w="612"/>
        <w:gridCol w:w="865"/>
        <w:gridCol w:w="1037"/>
        <w:gridCol w:w="936"/>
        <w:gridCol w:w="1339"/>
      </w:tblGrid>
      <w:tr w14:paraId="56D12DEB">
        <w:tblPrEx>
          <w:tblCellMar>
            <w:top w:w="0" w:type="dxa"/>
            <w:left w:w="108" w:type="dxa"/>
            <w:bottom w:w="0" w:type="dxa"/>
            <w:right w:w="108" w:type="dxa"/>
          </w:tblCellMar>
        </w:tblPrEx>
        <w:trPr>
          <w:trHeight w:val="90" w:hRule="atLeast"/>
        </w:trPr>
        <w:tc>
          <w:tcPr>
            <w:tcW w:w="1134" w:type="dxa"/>
            <w:tcBorders>
              <w:top w:val="single" w:color="000000" w:sz="4" w:space="0"/>
              <w:left w:val="single" w:color="000000" w:sz="4" w:space="0"/>
              <w:bottom w:val="single" w:color="000000" w:sz="4" w:space="0"/>
              <w:right w:val="single" w:color="000000" w:sz="4" w:space="0"/>
            </w:tcBorders>
            <w:vAlign w:val="center"/>
          </w:tcPr>
          <w:p w14:paraId="56D12DE3">
            <w:pPr>
              <w:pStyle w:val="143"/>
              <w:bidi w:val="0"/>
              <w:rPr>
                <w:rFonts w:hint="eastAsia"/>
                <w:i w:val="0"/>
                <w:iCs w:val="0"/>
                <w:color w:val="auto"/>
                <w:sz w:val="21"/>
                <w:szCs w:val="21"/>
                <w:highlight w:val="none"/>
              </w:rPr>
            </w:pPr>
            <w:r>
              <w:rPr>
                <w:rFonts w:hint="eastAsia"/>
                <w:i w:val="0"/>
                <w:iCs w:val="0"/>
                <w:color w:val="auto"/>
                <w:sz w:val="21"/>
                <w:szCs w:val="21"/>
                <w:highlight w:val="none"/>
              </w:rPr>
              <w:t>应用名称</w:t>
            </w:r>
          </w:p>
        </w:tc>
        <w:tc>
          <w:tcPr>
            <w:tcW w:w="1418" w:type="dxa"/>
            <w:tcBorders>
              <w:top w:val="single" w:color="000000" w:sz="4" w:space="0"/>
              <w:left w:val="nil"/>
              <w:bottom w:val="single" w:color="000000" w:sz="4" w:space="0"/>
              <w:right w:val="single" w:color="000000" w:sz="4" w:space="0"/>
            </w:tcBorders>
            <w:vAlign w:val="center"/>
          </w:tcPr>
          <w:p w14:paraId="56D12DE4">
            <w:pPr>
              <w:pStyle w:val="143"/>
              <w:bidi w:val="0"/>
              <w:rPr>
                <w:rFonts w:hint="eastAsia"/>
                <w:i w:val="0"/>
                <w:iCs w:val="0"/>
                <w:color w:val="auto"/>
                <w:sz w:val="21"/>
                <w:szCs w:val="21"/>
                <w:highlight w:val="none"/>
              </w:rPr>
            </w:pPr>
            <w:r>
              <w:rPr>
                <w:rFonts w:hint="eastAsia"/>
                <w:i w:val="0"/>
                <w:iCs w:val="0"/>
                <w:color w:val="auto"/>
                <w:sz w:val="21"/>
                <w:szCs w:val="21"/>
                <w:highlight w:val="none"/>
              </w:rPr>
              <w:t>操作系统配置</w:t>
            </w:r>
          </w:p>
        </w:tc>
        <w:tc>
          <w:tcPr>
            <w:tcW w:w="1171" w:type="dxa"/>
            <w:tcBorders>
              <w:top w:val="single" w:color="000000" w:sz="4" w:space="0"/>
              <w:left w:val="nil"/>
              <w:bottom w:val="single" w:color="000000" w:sz="4" w:space="0"/>
              <w:right w:val="single" w:color="000000" w:sz="4" w:space="0"/>
            </w:tcBorders>
            <w:vAlign w:val="center"/>
          </w:tcPr>
          <w:p w14:paraId="56D12DE5">
            <w:pPr>
              <w:pStyle w:val="143"/>
              <w:bidi w:val="0"/>
              <w:rPr>
                <w:rFonts w:hint="eastAsia"/>
                <w:i w:val="0"/>
                <w:iCs w:val="0"/>
                <w:color w:val="auto"/>
                <w:sz w:val="21"/>
                <w:szCs w:val="21"/>
                <w:highlight w:val="none"/>
              </w:rPr>
            </w:pPr>
            <w:r>
              <w:rPr>
                <w:rFonts w:hint="eastAsia"/>
                <w:i w:val="0"/>
                <w:iCs w:val="0"/>
                <w:color w:val="auto"/>
                <w:sz w:val="21"/>
                <w:szCs w:val="21"/>
                <w:highlight w:val="none"/>
              </w:rPr>
              <w:t>数量（台）</w:t>
            </w:r>
          </w:p>
        </w:tc>
        <w:tc>
          <w:tcPr>
            <w:tcW w:w="612" w:type="dxa"/>
            <w:tcBorders>
              <w:top w:val="single" w:color="000000" w:sz="4" w:space="0"/>
              <w:left w:val="nil"/>
              <w:bottom w:val="single" w:color="000000" w:sz="4" w:space="0"/>
              <w:right w:val="single" w:color="000000" w:sz="4" w:space="0"/>
            </w:tcBorders>
            <w:vAlign w:val="center"/>
          </w:tcPr>
          <w:p w14:paraId="56D12DE6">
            <w:pPr>
              <w:pStyle w:val="143"/>
              <w:bidi w:val="0"/>
              <w:rPr>
                <w:rFonts w:hint="eastAsia"/>
                <w:i w:val="0"/>
                <w:iCs w:val="0"/>
                <w:color w:val="auto"/>
                <w:sz w:val="21"/>
                <w:szCs w:val="21"/>
                <w:highlight w:val="none"/>
              </w:rPr>
            </w:pPr>
            <w:r>
              <w:rPr>
                <w:rFonts w:hint="eastAsia"/>
                <w:i w:val="0"/>
                <w:iCs w:val="0"/>
                <w:color w:val="auto"/>
                <w:sz w:val="21"/>
                <w:szCs w:val="21"/>
                <w:highlight w:val="none"/>
              </w:rPr>
              <w:t>vCPU</w:t>
            </w:r>
          </w:p>
        </w:tc>
        <w:tc>
          <w:tcPr>
            <w:tcW w:w="865" w:type="dxa"/>
            <w:tcBorders>
              <w:top w:val="single" w:color="000000" w:sz="4" w:space="0"/>
              <w:left w:val="nil"/>
              <w:bottom w:val="single" w:color="000000" w:sz="4" w:space="0"/>
              <w:right w:val="single" w:color="000000" w:sz="4" w:space="0"/>
            </w:tcBorders>
            <w:vAlign w:val="center"/>
          </w:tcPr>
          <w:p w14:paraId="56D12DE7">
            <w:pPr>
              <w:pStyle w:val="143"/>
              <w:bidi w:val="0"/>
              <w:rPr>
                <w:rFonts w:hint="eastAsia"/>
                <w:i w:val="0"/>
                <w:iCs w:val="0"/>
                <w:color w:val="auto"/>
                <w:sz w:val="21"/>
                <w:szCs w:val="21"/>
                <w:highlight w:val="none"/>
              </w:rPr>
            </w:pPr>
            <w:r>
              <w:rPr>
                <w:rFonts w:hint="eastAsia"/>
                <w:i w:val="0"/>
                <w:iCs w:val="0"/>
                <w:color w:val="auto"/>
                <w:sz w:val="21"/>
                <w:szCs w:val="21"/>
                <w:highlight w:val="none"/>
              </w:rPr>
              <w:t>内存(G)</w:t>
            </w:r>
          </w:p>
        </w:tc>
        <w:tc>
          <w:tcPr>
            <w:tcW w:w="1037" w:type="dxa"/>
            <w:tcBorders>
              <w:top w:val="single" w:color="000000" w:sz="4" w:space="0"/>
              <w:left w:val="nil"/>
              <w:bottom w:val="single" w:color="000000" w:sz="4" w:space="0"/>
              <w:right w:val="single" w:color="000000" w:sz="4" w:space="0"/>
            </w:tcBorders>
            <w:vAlign w:val="center"/>
          </w:tcPr>
          <w:p w14:paraId="56D12DE8">
            <w:pPr>
              <w:pStyle w:val="143"/>
              <w:bidi w:val="0"/>
              <w:rPr>
                <w:rFonts w:hint="eastAsia"/>
                <w:i w:val="0"/>
                <w:iCs w:val="0"/>
                <w:color w:val="auto"/>
                <w:sz w:val="21"/>
                <w:szCs w:val="21"/>
                <w:highlight w:val="none"/>
              </w:rPr>
            </w:pPr>
            <w:r>
              <w:rPr>
                <w:rFonts w:hint="eastAsia"/>
                <w:i w:val="0"/>
                <w:iCs w:val="0"/>
                <w:color w:val="auto"/>
                <w:sz w:val="21"/>
                <w:szCs w:val="21"/>
                <w:highlight w:val="none"/>
              </w:rPr>
              <w:t>SSD（G）</w:t>
            </w:r>
          </w:p>
        </w:tc>
        <w:tc>
          <w:tcPr>
            <w:tcW w:w="936" w:type="dxa"/>
            <w:tcBorders>
              <w:top w:val="single" w:color="000000" w:sz="4" w:space="0"/>
              <w:left w:val="nil"/>
              <w:bottom w:val="single" w:color="000000" w:sz="4" w:space="0"/>
              <w:right w:val="single" w:color="000000" w:sz="4" w:space="0"/>
            </w:tcBorders>
            <w:vAlign w:val="center"/>
          </w:tcPr>
          <w:p w14:paraId="56D12DE9">
            <w:pPr>
              <w:pStyle w:val="143"/>
              <w:bidi w:val="0"/>
              <w:rPr>
                <w:rFonts w:hint="eastAsia"/>
                <w:i w:val="0"/>
                <w:iCs w:val="0"/>
                <w:color w:val="auto"/>
                <w:sz w:val="21"/>
                <w:szCs w:val="21"/>
                <w:highlight w:val="none"/>
              </w:rPr>
            </w:pPr>
            <w:r>
              <w:rPr>
                <w:rFonts w:hint="eastAsia"/>
                <w:i w:val="0"/>
                <w:iCs w:val="0"/>
                <w:color w:val="auto"/>
                <w:sz w:val="21"/>
                <w:szCs w:val="21"/>
                <w:highlight w:val="none"/>
              </w:rPr>
              <w:t>存储(G)</w:t>
            </w:r>
          </w:p>
        </w:tc>
        <w:tc>
          <w:tcPr>
            <w:tcW w:w="1339" w:type="dxa"/>
            <w:tcBorders>
              <w:top w:val="single" w:color="000000" w:sz="4" w:space="0"/>
              <w:left w:val="nil"/>
              <w:bottom w:val="single" w:color="000000" w:sz="4" w:space="0"/>
              <w:right w:val="single" w:color="000000" w:sz="4" w:space="0"/>
            </w:tcBorders>
            <w:vAlign w:val="center"/>
          </w:tcPr>
          <w:p w14:paraId="56D12DEA">
            <w:pPr>
              <w:pStyle w:val="143"/>
              <w:bidi w:val="0"/>
              <w:rPr>
                <w:rFonts w:hint="eastAsia"/>
                <w:i w:val="0"/>
                <w:iCs w:val="0"/>
                <w:color w:val="auto"/>
                <w:sz w:val="21"/>
                <w:szCs w:val="21"/>
                <w:highlight w:val="none"/>
              </w:rPr>
            </w:pPr>
            <w:r>
              <w:rPr>
                <w:rFonts w:hint="eastAsia"/>
                <w:i w:val="0"/>
                <w:iCs w:val="0"/>
                <w:color w:val="auto"/>
                <w:sz w:val="21"/>
                <w:szCs w:val="21"/>
                <w:highlight w:val="none"/>
              </w:rPr>
              <w:t>其他</w:t>
            </w:r>
          </w:p>
        </w:tc>
      </w:tr>
      <w:tr w14:paraId="56D12DF6">
        <w:tblPrEx>
          <w:tblCellMar>
            <w:top w:w="0" w:type="dxa"/>
            <w:left w:w="108" w:type="dxa"/>
            <w:bottom w:w="0" w:type="dxa"/>
            <w:right w:w="108" w:type="dxa"/>
          </w:tblCellMar>
        </w:tblPrEx>
        <w:trPr>
          <w:trHeight w:val="90" w:hRule="atLeast"/>
        </w:trPr>
        <w:tc>
          <w:tcPr>
            <w:tcW w:w="1134" w:type="dxa"/>
            <w:tcBorders>
              <w:top w:val="single" w:color="000000" w:sz="4" w:space="0"/>
              <w:left w:val="single" w:color="000000" w:sz="4" w:space="0"/>
              <w:bottom w:val="single" w:color="000000" w:sz="4" w:space="0"/>
              <w:right w:val="single" w:color="000000" w:sz="4" w:space="0"/>
            </w:tcBorders>
            <w:vAlign w:val="center"/>
          </w:tcPr>
          <w:p w14:paraId="56D12DEC">
            <w:pPr>
              <w:pStyle w:val="143"/>
              <w:bidi w:val="0"/>
              <w:rPr>
                <w:rFonts w:hint="eastAsia"/>
                <w:i w:val="0"/>
                <w:iCs w:val="0"/>
                <w:color w:val="auto"/>
                <w:sz w:val="21"/>
                <w:szCs w:val="21"/>
                <w:highlight w:val="none"/>
              </w:rPr>
            </w:pPr>
            <w:r>
              <w:rPr>
                <w:rFonts w:hint="eastAsia"/>
                <w:i w:val="0"/>
                <w:iCs w:val="0"/>
                <w:color w:val="auto"/>
                <w:sz w:val="21"/>
                <w:szCs w:val="21"/>
                <w:highlight w:val="none"/>
              </w:rPr>
              <w:t>智慧地铁管控平台</w:t>
            </w:r>
          </w:p>
          <w:p w14:paraId="56D12DED">
            <w:pPr>
              <w:pStyle w:val="143"/>
              <w:bidi w:val="0"/>
              <w:rPr>
                <w:rFonts w:hint="eastAsia"/>
                <w:i w:val="0"/>
                <w:iCs w:val="0"/>
                <w:color w:val="auto"/>
                <w:sz w:val="21"/>
                <w:szCs w:val="21"/>
                <w:highlight w:val="none"/>
              </w:rPr>
            </w:pPr>
            <w:r>
              <w:rPr>
                <w:rFonts w:hint="eastAsia"/>
                <w:i w:val="0"/>
                <w:iCs w:val="0"/>
                <w:color w:val="auto"/>
                <w:sz w:val="21"/>
                <w:szCs w:val="21"/>
                <w:highlight w:val="none"/>
              </w:rPr>
              <w:t>（大数</w:t>
            </w:r>
          </w:p>
          <w:p w14:paraId="56D12DEE">
            <w:pPr>
              <w:pStyle w:val="143"/>
              <w:bidi w:val="0"/>
              <w:rPr>
                <w:rFonts w:hint="eastAsia"/>
                <w:i w:val="0"/>
                <w:iCs w:val="0"/>
                <w:color w:val="auto"/>
                <w:sz w:val="21"/>
                <w:szCs w:val="21"/>
                <w:highlight w:val="none"/>
              </w:rPr>
            </w:pPr>
            <w:r>
              <w:rPr>
                <w:rFonts w:hint="eastAsia"/>
                <w:i w:val="0"/>
                <w:iCs w:val="0"/>
                <w:color w:val="auto"/>
                <w:sz w:val="21"/>
                <w:szCs w:val="21"/>
                <w:highlight w:val="none"/>
              </w:rPr>
              <w:t>据平台）</w:t>
            </w:r>
          </w:p>
        </w:tc>
        <w:tc>
          <w:tcPr>
            <w:tcW w:w="1418" w:type="dxa"/>
            <w:tcBorders>
              <w:top w:val="single" w:color="000000" w:sz="4" w:space="0"/>
              <w:left w:val="nil"/>
              <w:bottom w:val="single" w:color="000000" w:sz="4" w:space="0"/>
              <w:right w:val="single" w:color="000000" w:sz="4" w:space="0"/>
            </w:tcBorders>
            <w:vAlign w:val="center"/>
          </w:tcPr>
          <w:p w14:paraId="56D12DEF">
            <w:pPr>
              <w:pStyle w:val="143"/>
              <w:bidi w:val="0"/>
              <w:rPr>
                <w:rFonts w:hint="eastAsia"/>
                <w:i w:val="0"/>
                <w:iCs w:val="0"/>
                <w:color w:val="auto"/>
                <w:sz w:val="21"/>
                <w:szCs w:val="21"/>
                <w:highlight w:val="none"/>
              </w:rPr>
            </w:pPr>
          </w:p>
        </w:tc>
        <w:tc>
          <w:tcPr>
            <w:tcW w:w="1171" w:type="dxa"/>
            <w:tcBorders>
              <w:top w:val="single" w:color="000000" w:sz="4" w:space="0"/>
              <w:left w:val="nil"/>
              <w:bottom w:val="single" w:color="000000" w:sz="4" w:space="0"/>
              <w:right w:val="single" w:color="000000" w:sz="4" w:space="0"/>
            </w:tcBorders>
            <w:vAlign w:val="center"/>
          </w:tcPr>
          <w:p w14:paraId="56D12DF0">
            <w:pPr>
              <w:pStyle w:val="143"/>
              <w:bidi w:val="0"/>
              <w:rPr>
                <w:rFonts w:hint="eastAsia"/>
                <w:i w:val="0"/>
                <w:iCs w:val="0"/>
                <w:color w:val="auto"/>
                <w:sz w:val="21"/>
                <w:szCs w:val="21"/>
                <w:highlight w:val="none"/>
              </w:rPr>
            </w:pPr>
            <w:r>
              <w:rPr>
                <w:rFonts w:hint="eastAsia"/>
                <w:i w:val="0"/>
                <w:iCs w:val="0"/>
                <w:color w:val="auto"/>
                <w:sz w:val="21"/>
                <w:szCs w:val="21"/>
                <w:highlight w:val="none"/>
              </w:rPr>
              <w:t>\</w:t>
            </w:r>
          </w:p>
        </w:tc>
        <w:tc>
          <w:tcPr>
            <w:tcW w:w="612" w:type="dxa"/>
            <w:tcBorders>
              <w:top w:val="single" w:color="000000" w:sz="4" w:space="0"/>
              <w:left w:val="nil"/>
              <w:bottom w:val="single" w:color="000000" w:sz="4" w:space="0"/>
              <w:right w:val="single" w:color="000000" w:sz="4" w:space="0"/>
            </w:tcBorders>
            <w:vAlign w:val="center"/>
          </w:tcPr>
          <w:p w14:paraId="56D12DF1">
            <w:pPr>
              <w:pStyle w:val="143"/>
              <w:bidi w:val="0"/>
              <w:rPr>
                <w:rFonts w:hint="eastAsia"/>
                <w:i w:val="0"/>
                <w:iCs w:val="0"/>
                <w:color w:val="auto"/>
                <w:sz w:val="21"/>
                <w:szCs w:val="21"/>
                <w:highlight w:val="none"/>
              </w:rPr>
            </w:pPr>
            <w:r>
              <w:rPr>
                <w:rFonts w:hint="eastAsia"/>
                <w:i w:val="0"/>
                <w:iCs w:val="0"/>
                <w:color w:val="auto"/>
                <w:sz w:val="21"/>
                <w:szCs w:val="21"/>
                <w:highlight w:val="none"/>
              </w:rPr>
              <w:t>\</w:t>
            </w:r>
          </w:p>
        </w:tc>
        <w:tc>
          <w:tcPr>
            <w:tcW w:w="865" w:type="dxa"/>
            <w:tcBorders>
              <w:top w:val="single" w:color="000000" w:sz="4" w:space="0"/>
              <w:left w:val="nil"/>
              <w:bottom w:val="single" w:color="000000" w:sz="4" w:space="0"/>
              <w:right w:val="single" w:color="000000" w:sz="4" w:space="0"/>
            </w:tcBorders>
            <w:vAlign w:val="center"/>
          </w:tcPr>
          <w:p w14:paraId="56D12DF2">
            <w:pPr>
              <w:pStyle w:val="143"/>
              <w:bidi w:val="0"/>
              <w:rPr>
                <w:rFonts w:hint="eastAsia"/>
                <w:i w:val="0"/>
                <w:iCs w:val="0"/>
                <w:color w:val="auto"/>
                <w:sz w:val="21"/>
                <w:szCs w:val="21"/>
                <w:highlight w:val="none"/>
              </w:rPr>
            </w:pPr>
            <w:r>
              <w:rPr>
                <w:rFonts w:hint="eastAsia"/>
                <w:i w:val="0"/>
                <w:iCs w:val="0"/>
                <w:color w:val="auto"/>
                <w:sz w:val="21"/>
                <w:szCs w:val="21"/>
                <w:highlight w:val="none"/>
              </w:rPr>
              <w:t>\</w:t>
            </w:r>
          </w:p>
        </w:tc>
        <w:tc>
          <w:tcPr>
            <w:tcW w:w="1037" w:type="dxa"/>
            <w:tcBorders>
              <w:top w:val="single" w:color="000000" w:sz="4" w:space="0"/>
              <w:left w:val="nil"/>
              <w:bottom w:val="single" w:color="000000" w:sz="4" w:space="0"/>
              <w:right w:val="single" w:color="000000" w:sz="4" w:space="0"/>
            </w:tcBorders>
            <w:vAlign w:val="center"/>
          </w:tcPr>
          <w:p w14:paraId="56D12DF3">
            <w:pPr>
              <w:pStyle w:val="143"/>
              <w:bidi w:val="0"/>
              <w:rPr>
                <w:rFonts w:hint="eastAsia"/>
                <w:i w:val="0"/>
                <w:iCs w:val="0"/>
                <w:color w:val="auto"/>
                <w:sz w:val="21"/>
                <w:szCs w:val="21"/>
                <w:highlight w:val="none"/>
              </w:rPr>
            </w:pPr>
            <w:r>
              <w:rPr>
                <w:rFonts w:hint="eastAsia"/>
                <w:i w:val="0"/>
                <w:iCs w:val="0"/>
                <w:color w:val="auto"/>
                <w:sz w:val="21"/>
                <w:szCs w:val="21"/>
                <w:highlight w:val="none"/>
              </w:rPr>
              <w:t>\</w:t>
            </w:r>
          </w:p>
        </w:tc>
        <w:tc>
          <w:tcPr>
            <w:tcW w:w="936" w:type="dxa"/>
            <w:tcBorders>
              <w:top w:val="single" w:color="000000" w:sz="4" w:space="0"/>
              <w:left w:val="nil"/>
              <w:bottom w:val="single" w:color="000000" w:sz="4" w:space="0"/>
              <w:right w:val="single" w:color="000000" w:sz="4" w:space="0"/>
            </w:tcBorders>
            <w:vAlign w:val="center"/>
          </w:tcPr>
          <w:p w14:paraId="56D12DF4">
            <w:pPr>
              <w:pStyle w:val="143"/>
              <w:bidi w:val="0"/>
              <w:rPr>
                <w:rFonts w:hint="eastAsia"/>
                <w:i w:val="0"/>
                <w:iCs w:val="0"/>
                <w:color w:val="auto"/>
                <w:sz w:val="21"/>
                <w:szCs w:val="21"/>
                <w:highlight w:val="none"/>
              </w:rPr>
            </w:pPr>
            <w:r>
              <w:rPr>
                <w:rFonts w:hint="eastAsia"/>
                <w:i w:val="0"/>
                <w:iCs w:val="0"/>
                <w:color w:val="auto"/>
                <w:sz w:val="21"/>
                <w:szCs w:val="21"/>
                <w:highlight w:val="none"/>
              </w:rPr>
              <w:t>20000</w:t>
            </w:r>
          </w:p>
        </w:tc>
        <w:tc>
          <w:tcPr>
            <w:tcW w:w="1339" w:type="dxa"/>
            <w:tcBorders>
              <w:top w:val="single" w:color="000000" w:sz="4" w:space="0"/>
              <w:left w:val="nil"/>
              <w:bottom w:val="single" w:color="000000" w:sz="4" w:space="0"/>
              <w:right w:val="single" w:color="000000" w:sz="4" w:space="0"/>
            </w:tcBorders>
            <w:vAlign w:val="center"/>
          </w:tcPr>
          <w:p w14:paraId="56D12DF5">
            <w:pPr>
              <w:pStyle w:val="143"/>
              <w:bidi w:val="0"/>
              <w:rPr>
                <w:rFonts w:hint="eastAsia"/>
                <w:i w:val="0"/>
                <w:iCs w:val="0"/>
                <w:color w:val="auto"/>
                <w:sz w:val="21"/>
                <w:szCs w:val="21"/>
                <w:highlight w:val="none"/>
              </w:rPr>
            </w:pPr>
            <w:r>
              <w:rPr>
                <w:rFonts w:hint="eastAsia"/>
                <w:i w:val="0"/>
                <w:iCs w:val="0"/>
                <w:color w:val="auto"/>
                <w:sz w:val="21"/>
                <w:szCs w:val="21"/>
                <w:highlight w:val="none"/>
              </w:rPr>
              <w:t>用于车站智能监测预警智能视频分析告警数据存储</w:t>
            </w:r>
          </w:p>
        </w:tc>
      </w:tr>
      <w:tr w14:paraId="56D12DFF">
        <w:tblPrEx>
          <w:tblCellMar>
            <w:top w:w="0" w:type="dxa"/>
            <w:left w:w="108" w:type="dxa"/>
            <w:bottom w:w="0" w:type="dxa"/>
            <w:right w:w="108" w:type="dxa"/>
          </w:tblCellMar>
        </w:tblPrEx>
        <w:trPr>
          <w:trHeight w:val="90" w:hRule="atLeast"/>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DF7">
            <w:pPr>
              <w:pStyle w:val="143"/>
              <w:bidi w:val="0"/>
              <w:rPr>
                <w:rFonts w:hint="eastAsia"/>
                <w:i w:val="0"/>
                <w:iCs w:val="0"/>
                <w:color w:val="auto"/>
                <w:sz w:val="21"/>
                <w:szCs w:val="21"/>
                <w:highlight w:val="none"/>
              </w:rPr>
            </w:pPr>
            <w:r>
              <w:rPr>
                <w:rFonts w:hint="eastAsia"/>
                <w:i w:val="0"/>
                <w:iCs w:val="0"/>
                <w:color w:val="auto"/>
                <w:sz w:val="21"/>
                <w:szCs w:val="21"/>
                <w:highlight w:val="none"/>
              </w:rPr>
              <w:t>防洪防汛应急处置功能（生产网）</w:t>
            </w: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DF8">
            <w:pPr>
              <w:pStyle w:val="143"/>
              <w:bidi w:val="0"/>
              <w:rPr>
                <w:rFonts w:hint="eastAsia"/>
                <w:i w:val="0"/>
                <w:iCs w:val="0"/>
                <w:color w:val="auto"/>
                <w:sz w:val="21"/>
                <w:szCs w:val="21"/>
                <w:highlight w:val="none"/>
              </w:rPr>
            </w:pP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DF9">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DFA">
            <w:pPr>
              <w:pStyle w:val="143"/>
              <w:bidi w:val="0"/>
              <w:rPr>
                <w:rFonts w:hint="eastAsia"/>
                <w:i w:val="0"/>
                <w:iCs w:val="0"/>
                <w:color w:val="auto"/>
                <w:sz w:val="21"/>
                <w:szCs w:val="21"/>
                <w:highlight w:val="none"/>
              </w:rPr>
            </w:pPr>
            <w:r>
              <w:rPr>
                <w:rFonts w:hint="eastAsia"/>
                <w:i w:val="0"/>
                <w:iCs w:val="0"/>
                <w:color w:val="auto"/>
                <w:sz w:val="21"/>
                <w:szCs w:val="21"/>
                <w:highlight w:val="none"/>
              </w:rPr>
              <w:t>64</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DFB">
            <w:pPr>
              <w:pStyle w:val="143"/>
              <w:bidi w:val="0"/>
              <w:rPr>
                <w:rFonts w:hint="eastAsia"/>
                <w:i w:val="0"/>
                <w:iCs w:val="0"/>
                <w:color w:val="auto"/>
                <w:sz w:val="21"/>
                <w:szCs w:val="21"/>
                <w:highlight w:val="none"/>
              </w:rPr>
            </w:pPr>
            <w:r>
              <w:rPr>
                <w:rFonts w:hint="eastAsia"/>
                <w:i w:val="0"/>
                <w:iCs w:val="0"/>
                <w:color w:val="auto"/>
                <w:sz w:val="21"/>
                <w:szCs w:val="21"/>
                <w:highlight w:val="none"/>
              </w:rPr>
              <w:t>512</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DFC">
            <w:pPr>
              <w:pStyle w:val="143"/>
              <w:bidi w:val="0"/>
              <w:rPr>
                <w:rFonts w:hint="eastAsia"/>
                <w:i w:val="0"/>
                <w:iCs w:val="0"/>
                <w:color w:val="auto"/>
                <w:sz w:val="21"/>
                <w:szCs w:val="21"/>
                <w:highlight w:val="none"/>
              </w:rPr>
            </w:pPr>
            <w:r>
              <w:rPr>
                <w:rFonts w:hint="eastAsia"/>
                <w:i w:val="0"/>
                <w:iCs w:val="0"/>
                <w:color w:val="auto"/>
                <w:sz w:val="21"/>
                <w:szCs w:val="21"/>
                <w:highlight w:val="none"/>
              </w:rPr>
              <w:t>1000</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DFD">
            <w:pPr>
              <w:pStyle w:val="143"/>
              <w:bidi w:val="0"/>
              <w:rPr>
                <w:rFonts w:hint="eastAsia"/>
                <w:i w:val="0"/>
                <w:iCs w:val="0"/>
                <w:color w:val="auto"/>
                <w:sz w:val="21"/>
                <w:szCs w:val="21"/>
                <w:highlight w:val="none"/>
              </w:rPr>
            </w:pPr>
            <w:r>
              <w:rPr>
                <w:rFonts w:hint="eastAsia"/>
                <w:i w:val="0"/>
                <w:iCs w:val="0"/>
                <w:color w:val="auto"/>
                <w:sz w:val="21"/>
                <w:szCs w:val="21"/>
                <w:highlight w:val="none"/>
              </w:rPr>
              <w:t>2048</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DFE">
            <w:pPr>
              <w:pStyle w:val="143"/>
              <w:bidi w:val="0"/>
              <w:rPr>
                <w:rFonts w:hint="eastAsia"/>
                <w:i w:val="0"/>
                <w:iCs w:val="0"/>
                <w:color w:val="auto"/>
                <w:sz w:val="21"/>
                <w:szCs w:val="21"/>
                <w:highlight w:val="none"/>
              </w:rPr>
            </w:pPr>
          </w:p>
        </w:tc>
      </w:tr>
      <w:tr w14:paraId="56D12E09">
        <w:tblPrEx>
          <w:tblCellMar>
            <w:top w:w="0" w:type="dxa"/>
            <w:left w:w="108" w:type="dxa"/>
            <w:bottom w:w="0" w:type="dxa"/>
            <w:right w:w="108" w:type="dxa"/>
          </w:tblCellMar>
        </w:tblPrEx>
        <w:trPr>
          <w:trHeight w:val="90" w:hRule="atLeast"/>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E00">
            <w:pPr>
              <w:pStyle w:val="143"/>
              <w:bidi w:val="0"/>
              <w:rPr>
                <w:rFonts w:hint="eastAsia"/>
                <w:i w:val="0"/>
                <w:iCs w:val="0"/>
                <w:color w:val="auto"/>
                <w:sz w:val="21"/>
                <w:szCs w:val="21"/>
                <w:highlight w:val="none"/>
              </w:rPr>
            </w:pPr>
            <w:r>
              <w:rPr>
                <w:rFonts w:hint="eastAsia"/>
                <w:i w:val="0"/>
                <w:iCs w:val="0"/>
                <w:color w:val="auto"/>
                <w:sz w:val="21"/>
                <w:szCs w:val="21"/>
                <w:highlight w:val="none"/>
              </w:rPr>
              <w:t>车站视频智能</w:t>
            </w:r>
          </w:p>
          <w:p w14:paraId="56D12E01">
            <w:pPr>
              <w:pStyle w:val="143"/>
              <w:bidi w:val="0"/>
              <w:rPr>
                <w:rFonts w:hint="eastAsia"/>
                <w:i w:val="0"/>
                <w:iCs w:val="0"/>
                <w:color w:val="auto"/>
                <w:sz w:val="21"/>
                <w:szCs w:val="21"/>
                <w:highlight w:val="none"/>
              </w:rPr>
            </w:pPr>
            <w:r>
              <w:rPr>
                <w:rFonts w:hint="eastAsia"/>
                <w:i w:val="0"/>
                <w:iCs w:val="0"/>
                <w:color w:val="auto"/>
                <w:sz w:val="21"/>
                <w:szCs w:val="21"/>
                <w:highlight w:val="none"/>
              </w:rPr>
              <w:t>分析应用</w:t>
            </w: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E02">
            <w:pPr>
              <w:pStyle w:val="143"/>
              <w:bidi w:val="0"/>
              <w:rPr>
                <w:rFonts w:hint="eastAsia"/>
                <w:i w:val="0"/>
                <w:iCs w:val="0"/>
                <w:color w:val="auto"/>
                <w:sz w:val="21"/>
                <w:szCs w:val="21"/>
                <w:highlight w:val="none"/>
              </w:rPr>
            </w:pP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E03">
            <w:pPr>
              <w:pStyle w:val="143"/>
              <w:bidi w:val="0"/>
              <w:rPr>
                <w:rFonts w:hint="eastAsia"/>
                <w:i w:val="0"/>
                <w:iCs w:val="0"/>
                <w:color w:val="auto"/>
                <w:sz w:val="21"/>
                <w:szCs w:val="21"/>
                <w:highlight w:val="none"/>
              </w:rPr>
            </w:pPr>
            <w:r>
              <w:rPr>
                <w:rFonts w:hint="eastAsia"/>
                <w:i w:val="0"/>
                <w:iCs w:val="0"/>
                <w:color w:val="auto"/>
                <w:sz w:val="21"/>
                <w:szCs w:val="21"/>
                <w:highlight w:val="none"/>
              </w:rPr>
              <w:t>0</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04">
            <w:pPr>
              <w:pStyle w:val="143"/>
              <w:bidi w:val="0"/>
              <w:rPr>
                <w:rFonts w:hint="eastAsia"/>
                <w:i w:val="0"/>
                <w:iCs w:val="0"/>
                <w:color w:val="auto"/>
                <w:sz w:val="21"/>
                <w:szCs w:val="21"/>
                <w:highlight w:val="none"/>
              </w:rPr>
            </w:pPr>
            <w:r>
              <w:rPr>
                <w:rFonts w:hint="eastAsia"/>
                <w:i w:val="0"/>
                <w:iCs w:val="0"/>
                <w:color w:val="auto"/>
                <w:sz w:val="21"/>
                <w:szCs w:val="21"/>
                <w:highlight w:val="none"/>
              </w:rPr>
              <w:t>0</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05">
            <w:pPr>
              <w:pStyle w:val="143"/>
              <w:bidi w:val="0"/>
              <w:rPr>
                <w:rFonts w:hint="eastAsia"/>
                <w:i w:val="0"/>
                <w:iCs w:val="0"/>
                <w:color w:val="auto"/>
                <w:sz w:val="21"/>
                <w:szCs w:val="21"/>
                <w:highlight w:val="none"/>
              </w:rPr>
            </w:pPr>
            <w:r>
              <w:rPr>
                <w:rFonts w:hint="eastAsia"/>
                <w:i w:val="0"/>
                <w:iCs w:val="0"/>
                <w:color w:val="auto"/>
                <w:sz w:val="21"/>
                <w:szCs w:val="21"/>
                <w:highlight w:val="none"/>
              </w:rPr>
              <w:t>0</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E06">
            <w:pPr>
              <w:pStyle w:val="143"/>
              <w:bidi w:val="0"/>
              <w:rPr>
                <w:rFonts w:hint="eastAsia"/>
                <w:i w:val="0"/>
                <w:iCs w:val="0"/>
                <w:color w:val="auto"/>
                <w:sz w:val="21"/>
                <w:szCs w:val="21"/>
                <w:highlight w:val="none"/>
              </w:rPr>
            </w:pPr>
            <w:r>
              <w:rPr>
                <w:rFonts w:hint="eastAsia"/>
                <w:i w:val="0"/>
                <w:iCs w:val="0"/>
                <w:color w:val="auto"/>
                <w:sz w:val="21"/>
                <w:szCs w:val="21"/>
                <w:highlight w:val="none"/>
              </w:rPr>
              <w:t>0</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E07">
            <w:pPr>
              <w:pStyle w:val="143"/>
              <w:bidi w:val="0"/>
              <w:rPr>
                <w:rFonts w:hint="eastAsia"/>
                <w:i w:val="0"/>
                <w:iCs w:val="0"/>
                <w:color w:val="auto"/>
                <w:sz w:val="21"/>
                <w:szCs w:val="21"/>
                <w:highlight w:val="none"/>
              </w:rPr>
            </w:pPr>
            <w:r>
              <w:rPr>
                <w:rFonts w:hint="eastAsia"/>
                <w:i w:val="0"/>
                <w:iCs w:val="0"/>
                <w:color w:val="auto"/>
                <w:sz w:val="21"/>
                <w:szCs w:val="21"/>
                <w:highlight w:val="none"/>
              </w:rPr>
              <w:t>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08">
            <w:pPr>
              <w:pStyle w:val="143"/>
              <w:bidi w:val="0"/>
              <w:rPr>
                <w:rFonts w:hint="eastAsia"/>
                <w:i w:val="0"/>
                <w:iCs w:val="0"/>
                <w:color w:val="auto"/>
                <w:sz w:val="21"/>
                <w:szCs w:val="21"/>
                <w:highlight w:val="none"/>
              </w:rPr>
            </w:pPr>
            <w:r>
              <w:rPr>
                <w:rFonts w:hint="eastAsia"/>
                <w:i w:val="0"/>
                <w:iCs w:val="0"/>
                <w:color w:val="auto"/>
                <w:sz w:val="21"/>
                <w:szCs w:val="21"/>
                <w:highlight w:val="none"/>
              </w:rPr>
              <w:t>非上云应用，相应算力由车站提供</w:t>
            </w:r>
          </w:p>
        </w:tc>
      </w:tr>
      <w:tr w14:paraId="56D12E12">
        <w:tblPrEx>
          <w:tblCellMar>
            <w:top w:w="0" w:type="dxa"/>
            <w:left w:w="108" w:type="dxa"/>
            <w:bottom w:w="0" w:type="dxa"/>
            <w:right w:w="108" w:type="dxa"/>
          </w:tblCellMar>
        </w:tblPrEx>
        <w:trPr>
          <w:trHeight w:val="90" w:hRule="atLeast"/>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E0A">
            <w:pPr>
              <w:pStyle w:val="143"/>
              <w:bidi w:val="0"/>
              <w:rPr>
                <w:i w:val="0"/>
                <w:iCs w:val="0"/>
                <w:color w:val="auto"/>
                <w:sz w:val="21"/>
                <w:szCs w:val="21"/>
                <w:highlight w:val="none"/>
              </w:rPr>
            </w:pPr>
            <w:r>
              <w:rPr>
                <w:rFonts w:hint="eastAsia"/>
                <w:i w:val="0"/>
                <w:iCs w:val="0"/>
                <w:color w:val="auto"/>
                <w:sz w:val="21"/>
                <w:szCs w:val="21"/>
                <w:highlight w:val="none"/>
              </w:rPr>
              <w:t>智慧人脸门禁</w:t>
            </w: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E0B">
            <w:pPr>
              <w:pStyle w:val="143"/>
              <w:bidi w:val="0"/>
              <w:rPr>
                <w:i w:val="0"/>
                <w:iCs w:val="0"/>
                <w:color w:val="auto"/>
                <w:sz w:val="21"/>
                <w:szCs w:val="21"/>
                <w:highlight w:val="none"/>
              </w:rPr>
            </w:pP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E0C">
            <w:pPr>
              <w:pStyle w:val="143"/>
              <w:bidi w:val="0"/>
              <w:rPr>
                <w:i w:val="0"/>
                <w:iCs w:val="0"/>
                <w:color w:val="auto"/>
                <w:sz w:val="21"/>
                <w:szCs w:val="21"/>
                <w:highlight w:val="none"/>
              </w:rPr>
            </w:pPr>
            <w:r>
              <w:rPr>
                <w:i w:val="0"/>
                <w:iCs w:val="0"/>
                <w:color w:val="auto"/>
                <w:sz w:val="21"/>
                <w:szCs w:val="21"/>
                <w:highlight w:val="none"/>
              </w:rPr>
              <w:t>1</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0D">
            <w:pPr>
              <w:pStyle w:val="143"/>
              <w:bidi w:val="0"/>
              <w:rPr>
                <w:i w:val="0"/>
                <w:iCs w:val="0"/>
                <w:color w:val="auto"/>
                <w:sz w:val="21"/>
                <w:szCs w:val="21"/>
                <w:highlight w:val="none"/>
              </w:rPr>
            </w:pPr>
            <w:r>
              <w:rPr>
                <w:i w:val="0"/>
                <w:iCs w:val="0"/>
                <w:color w:val="auto"/>
                <w:sz w:val="21"/>
                <w:szCs w:val="21"/>
                <w:highlight w:val="none"/>
              </w:rPr>
              <w:t>4</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0E">
            <w:pPr>
              <w:pStyle w:val="143"/>
              <w:bidi w:val="0"/>
              <w:rPr>
                <w:i w:val="0"/>
                <w:iCs w:val="0"/>
                <w:color w:val="auto"/>
                <w:sz w:val="21"/>
                <w:szCs w:val="21"/>
                <w:highlight w:val="none"/>
              </w:rPr>
            </w:pPr>
            <w:r>
              <w:rPr>
                <w:i w:val="0"/>
                <w:iCs w:val="0"/>
                <w:color w:val="auto"/>
                <w:sz w:val="21"/>
                <w:szCs w:val="21"/>
                <w:highlight w:val="none"/>
              </w:rPr>
              <w:t>8</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E0F">
            <w:pPr>
              <w:pStyle w:val="143"/>
              <w:bidi w:val="0"/>
              <w:rPr>
                <w:i w:val="0"/>
                <w:iCs w:val="0"/>
                <w:color w:val="auto"/>
                <w:sz w:val="21"/>
                <w:szCs w:val="21"/>
                <w:highlight w:val="none"/>
              </w:rPr>
            </w:pPr>
            <w:r>
              <w:rPr>
                <w:i w:val="0"/>
                <w:iCs w:val="0"/>
                <w:color w:val="auto"/>
                <w:sz w:val="21"/>
                <w:szCs w:val="21"/>
                <w:highlight w:val="none"/>
              </w:rPr>
              <w:t>500</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E10">
            <w:pPr>
              <w:pStyle w:val="143"/>
              <w:bidi w:val="0"/>
              <w:rPr>
                <w:i w:val="0"/>
                <w:iCs w:val="0"/>
                <w:color w:val="auto"/>
                <w:sz w:val="21"/>
                <w:szCs w:val="21"/>
                <w:highlight w:val="none"/>
              </w:rPr>
            </w:pPr>
            <w:r>
              <w:rPr>
                <w:i w:val="0"/>
                <w:iCs w:val="0"/>
                <w:color w:val="auto"/>
                <w:sz w:val="21"/>
                <w:szCs w:val="21"/>
                <w:highlight w:val="none"/>
              </w:rPr>
              <w:t>1024</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11">
            <w:pPr>
              <w:pStyle w:val="143"/>
              <w:bidi w:val="0"/>
              <w:rPr>
                <w:i w:val="0"/>
                <w:iCs w:val="0"/>
                <w:color w:val="auto"/>
                <w:sz w:val="21"/>
                <w:szCs w:val="21"/>
                <w:highlight w:val="none"/>
              </w:rPr>
            </w:pPr>
          </w:p>
        </w:tc>
      </w:tr>
      <w:tr w14:paraId="56D12E1B">
        <w:tblPrEx>
          <w:tblCellMar>
            <w:top w:w="0" w:type="dxa"/>
            <w:left w:w="108" w:type="dxa"/>
            <w:bottom w:w="0" w:type="dxa"/>
            <w:right w:w="108" w:type="dxa"/>
          </w:tblCellMar>
        </w:tblPrEx>
        <w:trPr>
          <w:trHeight w:val="90" w:hRule="atLeast"/>
        </w:trPr>
        <w:tc>
          <w:tcPr>
            <w:tcW w:w="1134" w:type="dxa"/>
            <w:vMerge w:val="restart"/>
            <w:tcBorders>
              <w:top w:val="single" w:color="000000" w:sz="4" w:space="0"/>
              <w:left w:val="single" w:color="000000" w:sz="4" w:space="0"/>
              <w:right w:val="single" w:color="000000" w:sz="4" w:space="0"/>
            </w:tcBorders>
            <w:shd w:val="clear" w:color="auto" w:fill="auto"/>
            <w:vAlign w:val="center"/>
          </w:tcPr>
          <w:p w14:paraId="56D12E13">
            <w:pPr>
              <w:pStyle w:val="143"/>
              <w:bidi w:val="0"/>
              <w:rPr>
                <w:rFonts w:hint="eastAsia"/>
                <w:i w:val="0"/>
                <w:iCs w:val="0"/>
                <w:color w:val="auto"/>
                <w:sz w:val="21"/>
                <w:szCs w:val="21"/>
                <w:highlight w:val="none"/>
              </w:rPr>
            </w:pPr>
            <w:r>
              <w:rPr>
                <w:rFonts w:hint="eastAsia"/>
                <w:i w:val="0"/>
                <w:iCs w:val="0"/>
                <w:color w:val="auto"/>
                <w:sz w:val="21"/>
                <w:szCs w:val="21"/>
                <w:highlight w:val="none"/>
              </w:rPr>
              <w:t>智能运维</w:t>
            </w: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E14">
            <w:pPr>
              <w:pStyle w:val="143"/>
              <w:bidi w:val="0"/>
              <w:rPr>
                <w:rFonts w:hint="eastAsia"/>
                <w:i w:val="0"/>
                <w:iCs w:val="0"/>
                <w:color w:val="auto"/>
                <w:sz w:val="21"/>
                <w:szCs w:val="21"/>
                <w:highlight w:val="none"/>
              </w:rPr>
            </w:pPr>
            <w:r>
              <w:rPr>
                <w:rFonts w:hint="eastAsia"/>
                <w:i w:val="0"/>
                <w:iCs w:val="0"/>
                <w:color w:val="auto"/>
                <w:sz w:val="21"/>
                <w:szCs w:val="21"/>
                <w:highlight w:val="none"/>
              </w:rPr>
              <w:t>综合智能运维平台</w:t>
            </w: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E15">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16">
            <w:pPr>
              <w:pStyle w:val="143"/>
              <w:bidi w:val="0"/>
              <w:rPr>
                <w:rFonts w:hint="eastAsia"/>
                <w:i w:val="0"/>
                <w:iCs w:val="0"/>
                <w:color w:val="auto"/>
                <w:sz w:val="21"/>
                <w:szCs w:val="21"/>
                <w:highlight w:val="none"/>
              </w:rPr>
            </w:pPr>
            <w:r>
              <w:rPr>
                <w:rFonts w:hint="eastAsia"/>
                <w:i w:val="0"/>
                <w:iCs w:val="0"/>
                <w:color w:val="auto"/>
                <w:sz w:val="21"/>
                <w:szCs w:val="21"/>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17">
            <w:pPr>
              <w:pStyle w:val="143"/>
              <w:bidi w:val="0"/>
              <w:rPr>
                <w:rFonts w:hint="eastAsia"/>
                <w:i w:val="0"/>
                <w:iCs w:val="0"/>
                <w:color w:val="auto"/>
                <w:sz w:val="21"/>
                <w:szCs w:val="21"/>
                <w:highlight w:val="none"/>
              </w:rPr>
            </w:pPr>
            <w:r>
              <w:rPr>
                <w:rFonts w:hint="eastAsia"/>
                <w:i w:val="0"/>
                <w:iCs w:val="0"/>
                <w:color w:val="auto"/>
                <w:sz w:val="21"/>
                <w:szCs w:val="21"/>
                <w:highlight w:val="none"/>
              </w:rPr>
              <w:t>64</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E18">
            <w:pPr>
              <w:pStyle w:val="143"/>
              <w:bidi w:val="0"/>
              <w:rPr>
                <w:rFonts w:hint="eastAsia"/>
                <w:i w:val="0"/>
                <w:iCs w:val="0"/>
                <w:color w:val="auto"/>
                <w:sz w:val="21"/>
                <w:szCs w:val="21"/>
                <w:highlight w:val="none"/>
              </w:rPr>
            </w:pPr>
            <w:r>
              <w:rPr>
                <w:rFonts w:hint="eastAsia"/>
                <w:i w:val="0"/>
                <w:iCs w:val="0"/>
                <w:color w:val="auto"/>
                <w:sz w:val="21"/>
                <w:szCs w:val="21"/>
                <w:highlight w:val="none"/>
              </w:rPr>
              <w:t>2048</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E19">
            <w:pPr>
              <w:pStyle w:val="143"/>
              <w:bidi w:val="0"/>
              <w:rPr>
                <w:rFonts w:hint="eastAsia"/>
                <w:i w:val="0"/>
                <w:iCs w:val="0"/>
                <w:color w:val="auto"/>
                <w:sz w:val="21"/>
                <w:szCs w:val="21"/>
                <w:highlight w:val="none"/>
              </w:rPr>
            </w:pPr>
            <w:r>
              <w:rPr>
                <w:rFonts w:hint="eastAsia"/>
                <w:i w:val="0"/>
                <w:iCs w:val="0"/>
                <w:color w:val="auto"/>
                <w:sz w:val="21"/>
                <w:szCs w:val="21"/>
                <w:highlight w:val="none"/>
              </w:rPr>
              <w:t>1000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1A">
            <w:pPr>
              <w:pStyle w:val="143"/>
              <w:bidi w:val="0"/>
              <w:rPr>
                <w:rFonts w:hint="eastAsia"/>
                <w:i w:val="0"/>
                <w:iCs w:val="0"/>
                <w:color w:val="auto"/>
                <w:sz w:val="21"/>
                <w:szCs w:val="21"/>
                <w:highlight w:val="none"/>
              </w:rPr>
            </w:pPr>
          </w:p>
        </w:tc>
      </w:tr>
      <w:tr w14:paraId="56D12E24">
        <w:tblPrEx>
          <w:tblCellMar>
            <w:top w:w="0" w:type="dxa"/>
            <w:left w:w="108" w:type="dxa"/>
            <w:bottom w:w="0" w:type="dxa"/>
            <w:right w:w="108" w:type="dxa"/>
          </w:tblCellMar>
        </w:tblPrEx>
        <w:trPr>
          <w:trHeight w:val="90" w:hRule="atLeast"/>
        </w:trPr>
        <w:tc>
          <w:tcPr>
            <w:tcW w:w="1134" w:type="dxa"/>
            <w:vMerge w:val="continue"/>
            <w:tcBorders>
              <w:left w:val="single" w:color="000000" w:sz="4" w:space="0"/>
              <w:right w:val="single" w:color="000000" w:sz="4" w:space="0"/>
            </w:tcBorders>
            <w:shd w:val="clear" w:color="auto" w:fill="auto"/>
            <w:vAlign w:val="center"/>
          </w:tcPr>
          <w:p w14:paraId="56D12E1C">
            <w:pPr>
              <w:pStyle w:val="143"/>
              <w:bidi w:val="0"/>
              <w:rPr>
                <w:rFonts w:hint="eastAsia"/>
                <w:i w:val="0"/>
                <w:iCs w:val="0"/>
                <w:color w:val="auto"/>
                <w:sz w:val="21"/>
                <w:szCs w:val="21"/>
                <w:highlight w:val="none"/>
              </w:rPr>
            </w:pP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E1D">
            <w:pPr>
              <w:pStyle w:val="143"/>
              <w:bidi w:val="0"/>
              <w:rPr>
                <w:rFonts w:hint="eastAsia"/>
                <w:i w:val="0"/>
                <w:iCs w:val="0"/>
                <w:color w:val="auto"/>
                <w:sz w:val="21"/>
                <w:szCs w:val="21"/>
                <w:highlight w:val="none"/>
              </w:rPr>
            </w:pPr>
            <w:r>
              <w:rPr>
                <w:rFonts w:hint="eastAsia"/>
                <w:i w:val="0"/>
                <w:iCs w:val="0"/>
                <w:color w:val="auto"/>
                <w:sz w:val="21"/>
                <w:szCs w:val="21"/>
                <w:highlight w:val="none"/>
              </w:rPr>
              <w:t>通信智能运维</w:t>
            </w: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E1E">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1F">
            <w:pPr>
              <w:pStyle w:val="143"/>
              <w:bidi w:val="0"/>
              <w:rPr>
                <w:rFonts w:hint="eastAsia"/>
                <w:i w:val="0"/>
                <w:iCs w:val="0"/>
                <w:color w:val="auto"/>
                <w:sz w:val="21"/>
                <w:szCs w:val="21"/>
                <w:highlight w:val="none"/>
              </w:rPr>
            </w:pPr>
            <w:r>
              <w:rPr>
                <w:rFonts w:hint="eastAsia"/>
                <w:i w:val="0"/>
                <w:iCs w:val="0"/>
                <w:color w:val="auto"/>
                <w:sz w:val="21"/>
                <w:szCs w:val="21"/>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20">
            <w:pPr>
              <w:pStyle w:val="143"/>
              <w:bidi w:val="0"/>
              <w:rPr>
                <w:rFonts w:hint="eastAsia"/>
                <w:i w:val="0"/>
                <w:iCs w:val="0"/>
                <w:color w:val="auto"/>
                <w:sz w:val="21"/>
                <w:szCs w:val="21"/>
                <w:highlight w:val="none"/>
              </w:rPr>
            </w:pPr>
            <w:r>
              <w:rPr>
                <w:rFonts w:hint="eastAsia"/>
                <w:i w:val="0"/>
                <w:iCs w:val="0"/>
                <w:color w:val="auto"/>
                <w:sz w:val="21"/>
                <w:szCs w:val="21"/>
                <w:highlight w:val="none"/>
              </w:rPr>
              <w:t>256</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E21">
            <w:pPr>
              <w:pStyle w:val="143"/>
              <w:bidi w:val="0"/>
              <w:rPr>
                <w:rFonts w:hint="eastAsia"/>
                <w:i w:val="0"/>
                <w:iCs w:val="0"/>
                <w:color w:val="auto"/>
                <w:sz w:val="21"/>
                <w:szCs w:val="21"/>
                <w:highlight w:val="none"/>
              </w:rPr>
            </w:pPr>
            <w:r>
              <w:rPr>
                <w:rFonts w:hint="eastAsia"/>
                <w:i w:val="0"/>
                <w:iCs w:val="0"/>
                <w:color w:val="auto"/>
                <w:sz w:val="21"/>
                <w:szCs w:val="21"/>
                <w:highlight w:val="none"/>
              </w:rPr>
              <w:t>300</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E22">
            <w:pPr>
              <w:pStyle w:val="143"/>
              <w:bidi w:val="0"/>
              <w:rPr>
                <w:rFonts w:hint="eastAsia"/>
                <w:i w:val="0"/>
                <w:iCs w:val="0"/>
                <w:color w:val="auto"/>
                <w:sz w:val="21"/>
                <w:szCs w:val="21"/>
                <w:highlight w:val="none"/>
              </w:rPr>
            </w:pPr>
            <w:r>
              <w:rPr>
                <w:rFonts w:hint="eastAsia"/>
                <w:i w:val="0"/>
                <w:iCs w:val="0"/>
                <w:color w:val="auto"/>
                <w:sz w:val="21"/>
                <w:szCs w:val="21"/>
                <w:highlight w:val="none"/>
              </w:rPr>
              <w:t>1024</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23">
            <w:pPr>
              <w:pStyle w:val="143"/>
              <w:bidi w:val="0"/>
              <w:rPr>
                <w:rFonts w:hint="eastAsia"/>
                <w:i w:val="0"/>
                <w:iCs w:val="0"/>
                <w:color w:val="auto"/>
                <w:sz w:val="21"/>
                <w:szCs w:val="21"/>
                <w:highlight w:val="none"/>
              </w:rPr>
            </w:pPr>
          </w:p>
        </w:tc>
      </w:tr>
      <w:tr w14:paraId="56D12E2D">
        <w:tblPrEx>
          <w:tblCellMar>
            <w:top w:w="0" w:type="dxa"/>
            <w:left w:w="108" w:type="dxa"/>
            <w:bottom w:w="0" w:type="dxa"/>
            <w:right w:w="108" w:type="dxa"/>
          </w:tblCellMar>
        </w:tblPrEx>
        <w:trPr>
          <w:trHeight w:val="90" w:hRule="atLeast"/>
        </w:trPr>
        <w:tc>
          <w:tcPr>
            <w:tcW w:w="1134" w:type="dxa"/>
            <w:vMerge w:val="continue"/>
            <w:tcBorders>
              <w:left w:val="single" w:color="000000" w:sz="4" w:space="0"/>
              <w:right w:val="single" w:color="000000" w:sz="4" w:space="0"/>
            </w:tcBorders>
            <w:shd w:val="clear" w:color="auto" w:fill="auto"/>
            <w:vAlign w:val="center"/>
          </w:tcPr>
          <w:p w14:paraId="56D12E25">
            <w:pPr>
              <w:pStyle w:val="143"/>
              <w:bidi w:val="0"/>
              <w:rPr>
                <w:rFonts w:hint="eastAsia"/>
                <w:i w:val="0"/>
                <w:iCs w:val="0"/>
                <w:color w:val="auto"/>
                <w:sz w:val="21"/>
                <w:szCs w:val="21"/>
                <w:highlight w:val="none"/>
              </w:rPr>
            </w:pP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E26">
            <w:pPr>
              <w:pStyle w:val="143"/>
              <w:bidi w:val="0"/>
              <w:rPr>
                <w:rFonts w:hint="eastAsia"/>
                <w:i w:val="0"/>
                <w:iCs w:val="0"/>
                <w:color w:val="auto"/>
                <w:sz w:val="21"/>
                <w:szCs w:val="21"/>
                <w:highlight w:val="none"/>
              </w:rPr>
            </w:pPr>
            <w:r>
              <w:rPr>
                <w:rFonts w:hint="eastAsia"/>
                <w:i w:val="0"/>
                <w:iCs w:val="0"/>
                <w:color w:val="auto"/>
                <w:sz w:val="21"/>
                <w:szCs w:val="21"/>
                <w:highlight w:val="none"/>
              </w:rPr>
              <w:t>站台门智能运维模块</w:t>
            </w: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E27">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28">
            <w:pPr>
              <w:pStyle w:val="143"/>
              <w:bidi w:val="0"/>
              <w:rPr>
                <w:rFonts w:hint="eastAsia"/>
                <w:i w:val="0"/>
                <w:iCs w:val="0"/>
                <w:color w:val="auto"/>
                <w:sz w:val="21"/>
                <w:szCs w:val="21"/>
                <w:highlight w:val="none"/>
              </w:rPr>
            </w:pPr>
            <w:r>
              <w:rPr>
                <w:rFonts w:hint="eastAsia"/>
                <w:i w:val="0"/>
                <w:iCs w:val="0"/>
                <w:color w:val="auto"/>
                <w:sz w:val="21"/>
                <w:szCs w:val="21"/>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29">
            <w:pPr>
              <w:pStyle w:val="143"/>
              <w:bidi w:val="0"/>
              <w:rPr>
                <w:rFonts w:hint="eastAsia"/>
                <w:i w:val="0"/>
                <w:iCs w:val="0"/>
                <w:color w:val="auto"/>
                <w:sz w:val="21"/>
                <w:szCs w:val="21"/>
                <w:highlight w:val="none"/>
              </w:rPr>
            </w:pPr>
            <w:r>
              <w:rPr>
                <w:rFonts w:hint="eastAsia"/>
                <w:i w:val="0"/>
                <w:iCs w:val="0"/>
                <w:color w:val="auto"/>
                <w:sz w:val="21"/>
                <w:szCs w:val="21"/>
                <w:highlight w:val="none"/>
              </w:rPr>
              <w:t>256</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E2A">
            <w:pPr>
              <w:pStyle w:val="143"/>
              <w:bidi w:val="0"/>
              <w:rPr>
                <w:rFonts w:hint="eastAsia"/>
                <w:i w:val="0"/>
                <w:iCs w:val="0"/>
                <w:color w:val="auto"/>
                <w:sz w:val="21"/>
                <w:szCs w:val="21"/>
                <w:highlight w:val="none"/>
              </w:rPr>
            </w:pPr>
            <w:r>
              <w:rPr>
                <w:rFonts w:hint="eastAsia"/>
                <w:i w:val="0"/>
                <w:iCs w:val="0"/>
                <w:color w:val="auto"/>
                <w:sz w:val="21"/>
                <w:szCs w:val="21"/>
                <w:highlight w:val="none"/>
              </w:rPr>
              <w:t>300</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E2B">
            <w:pPr>
              <w:pStyle w:val="143"/>
              <w:bidi w:val="0"/>
              <w:rPr>
                <w:rFonts w:hint="eastAsia"/>
                <w:i w:val="0"/>
                <w:iCs w:val="0"/>
                <w:color w:val="auto"/>
                <w:sz w:val="21"/>
                <w:szCs w:val="21"/>
                <w:highlight w:val="none"/>
              </w:rPr>
            </w:pPr>
            <w:r>
              <w:rPr>
                <w:rFonts w:hint="eastAsia"/>
                <w:i w:val="0"/>
                <w:iCs w:val="0"/>
                <w:color w:val="auto"/>
                <w:sz w:val="21"/>
                <w:szCs w:val="21"/>
                <w:highlight w:val="none"/>
              </w:rPr>
              <w:t>1024</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2C">
            <w:pPr>
              <w:pStyle w:val="143"/>
              <w:bidi w:val="0"/>
              <w:rPr>
                <w:rFonts w:hint="eastAsia"/>
                <w:i w:val="0"/>
                <w:iCs w:val="0"/>
                <w:color w:val="auto"/>
                <w:sz w:val="21"/>
                <w:szCs w:val="21"/>
                <w:highlight w:val="none"/>
              </w:rPr>
            </w:pPr>
          </w:p>
        </w:tc>
      </w:tr>
      <w:tr w14:paraId="56D12E36">
        <w:tblPrEx>
          <w:tblCellMar>
            <w:top w:w="0" w:type="dxa"/>
            <w:left w:w="108" w:type="dxa"/>
            <w:bottom w:w="0" w:type="dxa"/>
            <w:right w:w="108" w:type="dxa"/>
          </w:tblCellMar>
        </w:tblPrEx>
        <w:trPr>
          <w:trHeight w:val="90" w:hRule="atLeast"/>
        </w:trPr>
        <w:tc>
          <w:tcPr>
            <w:tcW w:w="1134" w:type="dxa"/>
            <w:vMerge w:val="continue"/>
            <w:tcBorders>
              <w:left w:val="single" w:color="000000" w:sz="4" w:space="0"/>
              <w:right w:val="single" w:color="000000" w:sz="4" w:space="0"/>
            </w:tcBorders>
            <w:shd w:val="clear" w:color="auto" w:fill="auto"/>
            <w:vAlign w:val="center"/>
          </w:tcPr>
          <w:p w14:paraId="56D12E2E">
            <w:pPr>
              <w:pStyle w:val="143"/>
              <w:bidi w:val="0"/>
              <w:rPr>
                <w:rFonts w:hint="eastAsia"/>
                <w:i w:val="0"/>
                <w:iCs w:val="0"/>
                <w:color w:val="auto"/>
                <w:sz w:val="21"/>
                <w:szCs w:val="21"/>
                <w:highlight w:val="none"/>
              </w:rPr>
            </w:pP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E2F">
            <w:pPr>
              <w:pStyle w:val="143"/>
              <w:bidi w:val="0"/>
              <w:rPr>
                <w:rFonts w:hint="eastAsia"/>
                <w:i w:val="0"/>
                <w:iCs w:val="0"/>
                <w:color w:val="auto"/>
                <w:sz w:val="21"/>
                <w:szCs w:val="21"/>
                <w:highlight w:val="none"/>
              </w:rPr>
            </w:pPr>
            <w:r>
              <w:rPr>
                <w:rFonts w:hint="eastAsia"/>
                <w:i w:val="0"/>
                <w:iCs w:val="0"/>
                <w:color w:val="auto"/>
                <w:sz w:val="21"/>
                <w:szCs w:val="21"/>
                <w:highlight w:val="none"/>
              </w:rPr>
              <w:t>AFC智能运维模块</w:t>
            </w: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E30">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31">
            <w:pPr>
              <w:pStyle w:val="143"/>
              <w:bidi w:val="0"/>
              <w:rPr>
                <w:rFonts w:hint="eastAsia"/>
                <w:i w:val="0"/>
                <w:iCs w:val="0"/>
                <w:color w:val="auto"/>
                <w:sz w:val="21"/>
                <w:szCs w:val="21"/>
                <w:highlight w:val="none"/>
              </w:rPr>
            </w:pPr>
            <w:r>
              <w:rPr>
                <w:rFonts w:hint="eastAsia"/>
                <w:i w:val="0"/>
                <w:iCs w:val="0"/>
                <w:color w:val="auto"/>
                <w:sz w:val="21"/>
                <w:szCs w:val="21"/>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32">
            <w:pPr>
              <w:pStyle w:val="143"/>
              <w:bidi w:val="0"/>
              <w:rPr>
                <w:rFonts w:hint="eastAsia"/>
                <w:i w:val="0"/>
                <w:iCs w:val="0"/>
                <w:color w:val="auto"/>
                <w:sz w:val="21"/>
                <w:szCs w:val="21"/>
                <w:highlight w:val="none"/>
              </w:rPr>
            </w:pPr>
            <w:r>
              <w:rPr>
                <w:rFonts w:hint="eastAsia"/>
                <w:i w:val="0"/>
                <w:iCs w:val="0"/>
                <w:color w:val="auto"/>
                <w:sz w:val="21"/>
                <w:szCs w:val="21"/>
                <w:highlight w:val="none"/>
              </w:rPr>
              <w:t>256</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E33">
            <w:pPr>
              <w:pStyle w:val="143"/>
              <w:bidi w:val="0"/>
              <w:rPr>
                <w:rFonts w:hint="eastAsia"/>
                <w:i w:val="0"/>
                <w:iCs w:val="0"/>
                <w:color w:val="auto"/>
                <w:sz w:val="21"/>
                <w:szCs w:val="21"/>
                <w:highlight w:val="none"/>
              </w:rPr>
            </w:pPr>
            <w:r>
              <w:rPr>
                <w:rFonts w:hint="eastAsia"/>
                <w:i w:val="0"/>
                <w:iCs w:val="0"/>
                <w:color w:val="auto"/>
                <w:sz w:val="21"/>
                <w:szCs w:val="21"/>
                <w:highlight w:val="none"/>
              </w:rPr>
              <w:t>300</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E34">
            <w:pPr>
              <w:pStyle w:val="143"/>
              <w:bidi w:val="0"/>
              <w:rPr>
                <w:rFonts w:hint="eastAsia"/>
                <w:i w:val="0"/>
                <w:iCs w:val="0"/>
                <w:color w:val="auto"/>
                <w:sz w:val="21"/>
                <w:szCs w:val="21"/>
                <w:highlight w:val="none"/>
              </w:rPr>
            </w:pPr>
            <w:r>
              <w:rPr>
                <w:rFonts w:hint="eastAsia"/>
                <w:i w:val="0"/>
                <w:iCs w:val="0"/>
                <w:color w:val="auto"/>
                <w:sz w:val="21"/>
                <w:szCs w:val="21"/>
                <w:highlight w:val="none"/>
              </w:rPr>
              <w:t>1024</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35">
            <w:pPr>
              <w:pStyle w:val="143"/>
              <w:bidi w:val="0"/>
              <w:rPr>
                <w:rFonts w:hint="eastAsia"/>
                <w:i w:val="0"/>
                <w:iCs w:val="0"/>
                <w:color w:val="auto"/>
                <w:sz w:val="21"/>
                <w:szCs w:val="21"/>
                <w:highlight w:val="none"/>
              </w:rPr>
            </w:pPr>
          </w:p>
        </w:tc>
      </w:tr>
      <w:tr w14:paraId="56D12E3F">
        <w:tblPrEx>
          <w:tblCellMar>
            <w:top w:w="0" w:type="dxa"/>
            <w:left w:w="108" w:type="dxa"/>
            <w:bottom w:w="0" w:type="dxa"/>
            <w:right w:w="108" w:type="dxa"/>
          </w:tblCellMar>
        </w:tblPrEx>
        <w:trPr>
          <w:trHeight w:val="90" w:hRule="atLeast"/>
        </w:trPr>
        <w:tc>
          <w:tcPr>
            <w:tcW w:w="1134" w:type="dxa"/>
            <w:vMerge w:val="continue"/>
            <w:tcBorders>
              <w:left w:val="single" w:color="000000" w:sz="4" w:space="0"/>
              <w:bottom w:val="single" w:color="000000" w:sz="4" w:space="0"/>
              <w:right w:val="single" w:color="000000" w:sz="4" w:space="0"/>
            </w:tcBorders>
            <w:shd w:val="clear" w:color="auto" w:fill="auto"/>
            <w:vAlign w:val="center"/>
          </w:tcPr>
          <w:p w14:paraId="56D12E37">
            <w:pPr>
              <w:pStyle w:val="143"/>
              <w:bidi w:val="0"/>
              <w:rPr>
                <w:rFonts w:hint="eastAsia"/>
                <w:i w:val="0"/>
                <w:iCs w:val="0"/>
                <w:color w:val="auto"/>
                <w:sz w:val="21"/>
                <w:szCs w:val="21"/>
                <w:highlight w:val="none"/>
              </w:rPr>
            </w:pP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E38">
            <w:pPr>
              <w:pStyle w:val="143"/>
              <w:bidi w:val="0"/>
              <w:rPr>
                <w:rFonts w:hint="eastAsia"/>
                <w:i w:val="0"/>
                <w:iCs w:val="0"/>
                <w:color w:val="auto"/>
                <w:sz w:val="21"/>
                <w:szCs w:val="21"/>
                <w:highlight w:val="none"/>
              </w:rPr>
            </w:pPr>
            <w:r>
              <w:rPr>
                <w:rFonts w:hint="eastAsia"/>
                <w:i w:val="0"/>
                <w:iCs w:val="0"/>
                <w:color w:val="auto"/>
                <w:sz w:val="21"/>
                <w:szCs w:val="21"/>
                <w:highlight w:val="none"/>
              </w:rPr>
              <w:t>供电智能运维</w:t>
            </w: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E39">
            <w:pPr>
              <w:pStyle w:val="143"/>
              <w:bidi w:val="0"/>
              <w:rPr>
                <w:rFonts w:hint="eastAsia"/>
                <w:i w:val="0"/>
                <w:iCs w:val="0"/>
                <w:color w:val="auto"/>
                <w:sz w:val="21"/>
                <w:szCs w:val="21"/>
                <w:highlight w:val="none"/>
              </w:rPr>
            </w:pPr>
            <w:r>
              <w:rPr>
                <w:rFonts w:hint="eastAsia"/>
                <w:i w:val="0"/>
                <w:iCs w:val="0"/>
                <w:color w:val="auto"/>
                <w:sz w:val="21"/>
                <w:szCs w:val="21"/>
                <w:highlight w:val="none"/>
              </w:rPr>
              <w:t>2</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3A">
            <w:pPr>
              <w:pStyle w:val="143"/>
              <w:bidi w:val="0"/>
              <w:rPr>
                <w:rFonts w:hint="eastAsia"/>
                <w:i w:val="0"/>
                <w:iCs w:val="0"/>
                <w:color w:val="auto"/>
                <w:sz w:val="21"/>
                <w:szCs w:val="21"/>
                <w:highlight w:val="none"/>
              </w:rPr>
            </w:pPr>
            <w:r>
              <w:rPr>
                <w:rFonts w:hint="eastAsia"/>
                <w:i w:val="0"/>
                <w:iCs w:val="0"/>
                <w:color w:val="auto"/>
                <w:sz w:val="21"/>
                <w:szCs w:val="21"/>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3B">
            <w:pPr>
              <w:pStyle w:val="143"/>
              <w:bidi w:val="0"/>
              <w:rPr>
                <w:rFonts w:hint="eastAsia"/>
                <w:i w:val="0"/>
                <w:iCs w:val="0"/>
                <w:color w:val="auto"/>
                <w:sz w:val="21"/>
                <w:szCs w:val="21"/>
                <w:highlight w:val="none"/>
              </w:rPr>
            </w:pPr>
            <w:r>
              <w:rPr>
                <w:rFonts w:hint="eastAsia"/>
                <w:i w:val="0"/>
                <w:iCs w:val="0"/>
                <w:color w:val="auto"/>
                <w:sz w:val="21"/>
                <w:szCs w:val="21"/>
                <w:highlight w:val="none"/>
              </w:rPr>
              <w:t>256</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E3C">
            <w:pPr>
              <w:pStyle w:val="143"/>
              <w:bidi w:val="0"/>
              <w:rPr>
                <w:rFonts w:hint="eastAsia"/>
                <w:i w:val="0"/>
                <w:iCs w:val="0"/>
                <w:color w:val="auto"/>
                <w:sz w:val="21"/>
                <w:szCs w:val="21"/>
                <w:highlight w:val="none"/>
              </w:rPr>
            </w:pPr>
            <w:r>
              <w:rPr>
                <w:rFonts w:hint="eastAsia"/>
                <w:i w:val="0"/>
                <w:iCs w:val="0"/>
                <w:color w:val="auto"/>
                <w:sz w:val="21"/>
                <w:szCs w:val="21"/>
                <w:highlight w:val="none"/>
              </w:rPr>
              <w:t>300</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E3D">
            <w:pPr>
              <w:pStyle w:val="143"/>
              <w:bidi w:val="0"/>
              <w:rPr>
                <w:rFonts w:hint="eastAsia"/>
                <w:i w:val="0"/>
                <w:iCs w:val="0"/>
                <w:color w:val="auto"/>
                <w:sz w:val="21"/>
                <w:szCs w:val="21"/>
                <w:highlight w:val="none"/>
              </w:rPr>
            </w:pPr>
            <w:r>
              <w:rPr>
                <w:rFonts w:hint="eastAsia"/>
                <w:i w:val="0"/>
                <w:iCs w:val="0"/>
                <w:color w:val="auto"/>
                <w:sz w:val="21"/>
                <w:szCs w:val="21"/>
                <w:highlight w:val="none"/>
              </w:rPr>
              <w:t>1024</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3E">
            <w:pPr>
              <w:pStyle w:val="143"/>
              <w:bidi w:val="0"/>
              <w:rPr>
                <w:rFonts w:hint="eastAsia"/>
                <w:i w:val="0"/>
                <w:iCs w:val="0"/>
                <w:color w:val="auto"/>
                <w:sz w:val="21"/>
                <w:szCs w:val="21"/>
                <w:highlight w:val="none"/>
              </w:rPr>
            </w:pPr>
          </w:p>
        </w:tc>
      </w:tr>
      <w:tr w14:paraId="56D12E48">
        <w:tblPrEx>
          <w:tblCellMar>
            <w:top w:w="0" w:type="dxa"/>
            <w:left w:w="108" w:type="dxa"/>
            <w:bottom w:w="0" w:type="dxa"/>
            <w:right w:w="108" w:type="dxa"/>
          </w:tblCellMar>
        </w:tblPrEx>
        <w:trPr>
          <w:trHeight w:val="90" w:hRule="atLeast"/>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E40">
            <w:pPr>
              <w:pStyle w:val="143"/>
              <w:bidi w:val="0"/>
              <w:rPr>
                <w:rFonts w:hint="eastAsia"/>
                <w:i w:val="0"/>
                <w:iCs w:val="0"/>
                <w:color w:val="auto"/>
                <w:sz w:val="21"/>
                <w:szCs w:val="21"/>
                <w:highlight w:val="none"/>
              </w:rPr>
            </w:pPr>
            <w:r>
              <w:rPr>
                <w:rFonts w:hint="eastAsia"/>
                <w:i w:val="0"/>
                <w:iCs w:val="0"/>
                <w:color w:val="auto"/>
                <w:sz w:val="21"/>
                <w:szCs w:val="21"/>
                <w:highlight w:val="none"/>
              </w:rPr>
              <w:t>合计</w:t>
            </w:r>
          </w:p>
        </w:tc>
        <w:tc>
          <w:tcPr>
            <w:tcW w:w="1418" w:type="dxa"/>
            <w:tcBorders>
              <w:top w:val="single" w:color="000000" w:sz="4" w:space="0"/>
              <w:left w:val="nil"/>
              <w:bottom w:val="single" w:color="000000" w:sz="4" w:space="0"/>
              <w:right w:val="single" w:color="000000" w:sz="4" w:space="0"/>
            </w:tcBorders>
            <w:shd w:val="clear" w:color="auto" w:fill="auto"/>
            <w:vAlign w:val="center"/>
          </w:tcPr>
          <w:p w14:paraId="56D12E41">
            <w:pPr>
              <w:pStyle w:val="143"/>
              <w:bidi w:val="0"/>
              <w:rPr>
                <w:rFonts w:hint="eastAsia"/>
                <w:i w:val="0"/>
                <w:iCs w:val="0"/>
                <w:color w:val="auto"/>
                <w:sz w:val="21"/>
                <w:szCs w:val="21"/>
                <w:highlight w:val="none"/>
              </w:rPr>
            </w:pPr>
          </w:p>
        </w:tc>
        <w:tc>
          <w:tcPr>
            <w:tcW w:w="1171" w:type="dxa"/>
            <w:tcBorders>
              <w:top w:val="single" w:color="000000" w:sz="4" w:space="0"/>
              <w:left w:val="nil"/>
              <w:bottom w:val="single" w:color="000000" w:sz="4" w:space="0"/>
              <w:right w:val="single" w:color="000000" w:sz="4" w:space="0"/>
            </w:tcBorders>
            <w:shd w:val="clear" w:color="auto" w:fill="auto"/>
            <w:vAlign w:val="center"/>
          </w:tcPr>
          <w:p w14:paraId="56D12E42">
            <w:pPr>
              <w:pStyle w:val="143"/>
              <w:bidi w:val="0"/>
              <w:rPr>
                <w:rFonts w:hint="eastAsia"/>
                <w:i w:val="0"/>
                <w:iCs w:val="0"/>
                <w:color w:val="auto"/>
                <w:sz w:val="21"/>
                <w:szCs w:val="21"/>
                <w:highlight w:val="none"/>
              </w:rPr>
            </w:pPr>
            <w:r>
              <w:rPr>
                <w:rFonts w:hint="eastAsia"/>
                <w:i w:val="0"/>
                <w:iCs w:val="0"/>
                <w:color w:val="auto"/>
                <w:sz w:val="21"/>
                <w:szCs w:val="21"/>
                <w:highlight w:val="none"/>
              </w:rPr>
              <w:t>13</w:t>
            </w: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43">
            <w:pPr>
              <w:pStyle w:val="143"/>
              <w:bidi w:val="0"/>
              <w:rPr>
                <w:rFonts w:hint="eastAsia"/>
                <w:i w:val="0"/>
                <w:iCs w:val="0"/>
                <w:color w:val="auto"/>
                <w:sz w:val="21"/>
                <w:szCs w:val="21"/>
                <w:highlight w:val="none"/>
              </w:rPr>
            </w:pPr>
            <w:r>
              <w:rPr>
                <w:rFonts w:hint="eastAsia"/>
                <w:i w:val="0"/>
                <w:iCs w:val="0"/>
                <w:color w:val="auto"/>
                <w:sz w:val="21"/>
                <w:szCs w:val="21"/>
                <w:highlight w:val="none"/>
              </w:rPr>
              <w:t>148</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44">
            <w:pPr>
              <w:pStyle w:val="143"/>
              <w:bidi w:val="0"/>
              <w:rPr>
                <w:rFonts w:hint="eastAsia"/>
                <w:i w:val="0"/>
                <w:iCs w:val="0"/>
                <w:color w:val="auto"/>
                <w:sz w:val="21"/>
                <w:szCs w:val="21"/>
                <w:highlight w:val="none"/>
              </w:rPr>
            </w:pPr>
            <w:r>
              <w:rPr>
                <w:rFonts w:hint="eastAsia"/>
                <w:i w:val="0"/>
                <w:iCs w:val="0"/>
                <w:color w:val="auto"/>
                <w:sz w:val="21"/>
                <w:szCs w:val="21"/>
                <w:highlight w:val="none"/>
              </w:rPr>
              <w:t>1608</w:t>
            </w:r>
          </w:p>
        </w:tc>
        <w:tc>
          <w:tcPr>
            <w:tcW w:w="1037" w:type="dxa"/>
            <w:tcBorders>
              <w:top w:val="single" w:color="000000" w:sz="4" w:space="0"/>
              <w:left w:val="nil"/>
              <w:bottom w:val="single" w:color="000000" w:sz="4" w:space="0"/>
              <w:right w:val="single" w:color="000000" w:sz="4" w:space="0"/>
            </w:tcBorders>
            <w:shd w:val="clear" w:color="auto" w:fill="auto"/>
            <w:vAlign w:val="center"/>
          </w:tcPr>
          <w:p w14:paraId="56D12E45">
            <w:pPr>
              <w:pStyle w:val="143"/>
              <w:bidi w:val="0"/>
              <w:rPr>
                <w:rFonts w:hint="eastAsia"/>
                <w:i w:val="0"/>
                <w:iCs w:val="0"/>
                <w:color w:val="auto"/>
                <w:sz w:val="21"/>
                <w:szCs w:val="21"/>
                <w:highlight w:val="none"/>
              </w:rPr>
            </w:pPr>
            <w:r>
              <w:rPr>
                <w:rFonts w:hint="eastAsia"/>
                <w:i w:val="0"/>
                <w:iCs w:val="0"/>
                <w:color w:val="auto"/>
                <w:sz w:val="21"/>
                <w:szCs w:val="21"/>
                <w:highlight w:val="none"/>
              </w:rPr>
              <w:t>4748</w:t>
            </w:r>
          </w:p>
        </w:tc>
        <w:tc>
          <w:tcPr>
            <w:tcW w:w="936" w:type="dxa"/>
            <w:tcBorders>
              <w:top w:val="single" w:color="000000" w:sz="4" w:space="0"/>
              <w:left w:val="nil"/>
              <w:bottom w:val="single" w:color="000000" w:sz="4" w:space="0"/>
              <w:right w:val="single" w:color="000000" w:sz="4" w:space="0"/>
            </w:tcBorders>
            <w:shd w:val="clear" w:color="auto" w:fill="auto"/>
            <w:vAlign w:val="center"/>
          </w:tcPr>
          <w:p w14:paraId="56D12E46">
            <w:pPr>
              <w:pStyle w:val="143"/>
              <w:bidi w:val="0"/>
              <w:rPr>
                <w:rFonts w:hint="eastAsia"/>
                <w:i w:val="0"/>
                <w:iCs w:val="0"/>
                <w:color w:val="auto"/>
                <w:sz w:val="21"/>
                <w:szCs w:val="21"/>
                <w:highlight w:val="none"/>
              </w:rPr>
            </w:pPr>
            <w:r>
              <w:rPr>
                <w:rFonts w:hint="eastAsia"/>
                <w:i w:val="0"/>
                <w:iCs w:val="0"/>
                <w:color w:val="auto"/>
                <w:sz w:val="21"/>
                <w:szCs w:val="21"/>
                <w:highlight w:val="none"/>
              </w:rPr>
              <w:t>28168</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47">
            <w:pPr>
              <w:pStyle w:val="143"/>
              <w:bidi w:val="0"/>
              <w:rPr>
                <w:i w:val="0"/>
                <w:iCs w:val="0"/>
                <w:color w:val="auto"/>
                <w:sz w:val="21"/>
                <w:szCs w:val="21"/>
                <w:highlight w:val="none"/>
              </w:rPr>
            </w:pPr>
          </w:p>
        </w:tc>
      </w:tr>
    </w:tbl>
    <w:p w14:paraId="56D12E49">
      <w:pPr>
        <w:pStyle w:val="34"/>
        <w:kinsoku w:val="0"/>
        <w:overflowPunct w:val="0"/>
        <w:spacing w:line="360" w:lineRule="auto"/>
        <w:rPr>
          <w:rFonts w:hint="eastAsia" w:ascii="宋体" w:hAnsi="宋体" w:eastAsia="宋体" w:cs="仿宋"/>
          <w:i w:val="0"/>
          <w:iCs w:val="0"/>
          <w:color w:val="auto"/>
          <w:sz w:val="2"/>
          <w:szCs w:val="2"/>
          <w:highlight w:val="none"/>
        </w:rPr>
      </w:pPr>
    </w:p>
    <w:p w14:paraId="56D12E4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根据上述需求统计汇总，需要部署在建议期（一期）云平台为智慧地铁管控平台大数据平台（扩容），需要部署在运营期（二期）云平台为运营安全、运营管控、智慧运营。</w:t>
      </w:r>
    </w:p>
    <w:p w14:paraId="56D12E4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安全生产网应用（运营期）云平台通用计算服务资源经计算共需要148核vCPU，1608（G）内存，4748（G）SSD，28168（G）存储。</w:t>
      </w:r>
    </w:p>
    <w:p w14:paraId="56D12E4D">
      <w:pPr>
        <w:pStyle w:val="5"/>
        <w:ind w:left="0"/>
        <w:rPr>
          <w:i w:val="0"/>
          <w:iCs w:val="0"/>
          <w:color w:val="auto"/>
          <w:sz w:val="22"/>
          <w:szCs w:val="22"/>
          <w:highlight w:val="none"/>
          <w:lang w:val="en-US"/>
        </w:rPr>
      </w:pPr>
      <w:bookmarkStart w:id="225" w:name="_Toc12652"/>
      <w:r>
        <w:rPr>
          <w:rFonts w:hint="eastAsia"/>
          <w:i w:val="0"/>
          <w:iCs w:val="0"/>
          <w:color w:val="auto"/>
          <w:sz w:val="22"/>
          <w:szCs w:val="22"/>
          <w:highlight w:val="none"/>
          <w:lang w:val="en-US"/>
        </w:rPr>
        <w:t>整体部署方案</w:t>
      </w:r>
      <w:bookmarkEnd w:id="225"/>
    </w:p>
    <w:p w14:paraId="56D12E4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建设期云平台部署于轨道二控综合监控设备机房，按生产网要求构建网络架构，实现云数据中心底层资源统一调度与业务智能管理。</w:t>
      </w:r>
    </w:p>
    <w:p w14:paraId="56D12E4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运营期因机房环境限制及业务需求增长，在建设期基础上对算力资源扩容，扩容机柜部署于车辆综合楼一/二楼，构建生产网支撑智慧地铁运营应用，确保满足业务发展需求。</w:t>
      </w:r>
    </w:p>
    <w:p w14:paraId="56D12E5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专题七：投标人应充分考虑既有机房的影响，针对云平台部署位置及既有机房条件，提供详细的机房改造方案，包括但不限于机房装修方案、机房制冷改造方案、系统供电改造方案、照明接地改造方案、机房安全改造方案、机房机柜布置方案等，相关改造费用应包含在投标报价中，并提供详细的改造计划及概算。</w:t>
      </w:r>
    </w:p>
    <w:p w14:paraId="56D12E5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设备房若设有架空防静电地板，应保证所有机柜和机架应在设备房内可随意安置，并应通过机柜的基础底座牢固地固定于地面上，该基础底座投标人负责，投标人应提供底座制作安装工艺图纸。所有机柜应具有前后门，打开后门的上方应安装检修灯，当打开后门时，检修灯自动点亮。前后柜门应提供锁匙等安全措施。</w:t>
      </w:r>
    </w:p>
    <w:p w14:paraId="56D12E5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投标人应提供云内各设备间衔接组网方案，满足云平台性能要求及业务部署需求，相关线缆及集成授权费用应包含在投资总价中，若因投标人因漏报、误报所造成的工程量增加的费用由投标人自行承担。</w:t>
      </w:r>
    </w:p>
    <w:p w14:paraId="56D12E53">
      <w:pPr>
        <w:pStyle w:val="5"/>
        <w:ind w:left="0"/>
        <w:rPr>
          <w:i w:val="0"/>
          <w:iCs w:val="0"/>
          <w:color w:val="auto"/>
          <w:sz w:val="22"/>
          <w:szCs w:val="22"/>
          <w:highlight w:val="none"/>
        </w:rPr>
      </w:pPr>
      <w:bookmarkStart w:id="226" w:name="_Toc25294"/>
      <w:r>
        <w:rPr>
          <w:rFonts w:hint="eastAsia"/>
          <w:i w:val="0"/>
          <w:iCs w:val="0"/>
          <w:color w:val="auto"/>
          <w:sz w:val="22"/>
          <w:szCs w:val="22"/>
          <w:highlight w:val="none"/>
        </w:rPr>
        <w:t>计算资源扩容</w:t>
      </w:r>
      <w:bookmarkEnd w:id="226"/>
    </w:p>
    <w:p w14:paraId="56D12E54">
      <w:pPr>
        <w:pStyle w:val="6"/>
        <w:ind w:left="0"/>
        <w:rPr>
          <w:i w:val="0"/>
          <w:iCs w:val="0"/>
          <w:color w:val="auto"/>
          <w:sz w:val="21"/>
          <w:szCs w:val="21"/>
          <w:highlight w:val="none"/>
        </w:rPr>
      </w:pPr>
      <w:r>
        <w:rPr>
          <w:rFonts w:hint="eastAsia"/>
          <w:i w:val="0"/>
          <w:iCs w:val="0"/>
          <w:color w:val="auto"/>
          <w:sz w:val="21"/>
          <w:szCs w:val="21"/>
          <w:highlight w:val="none"/>
        </w:rPr>
        <w:t>vCPU资源设计</w:t>
      </w:r>
    </w:p>
    <w:p w14:paraId="56D12E5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次安全生产网中（运营安全、运营管控、智能运维）应用软件的vCPU为148个，虚拟化复用比应采用1（CPU线程复用1倍），并扩展1.3倍资源需求从而预留余量资源（按vCPU总需求量148个乘以1.3计算），则总需求的vCPU数量不低于193个vCPU。</w:t>
      </w:r>
    </w:p>
    <w:p w14:paraId="56D12E5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根据建设期建设使用情况，本期项目计算资源应选择主流2路32核2线程CPU服务器，损耗系统取0.9；单台服务器可提供vCPU数量为2x32x2x0.9=115个。</w:t>
      </w:r>
    </w:p>
    <w:p w14:paraId="56D12E5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本次所需服务器数量=总需求vCPU数量/单台服务器提供的vCPU数量=2台（取整），建议配置2台服务器。</w:t>
      </w:r>
    </w:p>
    <w:p w14:paraId="56D12E58">
      <w:pPr>
        <w:pStyle w:val="6"/>
        <w:ind w:left="0"/>
        <w:rPr>
          <w:i w:val="0"/>
          <w:iCs w:val="0"/>
          <w:color w:val="auto"/>
          <w:sz w:val="21"/>
          <w:szCs w:val="21"/>
          <w:highlight w:val="none"/>
        </w:rPr>
      </w:pPr>
      <w:r>
        <w:rPr>
          <w:rFonts w:hint="eastAsia"/>
          <w:i w:val="0"/>
          <w:iCs w:val="0"/>
          <w:color w:val="auto"/>
          <w:sz w:val="21"/>
          <w:szCs w:val="21"/>
          <w:highlight w:val="none"/>
        </w:rPr>
        <w:t>内存资源设计</w:t>
      </w:r>
    </w:p>
    <w:p w14:paraId="56D12E5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根据建设期建设使用情况，本次安全生产网中应用软件的总内存为1608GB，并扩展1.3倍资源需求预留余量资源（按总内存需求量1608GB乘以1.3计算），则总需求的内存数量不低于2090.4GB。</w:t>
      </w:r>
    </w:p>
    <w:p w14:paraId="56D12E5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本次项目计算资源选用主流64GB 4800 MHz DDR5内存，内存复用比采用0.8（内存实际使用0.8倍）；单根内存实际可分配容量=（64GB*0.98（内存纠错损耗）*0.95（虚拟化（Hypervisor）占用）*0.8=47.6GB；</w:t>
      </w:r>
    </w:p>
    <w:p w14:paraId="56D12E5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单台服务器内存根数=总需求内存容量/(单根内存实际可分配容量*实际所需服务器数量)=2090.4/(47.6*2)=22根（取整），根据服务器内存推荐配置方式（2/4/8/12/16/24/32），建议配置24根64GB4800MHzDDR5内存。</w:t>
      </w:r>
    </w:p>
    <w:p w14:paraId="56D12E5C">
      <w:pPr>
        <w:pStyle w:val="142"/>
        <w:ind w:firstLine="420"/>
        <w:rPr>
          <w:i w:val="0"/>
          <w:iCs w:val="0"/>
          <w:color w:val="auto"/>
          <w:sz w:val="21"/>
          <w:szCs w:val="15"/>
          <w:highlight w:val="none"/>
        </w:rPr>
      </w:pPr>
    </w:p>
    <w:p w14:paraId="56D12E5D">
      <w:pPr>
        <w:pStyle w:val="6"/>
        <w:ind w:left="0"/>
        <w:rPr>
          <w:i w:val="0"/>
          <w:iCs w:val="0"/>
          <w:color w:val="auto"/>
          <w:sz w:val="21"/>
          <w:szCs w:val="21"/>
          <w:highlight w:val="none"/>
        </w:rPr>
      </w:pPr>
      <w:r>
        <w:rPr>
          <w:rFonts w:hint="eastAsia"/>
          <w:i w:val="0"/>
          <w:iCs w:val="0"/>
          <w:color w:val="auto"/>
          <w:sz w:val="21"/>
          <w:szCs w:val="21"/>
          <w:highlight w:val="none"/>
        </w:rPr>
        <w:t>服务器设计</w:t>
      </w:r>
    </w:p>
    <w:p w14:paraId="56D12E5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通过vCPU和内存的算法，本次业务服务器总台数为2台。单台服务器计算资源配置：2颗处理器，单颗主频≥2.1GHz，核心数≥32核，缓存≥160MB，24*64GB 5600 MHz DDR5内存。</w:t>
      </w:r>
    </w:p>
    <w:p w14:paraId="56D12E5F">
      <w:pPr>
        <w:pStyle w:val="5"/>
        <w:ind w:left="0"/>
        <w:rPr>
          <w:i w:val="0"/>
          <w:iCs w:val="0"/>
          <w:color w:val="auto"/>
          <w:sz w:val="22"/>
          <w:szCs w:val="22"/>
          <w:highlight w:val="none"/>
        </w:rPr>
      </w:pPr>
      <w:bookmarkStart w:id="227" w:name="_Toc15444"/>
      <w:r>
        <w:rPr>
          <w:rFonts w:hint="eastAsia"/>
          <w:i w:val="0"/>
          <w:iCs w:val="0"/>
          <w:color w:val="auto"/>
          <w:sz w:val="22"/>
          <w:szCs w:val="22"/>
          <w:highlight w:val="none"/>
        </w:rPr>
        <w:t>存储资源扩容</w:t>
      </w:r>
      <w:bookmarkEnd w:id="227"/>
    </w:p>
    <w:p w14:paraId="56D12E6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结合安全生产网应用分析，属于对存储速度和稳定性要求特别高的场景，本次采用集中式存储方式以提供存储资源。可以使用FC SAN作为该类型业务的主存储，配置SAS硬盘和SSD硬盘的组合，提供极其强大的I/O性能。</w:t>
      </w:r>
    </w:p>
    <w:p w14:paraId="56D12E6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集中式存储网络采用FC组网，形成FC-SAN集中式存储资源池，从性能、容量、可靠性等方面为虚拟化平台及关键业务应用提供充足的存储资源，满足虚拟化平台及关键业务应用的存储资源需求。</w:t>
      </w:r>
    </w:p>
    <w:p w14:paraId="56D12E62">
      <w:pPr>
        <w:pStyle w:val="6"/>
        <w:ind w:left="0"/>
        <w:rPr>
          <w:i w:val="0"/>
          <w:iCs w:val="0"/>
          <w:color w:val="auto"/>
          <w:sz w:val="21"/>
          <w:szCs w:val="21"/>
          <w:highlight w:val="none"/>
        </w:rPr>
      </w:pPr>
      <w:r>
        <w:rPr>
          <w:rFonts w:hint="eastAsia"/>
          <w:i w:val="0"/>
          <w:iCs w:val="0"/>
          <w:color w:val="auto"/>
          <w:sz w:val="21"/>
          <w:szCs w:val="21"/>
          <w:highlight w:val="none"/>
        </w:rPr>
        <w:t>存储资源池虚拟化原则</w:t>
      </w:r>
    </w:p>
    <w:p w14:paraId="56D12E6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存储资源虚拟化后为云服务器提供存储服务，存储资源池物理资源虚拟化应遵循以下原则：</w:t>
      </w:r>
    </w:p>
    <w:p w14:paraId="56D12E64">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链路配置：服务器配备多个存储接口，采用多存储阵列访问路径、附在均衡协同技术以及动态故障切换机制，降低链路损坏风险。​</w:t>
      </w:r>
    </w:p>
    <w:p w14:paraId="56D12E65">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空间预留：数据存储可用空间保持20%以上余量，保障存储灵活性。​</w:t>
      </w:r>
    </w:p>
    <w:p w14:paraId="56D12E6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硬盘选型：系统盘用SSD硬盘满足低延时高性能需求，数据盘用NL-SAS硬盘保障高带宽读写。​</w:t>
      </w:r>
    </w:p>
    <w:p w14:paraId="56D12E6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设备功能：集中存储设备支持多种硬盘介质，具备数据快照、克隆功能，提升系统可靠性。</w:t>
      </w:r>
    </w:p>
    <w:p w14:paraId="56D12E68">
      <w:pPr>
        <w:pStyle w:val="6"/>
        <w:ind w:left="0"/>
        <w:rPr>
          <w:i w:val="0"/>
          <w:iCs w:val="0"/>
          <w:color w:val="auto"/>
          <w:sz w:val="21"/>
          <w:szCs w:val="21"/>
          <w:highlight w:val="none"/>
        </w:rPr>
      </w:pPr>
      <w:r>
        <w:rPr>
          <w:rFonts w:hint="eastAsia"/>
          <w:i w:val="0"/>
          <w:iCs w:val="0"/>
          <w:color w:val="auto"/>
          <w:sz w:val="21"/>
          <w:szCs w:val="21"/>
          <w:highlight w:val="none"/>
        </w:rPr>
        <w:t>存储高可用设计</w:t>
      </w:r>
    </w:p>
    <w:p w14:paraId="56D12E6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通过磁盘冗余（RAID方式）、存储设备控制器冗余、存储链路冗余（双链路与多路径软件）设计，确保存储系统的高可用性与数据安全性。</w:t>
      </w:r>
    </w:p>
    <w:p w14:paraId="56D12E6A">
      <w:pPr>
        <w:pStyle w:val="6"/>
        <w:ind w:left="0"/>
        <w:rPr>
          <w:i w:val="0"/>
          <w:iCs w:val="0"/>
          <w:color w:val="auto"/>
          <w:sz w:val="21"/>
          <w:szCs w:val="21"/>
          <w:highlight w:val="none"/>
        </w:rPr>
      </w:pPr>
      <w:r>
        <w:rPr>
          <w:rFonts w:hint="eastAsia"/>
          <w:i w:val="0"/>
          <w:iCs w:val="0"/>
          <w:color w:val="auto"/>
          <w:sz w:val="21"/>
          <w:szCs w:val="21"/>
          <w:highlight w:val="none"/>
        </w:rPr>
        <w:t>存储容量规划</w:t>
      </w:r>
    </w:p>
    <w:p w14:paraId="56D12E6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根据建设期存储容量使用情况，本次智慧地铁运营期项目的存储空间需求，其中安全生产网中智慧地铁管控平台扩容与应用软件的SSD存储空间需求为4.75TB，并扩展1.3倍资源需求预留余量资源（按存储空间总需求量4.75TB乘以1.3计算），共计6.175TB。</w:t>
      </w:r>
    </w:p>
    <w:p w14:paraId="56D12E6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HDD（SAS/NL_SAS）数据盘储存空间总需求为28.17TB，其中智慧地铁管控平台大数据存储扩容需求20T，按1.3倍预留（按存储空间总需求量20TB乘以1.3计算），共计26TB，该部分在既有存储上扩容。运营期业务应用数据盘储存空间需求为8.17TB。应用NL-SAS数据盘储存空间需求为8.17TB，按1.3倍预留（按存储空间总需求量8.17TB乘以1.3计算），共计10.621TB。</w:t>
      </w:r>
    </w:p>
    <w:p w14:paraId="56D12E6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本次智慧地铁运营期存储资源池规划1套集中存储。本次可提供的集中存储资源汇总与算法如下：</w:t>
      </w:r>
    </w:p>
    <w:p w14:paraId="56D12E6E">
      <w:pPr>
        <w:kinsoku w:val="0"/>
        <w:overflowPunct w:val="0"/>
        <w:spacing w:before="5" w:line="360" w:lineRule="auto"/>
        <w:rPr>
          <w:rFonts w:hint="eastAsia" w:ascii="宋体" w:hAnsi="宋体" w:eastAsia="宋体" w:cs="仿宋"/>
          <w:i w:val="0"/>
          <w:iCs w:val="0"/>
          <w:color w:val="auto"/>
          <w:sz w:val="2"/>
          <w:szCs w:val="2"/>
          <w:highlight w:val="none"/>
        </w:rPr>
      </w:pPr>
    </w:p>
    <w:tbl>
      <w:tblPr>
        <w:tblStyle w:val="88"/>
        <w:tblW w:w="0" w:type="auto"/>
        <w:tblInd w:w="452" w:type="dxa"/>
        <w:tblLayout w:type="fixed"/>
        <w:tblCellMar>
          <w:top w:w="0" w:type="dxa"/>
          <w:left w:w="108" w:type="dxa"/>
          <w:bottom w:w="0" w:type="dxa"/>
          <w:right w:w="108" w:type="dxa"/>
        </w:tblCellMar>
      </w:tblPr>
      <w:tblGrid>
        <w:gridCol w:w="2435"/>
        <w:gridCol w:w="5940"/>
      </w:tblGrid>
      <w:tr w14:paraId="56D12E71">
        <w:trPr>
          <w:trHeight w:val="362" w:hRule="atLeast"/>
        </w:trPr>
        <w:tc>
          <w:tcPr>
            <w:tcW w:w="2435" w:type="dxa"/>
            <w:tcBorders>
              <w:top w:val="single" w:color="000000" w:sz="4" w:space="0"/>
              <w:left w:val="single" w:color="000000" w:sz="4" w:space="0"/>
              <w:bottom w:val="single" w:color="000000" w:sz="4" w:space="0"/>
              <w:right w:val="single" w:color="000000" w:sz="4" w:space="0"/>
            </w:tcBorders>
          </w:tcPr>
          <w:p w14:paraId="56D12E6F">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集中存储</w:t>
            </w:r>
          </w:p>
        </w:tc>
        <w:tc>
          <w:tcPr>
            <w:tcW w:w="5940" w:type="dxa"/>
            <w:tcBorders>
              <w:top w:val="single" w:color="000000" w:sz="4" w:space="0"/>
              <w:left w:val="nil"/>
              <w:bottom w:val="single" w:color="000000" w:sz="4" w:space="0"/>
              <w:right w:val="single" w:color="000000" w:sz="4" w:space="0"/>
            </w:tcBorders>
          </w:tcPr>
          <w:p w14:paraId="56D12E70">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磁盘空间（TB）</w:t>
            </w:r>
          </w:p>
        </w:tc>
      </w:tr>
      <w:tr w14:paraId="56D12E76">
        <w:tblPrEx>
          <w:tblCellMar>
            <w:top w:w="0" w:type="dxa"/>
            <w:left w:w="108" w:type="dxa"/>
            <w:bottom w:w="0" w:type="dxa"/>
            <w:right w:w="108" w:type="dxa"/>
          </w:tblCellMar>
        </w:tblPrEx>
        <w:trPr>
          <w:trHeight w:val="1052" w:hRule="atLeast"/>
        </w:trPr>
        <w:tc>
          <w:tcPr>
            <w:tcW w:w="2435" w:type="dxa"/>
            <w:tcBorders>
              <w:top w:val="single" w:color="000000" w:sz="4" w:space="0"/>
              <w:left w:val="single" w:color="000000" w:sz="4" w:space="0"/>
              <w:bottom w:val="single" w:color="000000" w:sz="4" w:space="0"/>
              <w:right w:val="single" w:color="000000" w:sz="4" w:space="0"/>
            </w:tcBorders>
          </w:tcPr>
          <w:p w14:paraId="56D12E72">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SSD：4块3.84TBSASSSD</w:t>
            </w:r>
          </w:p>
          <w:p w14:paraId="56D12E73">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SAS：8块2.4TB10KRPMSAS</w:t>
            </w:r>
          </w:p>
        </w:tc>
        <w:tc>
          <w:tcPr>
            <w:tcW w:w="5940" w:type="dxa"/>
            <w:tcBorders>
              <w:top w:val="single" w:color="000000" w:sz="4" w:space="0"/>
              <w:left w:val="nil"/>
              <w:bottom w:val="single" w:color="000000" w:sz="4" w:space="0"/>
              <w:right w:val="single" w:color="000000" w:sz="4" w:space="0"/>
            </w:tcBorders>
          </w:tcPr>
          <w:p w14:paraId="56D12E74">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SSD：采用分布式RAID5，实际可提供=（4-1）*3.84/4*（4-1）*0.81=7TB（实际可提供）</w:t>
            </w:r>
          </w:p>
          <w:p w14:paraId="56D12E75">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SAS：采用分布式RAID5，实际可提供=（8-1）*2.4/8*（8-1）*0.81=11.9TB（实际可提供）</w:t>
            </w:r>
          </w:p>
        </w:tc>
      </w:tr>
      <w:tr w14:paraId="56D12E7A">
        <w:tblPrEx>
          <w:tblCellMar>
            <w:top w:w="0" w:type="dxa"/>
            <w:left w:w="108" w:type="dxa"/>
            <w:bottom w:w="0" w:type="dxa"/>
            <w:right w:w="108" w:type="dxa"/>
          </w:tblCellMar>
        </w:tblPrEx>
        <w:trPr>
          <w:trHeight w:val="1141" w:hRule="atLeast"/>
        </w:trPr>
        <w:tc>
          <w:tcPr>
            <w:tcW w:w="8375" w:type="dxa"/>
            <w:gridSpan w:val="2"/>
            <w:tcBorders>
              <w:top w:val="single" w:color="000000" w:sz="4" w:space="0"/>
              <w:left w:val="single" w:color="000000" w:sz="4" w:space="0"/>
              <w:bottom w:val="single" w:color="000000" w:sz="4" w:space="0"/>
              <w:right w:val="single" w:color="000000" w:sz="4" w:space="0"/>
            </w:tcBorders>
          </w:tcPr>
          <w:p w14:paraId="56D12E77">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分布式RAID5:(DC-SC)*DS/SW*(SW-1)*0.81</w:t>
            </w:r>
          </w:p>
          <w:p w14:paraId="56D12E78">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分布式RAID6:(DC-SC)*DS/SW*(SW-2)*0.81</w:t>
            </w:r>
          </w:p>
          <w:p w14:paraId="56D12E79">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备注:DC磁盘个数，DS磁盘容量，SW条带宽度（分布式raid5推荐9，分布式raid6推荐12），SC分布式raid热备盘个数(每36块硬盘配置1块热盘)，0.81磁盘格式化系数。</w:t>
            </w:r>
          </w:p>
        </w:tc>
      </w:tr>
    </w:tbl>
    <w:p w14:paraId="56D12E7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既有二控智慧地铁管控平台大数据平台存储扩容算法如下：</w:t>
      </w:r>
    </w:p>
    <w:tbl>
      <w:tblPr>
        <w:tblStyle w:val="88"/>
        <w:tblW w:w="0" w:type="auto"/>
        <w:tblInd w:w="452" w:type="dxa"/>
        <w:tblLayout w:type="fixed"/>
        <w:tblCellMar>
          <w:top w:w="0" w:type="dxa"/>
          <w:left w:w="108" w:type="dxa"/>
          <w:bottom w:w="0" w:type="dxa"/>
          <w:right w:w="108" w:type="dxa"/>
        </w:tblCellMar>
      </w:tblPr>
      <w:tblGrid>
        <w:gridCol w:w="2235"/>
        <w:gridCol w:w="6140"/>
      </w:tblGrid>
      <w:tr w14:paraId="56D12E7E">
        <w:trPr>
          <w:trHeight w:val="362" w:hRule="atLeast"/>
        </w:trPr>
        <w:tc>
          <w:tcPr>
            <w:tcW w:w="2235" w:type="dxa"/>
            <w:tcBorders>
              <w:top w:val="single" w:color="000000" w:sz="4" w:space="0"/>
              <w:left w:val="single" w:color="000000" w:sz="4" w:space="0"/>
              <w:bottom w:val="single" w:color="000000" w:sz="4" w:space="0"/>
              <w:right w:val="single" w:color="000000" w:sz="4" w:space="0"/>
            </w:tcBorders>
          </w:tcPr>
          <w:p w14:paraId="56D12E7C">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建设期集中存储</w:t>
            </w:r>
          </w:p>
        </w:tc>
        <w:tc>
          <w:tcPr>
            <w:tcW w:w="6140" w:type="dxa"/>
            <w:tcBorders>
              <w:top w:val="single" w:color="000000" w:sz="4" w:space="0"/>
              <w:left w:val="nil"/>
              <w:bottom w:val="single" w:color="000000" w:sz="4" w:space="0"/>
              <w:right w:val="single" w:color="000000" w:sz="4" w:space="0"/>
            </w:tcBorders>
          </w:tcPr>
          <w:p w14:paraId="56D12E7D">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磁盘空间（TB）</w:t>
            </w:r>
          </w:p>
        </w:tc>
      </w:tr>
      <w:tr w14:paraId="56D12E81">
        <w:tblPrEx>
          <w:tblCellMar>
            <w:top w:w="0" w:type="dxa"/>
            <w:left w:w="108" w:type="dxa"/>
            <w:bottom w:w="0" w:type="dxa"/>
            <w:right w:w="108" w:type="dxa"/>
          </w:tblCellMar>
        </w:tblPrEx>
        <w:trPr>
          <w:trHeight w:val="606" w:hRule="atLeast"/>
        </w:trPr>
        <w:tc>
          <w:tcPr>
            <w:tcW w:w="2235" w:type="dxa"/>
            <w:tcBorders>
              <w:top w:val="single" w:color="000000" w:sz="4" w:space="0"/>
              <w:left w:val="single" w:color="000000" w:sz="4" w:space="0"/>
              <w:bottom w:val="single" w:color="000000" w:sz="4" w:space="0"/>
              <w:right w:val="single" w:color="000000" w:sz="4" w:space="0"/>
            </w:tcBorders>
          </w:tcPr>
          <w:p w14:paraId="56D12E7F">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NL-SAS：7块8TB7.2KRPMNL_SAS</w:t>
            </w:r>
          </w:p>
        </w:tc>
        <w:tc>
          <w:tcPr>
            <w:tcW w:w="6140" w:type="dxa"/>
            <w:tcBorders>
              <w:top w:val="single" w:color="000000" w:sz="4" w:space="0"/>
              <w:left w:val="nil"/>
              <w:bottom w:val="single" w:color="000000" w:sz="4" w:space="0"/>
              <w:right w:val="single" w:color="000000" w:sz="4" w:space="0"/>
            </w:tcBorders>
          </w:tcPr>
          <w:p w14:paraId="56D12E80">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NL-SAS：采用分布式RAID6，实际可提供=（7-1）*8/7*（7-2）*0.81=27.7TB（实际可提供）</w:t>
            </w:r>
          </w:p>
        </w:tc>
      </w:tr>
      <w:tr w14:paraId="56D12E85">
        <w:tblPrEx>
          <w:tblCellMar>
            <w:top w:w="0" w:type="dxa"/>
            <w:left w:w="108" w:type="dxa"/>
            <w:bottom w:w="0" w:type="dxa"/>
            <w:right w:w="108" w:type="dxa"/>
          </w:tblCellMar>
        </w:tblPrEx>
        <w:trPr>
          <w:trHeight w:val="1223" w:hRule="atLeast"/>
        </w:trPr>
        <w:tc>
          <w:tcPr>
            <w:tcW w:w="8375" w:type="dxa"/>
            <w:gridSpan w:val="2"/>
            <w:tcBorders>
              <w:top w:val="single" w:color="000000" w:sz="4" w:space="0"/>
              <w:left w:val="single" w:color="000000" w:sz="4" w:space="0"/>
              <w:bottom w:val="single" w:color="000000" w:sz="4" w:space="0"/>
              <w:right w:val="single" w:color="000000" w:sz="4" w:space="0"/>
            </w:tcBorders>
          </w:tcPr>
          <w:p w14:paraId="56D12E82">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分布式RAID5:(DC-SC)*DS/SW*(SW-1)*0.81</w:t>
            </w:r>
          </w:p>
          <w:p w14:paraId="56D12E83">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分布式RAID6:(DC-SC)*DS/SW*(SW-2)*0.81</w:t>
            </w:r>
          </w:p>
          <w:p w14:paraId="56D12E84">
            <w:pPr>
              <w:widowControl/>
              <w:spacing w:line="276" w:lineRule="auto"/>
              <w:jc w:val="center"/>
              <w:rPr>
                <w:rFonts w:hint="eastAsia" w:ascii="宋体" w:hAnsi="宋体" w:eastAsia="宋体"/>
                <w:i w:val="0"/>
                <w:iCs w:val="0"/>
                <w:color w:val="auto"/>
                <w:sz w:val="18"/>
                <w:szCs w:val="18"/>
                <w:highlight w:val="none"/>
              </w:rPr>
            </w:pPr>
            <w:r>
              <w:rPr>
                <w:rFonts w:hint="eastAsia" w:ascii="宋体" w:hAnsi="宋体" w:eastAsia="宋体"/>
                <w:i w:val="0"/>
                <w:iCs w:val="0"/>
                <w:color w:val="auto"/>
                <w:sz w:val="18"/>
                <w:szCs w:val="18"/>
                <w:highlight w:val="none"/>
              </w:rPr>
              <w:t>备注:DC磁盘个数，DS磁盘容量，SW条带宽度（分布式raid5推荐9，分布式raid6推荐12），SC分布式raid热备盘个数(每36块硬盘配置1块热备盘)，0.81磁盘格式化系数。</w:t>
            </w:r>
          </w:p>
        </w:tc>
      </w:tr>
    </w:tbl>
    <w:p w14:paraId="56D12E86">
      <w:pPr>
        <w:kinsoku w:val="0"/>
        <w:overflowPunct w:val="0"/>
        <w:spacing w:before="6" w:line="360" w:lineRule="auto"/>
        <w:rPr>
          <w:rFonts w:hint="eastAsia" w:ascii="宋体" w:hAnsi="宋体" w:eastAsia="宋体" w:cs="仿宋"/>
          <w:i w:val="0"/>
          <w:iCs w:val="0"/>
          <w:color w:val="auto"/>
          <w:sz w:val="2"/>
          <w:szCs w:val="2"/>
          <w:highlight w:val="none"/>
        </w:rPr>
      </w:pPr>
    </w:p>
    <w:p w14:paraId="56D12E8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综上，智慧地铁运营期业务应用SSD硬盘为满足6.175TB资源需求，需配置4块3.84TBSSD硬盘，可提供7TB可用存储空间。SAS硬盘为满足10.621TB资源需求，需配置8块2.4TB10KRPMSAS硬盘，可提供11.9TB可用存储空间。</w:t>
      </w:r>
    </w:p>
    <w:p w14:paraId="56D12E8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既有二控智慧地铁管控平台大数据平台存储扩容为满足26TB的资源需求，需配置7块8TB7.2KRPMNL-SAS硬盘，可提供27.7TB可用存储空间。</w:t>
      </w:r>
    </w:p>
    <w:p w14:paraId="56D12E8A">
      <w:pPr>
        <w:pStyle w:val="5"/>
        <w:ind w:left="0"/>
        <w:rPr>
          <w:i w:val="0"/>
          <w:iCs w:val="0"/>
          <w:color w:val="auto"/>
          <w:sz w:val="22"/>
          <w:szCs w:val="22"/>
          <w:highlight w:val="none"/>
        </w:rPr>
      </w:pPr>
      <w:bookmarkStart w:id="228" w:name="_Toc25901"/>
      <w:r>
        <w:rPr>
          <w:rFonts w:hint="eastAsia"/>
          <w:i w:val="0"/>
          <w:iCs w:val="0"/>
          <w:color w:val="auto"/>
          <w:sz w:val="22"/>
          <w:szCs w:val="22"/>
          <w:highlight w:val="none"/>
        </w:rPr>
        <w:t>网络资源扩容（</w:t>
      </w:r>
      <w:r>
        <w:rPr>
          <w:rFonts w:hint="eastAsia"/>
          <w:i w:val="0"/>
          <w:iCs w:val="0"/>
          <w:color w:val="auto"/>
          <w:sz w:val="22"/>
          <w:szCs w:val="22"/>
          <w:highlight w:val="none"/>
          <w:lang w:val="en-US"/>
        </w:rPr>
        <w:t>衔接方案</w:t>
      </w:r>
      <w:r>
        <w:rPr>
          <w:rFonts w:hint="eastAsia"/>
          <w:i w:val="0"/>
          <w:iCs w:val="0"/>
          <w:color w:val="auto"/>
          <w:sz w:val="22"/>
          <w:szCs w:val="22"/>
          <w:highlight w:val="none"/>
        </w:rPr>
        <w:t>）</w:t>
      </w:r>
      <w:bookmarkEnd w:id="228"/>
    </w:p>
    <w:p w14:paraId="56D12E8B">
      <w:pPr>
        <w:pStyle w:val="6"/>
        <w:ind w:left="0"/>
        <w:rPr>
          <w:i w:val="0"/>
          <w:iCs w:val="0"/>
          <w:color w:val="auto"/>
          <w:sz w:val="21"/>
          <w:szCs w:val="21"/>
          <w:highlight w:val="none"/>
        </w:rPr>
      </w:pPr>
      <w:r>
        <w:rPr>
          <w:rFonts w:hint="eastAsia"/>
          <w:i w:val="0"/>
          <w:iCs w:val="0"/>
          <w:color w:val="auto"/>
          <w:sz w:val="21"/>
          <w:szCs w:val="21"/>
          <w:highlight w:val="none"/>
        </w:rPr>
        <w:t>网络资源池设计原则</w:t>
      </w:r>
    </w:p>
    <w:p w14:paraId="56D12E8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整体网络资源池扩容物理网络架构将采用核心+接入扁平化网络架构设计，并进行多链路冗余设计和设备间高可靠冗余设计。</w:t>
      </w:r>
    </w:p>
    <w:p w14:paraId="56D12E8D">
      <w:pPr>
        <w:pStyle w:val="7"/>
        <w:rPr>
          <w:rFonts w:hint="eastAsia" w:ascii="Times New Roman" w:hAnsi="Times New Roman"/>
          <w:bCs w:val="0"/>
          <w:i w:val="0"/>
          <w:iCs w:val="0"/>
          <w:color w:val="auto"/>
          <w:sz w:val="21"/>
          <w:szCs w:val="15"/>
          <w:highlight w:val="none"/>
          <w:lang w:val="en-US" w:eastAsia="zh-CN"/>
        </w:rPr>
      </w:pPr>
      <w:r>
        <w:rPr>
          <w:rFonts w:hint="eastAsia" w:ascii="Times New Roman" w:hAnsi="Times New Roman"/>
          <w:bCs w:val="0"/>
          <w:i w:val="0"/>
          <w:iCs w:val="0"/>
          <w:color w:val="auto"/>
          <w:sz w:val="21"/>
          <w:szCs w:val="15"/>
          <w:highlight w:val="none"/>
          <w:lang w:val="en-US" w:eastAsia="zh-CN"/>
        </w:rPr>
        <w:t>本次网络资源池扩容增加设备组成如下：</w:t>
      </w:r>
    </w:p>
    <w:p w14:paraId="56D12E8E">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2台核心交换机，主要用于打通运营期（二期）与建设期（一期）数据中心业务，实现云平台统一运营运维。</w:t>
      </w:r>
    </w:p>
    <w:p w14:paraId="56D12E8F">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2台云平台业务接入交换机，主要用于运营期（二期）虚拟化计算服务器业务数据通信。</w:t>
      </w:r>
    </w:p>
    <w:p w14:paraId="56D12E90">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2台云平台带内接入交换机，主要用于管理运营期（二期）虚拟化计算服务器、裸金属计算服务器、云管理服务器云平台管理网络通信，包含资源调度、云平台高可用策略等网络通信。</w:t>
      </w:r>
    </w:p>
    <w:p w14:paraId="56D12E91">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1台云平台带外接入交换机，主要用于监控运营期（二期）所有硬件设备（服务器、存储、网络）运行情况管理网络通信。</w:t>
      </w:r>
    </w:p>
    <w:p w14:paraId="56D12E92">
      <w:pPr>
        <w:pStyle w:val="7"/>
        <w:rPr>
          <w:rFonts w:hint="eastAsia" w:ascii="Times New Roman" w:hAnsi="Times New Roman"/>
          <w:bCs w:val="0"/>
          <w:i w:val="0"/>
          <w:iCs w:val="0"/>
          <w:color w:val="auto"/>
          <w:sz w:val="21"/>
          <w:szCs w:val="15"/>
          <w:highlight w:val="none"/>
          <w:lang w:val="en-US" w:eastAsia="zh-CN"/>
        </w:rPr>
      </w:pPr>
      <w:r>
        <w:rPr>
          <w:rFonts w:hint="eastAsia" w:ascii="Times New Roman" w:hAnsi="Times New Roman"/>
          <w:bCs w:val="0"/>
          <w:i w:val="0"/>
          <w:iCs w:val="0"/>
          <w:color w:val="auto"/>
          <w:sz w:val="21"/>
          <w:szCs w:val="15"/>
          <w:highlight w:val="none"/>
          <w:lang w:val="en-US" w:eastAsia="zh-CN"/>
        </w:rPr>
        <w:t>建设期（一期）网络带宽使用情况与运营期（二期）新增应用带宽需求：</w:t>
      </w:r>
    </w:p>
    <w:p w14:paraId="56D12E93">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建设期（一期）业务接入网络带宽采用10G接入，10G骨干传输；</w:t>
      </w:r>
    </w:p>
    <w:p w14:paraId="3FB73F75">
      <w:pPr>
        <w:pStyle w:val="142"/>
        <w:ind w:firstLine="420"/>
        <w:rPr>
          <w:rFonts w:hint="eastAsia"/>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运营期（二期）新增应用带宽需求按一期接入与骨干传输方式部署。</w:t>
      </w:r>
    </w:p>
    <w:p w14:paraId="230BC48B">
      <w:pPr>
        <w:pStyle w:val="7"/>
        <w:rPr>
          <w:rFonts w:hint="eastAsia" w:ascii="Times New Roman" w:hAnsi="Times New Roman"/>
          <w:bCs w:val="0"/>
          <w:i w:val="0"/>
          <w:iCs w:val="0"/>
          <w:color w:val="auto"/>
          <w:sz w:val="21"/>
          <w:szCs w:val="15"/>
          <w:highlight w:val="none"/>
          <w:lang w:val="zh-CN"/>
        </w:rPr>
      </w:pPr>
      <w:r>
        <w:rPr>
          <w:rFonts w:hint="eastAsia" w:ascii="Times New Roman" w:hAnsi="Times New Roman"/>
          <w:bCs w:val="0"/>
          <w:i w:val="0"/>
          <w:iCs w:val="0"/>
          <w:color w:val="auto"/>
          <w:sz w:val="21"/>
          <w:szCs w:val="15"/>
          <w:highlight w:val="none"/>
          <w:lang w:val="zh-CN"/>
        </w:rPr>
        <w:t>计算和存储资源池的连接方案，以及应用业务数据上传链路；</w:t>
      </w:r>
    </w:p>
    <w:p w14:paraId="56D12E94">
      <w:pPr>
        <w:pStyle w:val="142"/>
        <w:ind w:firstLine="420"/>
        <w:rPr>
          <w:i w:val="0"/>
          <w:iCs w:val="0"/>
          <w:color w:val="auto"/>
          <w:sz w:val="21"/>
          <w:szCs w:val="15"/>
          <w:highlight w:val="none"/>
        </w:rPr>
      </w:pPr>
      <w:r>
        <w:rPr>
          <w:rFonts w:hint="eastAsia"/>
          <w:i w:val="0"/>
          <w:iCs w:val="0"/>
          <w:color w:val="auto"/>
          <w:sz w:val="21"/>
          <w:szCs w:val="15"/>
          <w:highlight w:val="none"/>
        </w:rPr>
        <w:t>运营期（二期）计算资源池分为虚拟化计算资源池与裸金属计算资源池；</w:t>
      </w:r>
    </w:p>
    <w:p w14:paraId="56D12E95">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虚拟化计算资源池与存储资源池连接方案为虚拟化计算服务器通过2台冗余16GSAN交换机与1台双控16GSAN集中存储连接，通过多条冗余链路组成FCSAN网络，并利用主机多路径技术实现链路高可用方案；</w:t>
      </w:r>
    </w:p>
    <w:p w14:paraId="56D12E96">
      <w:pPr>
        <w:pStyle w:val="142"/>
        <w:ind w:firstLine="420"/>
        <w:rPr>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裸金属计算资源池中存储资源池是通过在裸金属服务器本机部署多块高速SSD介质硬盘提供存储资源，SSD介质采用RAID方式实现磁盘高可用，最终为裸金属服务器提供高性能高可靠存储资源池。</w:t>
      </w:r>
    </w:p>
    <w:p w14:paraId="7951A5E2">
      <w:pPr>
        <w:pStyle w:val="142"/>
        <w:ind w:firstLine="420"/>
        <w:rPr>
          <w:rFonts w:hint="eastAsia"/>
          <w:i w:val="0"/>
          <w:iCs w:val="0"/>
          <w:color w:val="auto"/>
          <w:sz w:val="21"/>
          <w:szCs w:val="15"/>
          <w:highlight w:val="none"/>
        </w:rPr>
      </w:pPr>
      <w:r>
        <w:rPr>
          <w:rFonts w:ascii="Segoe UI Symbol" w:hAnsi="Segoe UI Symbol" w:cs="Segoe UI Symbol"/>
          <w:i w:val="0"/>
          <w:iCs w:val="0"/>
          <w:color w:val="auto"/>
          <w:sz w:val="21"/>
          <w:szCs w:val="15"/>
          <w:highlight w:val="none"/>
        </w:rPr>
        <w:t>➢</w:t>
      </w:r>
      <w:r>
        <w:rPr>
          <w:rFonts w:hint="eastAsia"/>
          <w:i w:val="0"/>
          <w:iCs w:val="0"/>
          <w:color w:val="auto"/>
          <w:sz w:val="21"/>
          <w:szCs w:val="15"/>
          <w:highlight w:val="none"/>
        </w:rPr>
        <w:t>应用业务数据上传链路均通过服务器设备冗余10G网口与业务接入交换机10G组网上传输业务数据。</w:t>
      </w:r>
    </w:p>
    <w:p w14:paraId="56D12E97">
      <w:pPr>
        <w:pStyle w:val="142"/>
        <w:ind w:firstLine="420"/>
        <w:rPr>
          <w:i w:val="0"/>
          <w:iCs w:val="0"/>
          <w:color w:val="auto"/>
          <w:sz w:val="21"/>
          <w:szCs w:val="15"/>
          <w:highlight w:val="none"/>
        </w:rPr>
      </w:pPr>
      <w:r>
        <w:rPr>
          <w:rFonts w:hint="eastAsia"/>
          <w:i w:val="0"/>
          <w:iCs w:val="0"/>
          <w:color w:val="auto"/>
          <w:sz w:val="21"/>
          <w:szCs w:val="15"/>
          <w:highlight w:val="none"/>
        </w:rPr>
        <w:t>考虑到数据中心的高安全性、高扩展能力和可管理性的业务需求，网络架构的总体规划遵循区域化、层次化和模块化的设计理念，实现网络层次更加清楚、功能更加明确，提高承载的业务系统的可扩展性、安全性和可管理能力。网络层次分为基础网络层、网络虚拟化层和网络资源控制层。</w:t>
      </w:r>
    </w:p>
    <w:p w14:paraId="56D12E9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1）基础设施层：由物理设备或虚拟设备构成的基础网络。</w:t>
      </w:r>
    </w:p>
    <w:p w14:paraId="56D12E9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2）网络虚拟化层：实现了物理网络和虚拟网络的解耦，解决了多租户可以按需动态创建和删除网络资源的需求。</w:t>
      </w:r>
    </w:p>
    <w:p w14:paraId="56D12E9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3）网络资源控制层：获取并控制整网的网络资源，形成网络资源池，由管理员按照多租户的需求按需分配和回收。</w:t>
      </w:r>
    </w:p>
    <w:p w14:paraId="56D12E9B">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投标人可根据运营期云资源部署位置、系统部署需求等因素，综合考虑提出网络架构调整方案，所提方案应能保证全系统的实时性、可靠性。</w:t>
      </w:r>
    </w:p>
    <w:p w14:paraId="56D12E9C">
      <w:pPr>
        <w:pStyle w:val="6"/>
        <w:ind w:left="0"/>
        <w:rPr>
          <w:i w:val="0"/>
          <w:iCs w:val="0"/>
          <w:color w:val="auto"/>
          <w:sz w:val="21"/>
          <w:szCs w:val="21"/>
          <w:highlight w:val="none"/>
        </w:rPr>
      </w:pPr>
      <w:r>
        <w:rPr>
          <w:rFonts w:hint="eastAsia"/>
          <w:i w:val="0"/>
          <w:iCs w:val="0"/>
          <w:color w:val="auto"/>
          <w:sz w:val="21"/>
          <w:szCs w:val="21"/>
          <w:highlight w:val="none"/>
        </w:rPr>
        <w:t>物理架构</w:t>
      </w:r>
    </w:p>
    <w:p w14:paraId="56D12E9D">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整个数据中心的物理架构如下图所示。核心交换区与业务接入交换机组建高带宽核心网络，存储资源区通过FC网络与计算资源区互联，管理网络采用1GIP网络，保障业务数据传输与管理。</w:t>
      </w:r>
    </w:p>
    <w:p w14:paraId="56D12E9E">
      <w:pPr>
        <w:pStyle w:val="34"/>
        <w:kinsoku w:val="0"/>
        <w:overflowPunct w:val="0"/>
        <w:spacing w:line="360" w:lineRule="auto"/>
        <w:ind w:right="179"/>
        <w:rPr>
          <w:rFonts w:hint="eastAsia" w:ascii="宋体" w:hAnsi="宋体" w:eastAsia="宋体" w:cs="仿宋"/>
          <w:i w:val="0"/>
          <w:iCs w:val="0"/>
          <w:color w:val="auto"/>
          <w:sz w:val="18"/>
          <w:szCs w:val="18"/>
          <w:highlight w:val="none"/>
        </w:rPr>
      </w:pPr>
      <w:r>
        <w:rPr>
          <w:rFonts w:hint="eastAsia"/>
          <w:i w:val="0"/>
          <w:iCs w:val="0"/>
          <w:color w:val="auto"/>
          <w:sz w:val="21"/>
          <w:szCs w:val="20"/>
          <w:highlight w:val="none"/>
        </w:rPr>
        <w:drawing>
          <wp:inline distT="0" distB="0" distL="0" distR="0">
            <wp:extent cx="5541010" cy="3077845"/>
            <wp:effectExtent l="0" t="0" r="2540" b="8255"/>
            <wp:docPr id="1955152931" name="图片 1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152931" name="图片 18" descr="图示&#10;&#10;AI 生成的内容可能不正确。"/>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541010" cy="3077845"/>
                    </a:xfrm>
                    <a:prstGeom prst="rect">
                      <a:avLst/>
                    </a:prstGeom>
                    <a:noFill/>
                    <a:ln>
                      <a:noFill/>
                    </a:ln>
                  </pic:spPr>
                </pic:pic>
              </a:graphicData>
            </a:graphic>
          </wp:inline>
        </w:drawing>
      </w:r>
    </w:p>
    <w:p w14:paraId="56D12E9F">
      <w:pPr>
        <w:pStyle w:val="142"/>
        <w:ind w:firstLine="420"/>
        <w:jc w:val="center"/>
        <w:rPr>
          <w:rFonts w:hint="eastAsia" w:ascii="宋体" w:hAnsi="宋体" w:eastAsia="宋体" w:cs="仿宋"/>
          <w:i w:val="0"/>
          <w:iCs w:val="0"/>
          <w:color w:val="auto"/>
          <w:sz w:val="16"/>
          <w:szCs w:val="16"/>
          <w:highlight w:val="none"/>
        </w:rPr>
      </w:pPr>
      <w:r>
        <w:rPr>
          <w:rFonts w:hint="eastAsia"/>
          <w:i w:val="0"/>
          <w:iCs w:val="0"/>
          <w:color w:val="auto"/>
          <w:sz w:val="21"/>
          <w:szCs w:val="15"/>
          <w:highlight w:val="none"/>
        </w:rPr>
        <w:t>数据中心物理网络架构图</w:t>
      </w:r>
    </w:p>
    <w:p w14:paraId="56D12EA0">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核心交换区将为数据中心构建核心交换网络，核心交换机与业务接入交换机组建高可靠、高带宽核心网络。每组服务器接入交换机也采用多条10G链路与核心交换机互联，针对服务器侧采用多条10G链路与计算资源区的各种算力资源进行互联，实现业务网的高带宽接入。</w:t>
      </w:r>
    </w:p>
    <w:p w14:paraId="56D12EA1">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存储资源区内部的存储资源将通过16GFC网络与计算资源区的各种算力服务器互联，其中备份存储网络通过10G网络与计算资源池接入交换机连接，用户核心业务数据备份。</w:t>
      </w:r>
    </w:p>
    <w:p w14:paraId="56D12EA2">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云管理网和运维管理网络均采用1GIP网络与服务器侧互联，为实现管理数据的共享。</w:t>
      </w:r>
    </w:p>
    <w:p w14:paraId="56D12EA3">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建设期与运营期数据中心通过OTN传输网络连接，物理网络架构将采用核心+接入扁平化网络架构设计，并进行多链路冗余设计和设备间高可靠冗余设计，保障私有云业务数据的可靠传输，通过统一云管理平台实现全面设备管理，提升运维的便捷性。业务网络依据网络服务对象的类型差异化进行分域设计，实现差异化的网络部署和统一网络服务调度。</w:t>
      </w:r>
    </w:p>
    <w:p w14:paraId="56D12EA4">
      <w:pPr>
        <w:pStyle w:val="6"/>
        <w:ind w:left="0"/>
        <w:rPr>
          <w:i w:val="0"/>
          <w:iCs w:val="0"/>
          <w:color w:val="auto"/>
          <w:sz w:val="21"/>
          <w:szCs w:val="21"/>
          <w:highlight w:val="none"/>
        </w:rPr>
      </w:pPr>
      <w:r>
        <w:rPr>
          <w:rFonts w:hint="eastAsia"/>
          <w:i w:val="0"/>
          <w:iCs w:val="0"/>
          <w:color w:val="auto"/>
          <w:sz w:val="21"/>
          <w:szCs w:val="21"/>
          <w:highlight w:val="none"/>
        </w:rPr>
        <w:t>逻辑架构</w:t>
      </w:r>
    </w:p>
    <w:p w14:paraId="56D12EA5">
      <w:pPr>
        <w:pStyle w:val="142"/>
        <w:ind w:firstLine="420"/>
        <w:jc w:val="center"/>
        <w:rPr>
          <w:i w:val="0"/>
          <w:iCs w:val="0"/>
          <w:color w:val="auto"/>
          <w:sz w:val="21"/>
          <w:szCs w:val="15"/>
          <w:highlight w:val="none"/>
        </w:rPr>
      </w:pPr>
      <w:r>
        <w:rPr>
          <w:rFonts w:hint="eastAsia"/>
          <w:i w:val="0"/>
          <w:iCs w:val="0"/>
          <w:color w:val="auto"/>
          <w:sz w:val="21"/>
          <w:highlight w:val="none"/>
        </w:rPr>
        <w:drawing>
          <wp:anchor distT="0" distB="0" distL="0" distR="0" simplePos="0" relativeHeight="251662336" behindDoc="0" locked="0" layoutInCell="1" allowOverlap="1">
            <wp:simplePos x="0" y="0"/>
            <wp:positionH relativeFrom="column">
              <wp:posOffset>297180</wp:posOffset>
            </wp:positionH>
            <wp:positionV relativeFrom="paragraph">
              <wp:posOffset>152400</wp:posOffset>
            </wp:positionV>
            <wp:extent cx="5302250" cy="2859405"/>
            <wp:effectExtent l="0" t="0" r="1270" b="5715"/>
            <wp:wrapTopAndBottom/>
            <wp:docPr id="683738914" name="图片 19" descr="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38914" name="图片 19" descr="表格&#10;&#10;AI 生成的内容可能不正确。"/>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302250" cy="2859405"/>
                    </a:xfrm>
                    <a:prstGeom prst="rect">
                      <a:avLst/>
                    </a:prstGeom>
                    <a:noFill/>
                    <a:ln>
                      <a:noFill/>
                    </a:ln>
                  </pic:spPr>
                </pic:pic>
              </a:graphicData>
            </a:graphic>
          </wp:anchor>
        </w:drawing>
      </w:r>
      <w:r>
        <w:rPr>
          <w:rFonts w:hint="eastAsia"/>
          <w:i w:val="0"/>
          <w:iCs w:val="0"/>
          <w:color w:val="auto"/>
          <w:sz w:val="21"/>
          <w:szCs w:val="15"/>
          <w:highlight w:val="none"/>
        </w:rPr>
        <w:t>网络资源池逻辑框架图</w:t>
      </w:r>
    </w:p>
    <w:p w14:paraId="56D12EA6">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数据中心的网络建设将进行几大区域的规划，其中核心交换区通过两个数据中心（二控数据中心与黄梨路车辆站数据中心共）OTN设备连接，目前可提供2根10G带宽专用链路，两个数据中心核心交换机均连接对应OTN设备实现互联，所有业务核心网关复用轨道二控建设期核心交换机，打通运营期数据中心业务，实现建设期与运营期统一运营运维管理。</w:t>
      </w:r>
    </w:p>
    <w:p w14:paraId="56D12EA7">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计算资源区承载主数据中心的核心计算力，提供多种类型的算力支撑（虚拟机与裸金属算力）。</w:t>
      </w:r>
    </w:p>
    <w:p w14:paraId="56D12EA8">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存储资源区将作为本数据中心的所有存储数据汇总，包含备份数据存储。</w:t>
      </w:r>
    </w:p>
    <w:p w14:paraId="56D12EA9">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云管理区部署云管理网络，本数据中心部署的管理节点通过云管理网络实现数据中心内的所有池化资源的纳管。</w:t>
      </w:r>
    </w:p>
    <w:p w14:paraId="56D12EAA">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运维管理区将进行运维管理网络的部署，通过该网络将实现本数据中心的带外运维管理。</w:t>
      </w:r>
    </w:p>
    <w:p w14:paraId="56D12EAB">
      <w:pPr>
        <w:pStyle w:val="6"/>
        <w:ind w:left="0"/>
        <w:rPr>
          <w:i w:val="0"/>
          <w:iCs w:val="0"/>
          <w:color w:val="auto"/>
          <w:sz w:val="21"/>
          <w:szCs w:val="21"/>
          <w:highlight w:val="none"/>
        </w:rPr>
      </w:pPr>
      <w:r>
        <w:rPr>
          <w:rFonts w:hint="eastAsia"/>
          <w:i w:val="0"/>
          <w:iCs w:val="0"/>
          <w:color w:val="auto"/>
          <w:sz w:val="21"/>
          <w:szCs w:val="21"/>
          <w:highlight w:val="none"/>
        </w:rPr>
        <w:t>业务网络规划设计</w:t>
      </w:r>
    </w:p>
    <w:p w14:paraId="56D12EAC">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业务网按网络服务对象类型对每个分区差异化分区分域设计，实现差异化网络部署与统一调度。核心交换区的业务骨干网是数据中心网络核心，为业务提供数据处理，核心骨干网采用多条10G链路互联，每个分区服务接入采用多链路10G部署，高速传输时用高可靠性多链路部署保障业务连续访问。业务网可从业务维度划分虚拟网络（VPC），虚拟网络间有互访需求时，依互访策略将数据传至专用通道，实现互联互通。</w:t>
      </w:r>
    </w:p>
    <w:p w14:paraId="56D12EAD">
      <w:pPr>
        <w:pStyle w:val="6"/>
        <w:ind w:left="0"/>
        <w:rPr>
          <w:i w:val="0"/>
          <w:iCs w:val="0"/>
          <w:color w:val="auto"/>
          <w:sz w:val="21"/>
          <w:szCs w:val="21"/>
          <w:highlight w:val="none"/>
        </w:rPr>
      </w:pPr>
      <w:r>
        <w:rPr>
          <w:rFonts w:hint="eastAsia"/>
          <w:i w:val="0"/>
          <w:iCs w:val="0"/>
          <w:color w:val="auto"/>
          <w:sz w:val="21"/>
          <w:szCs w:val="21"/>
          <w:highlight w:val="none"/>
        </w:rPr>
        <w:t>存储网络规划设计</w:t>
      </w:r>
    </w:p>
    <w:p w14:paraId="56D12EAE">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FCSAN网络将采用16FC光纤链路规划设计，也采用链路及设备冗余的方式进行可靠性部署。备份网络采用10GIP网络进行部署，实现备份一体机和业务系统的互联互通，支撑备份功能。</w:t>
      </w:r>
    </w:p>
    <w:p w14:paraId="56D12EAF">
      <w:pPr>
        <w:pStyle w:val="142"/>
        <w:ind w:firstLine="420"/>
        <w:rPr>
          <w:rFonts w:hint="eastAsia"/>
          <w:i w:val="0"/>
          <w:iCs w:val="0"/>
          <w:color w:val="auto"/>
          <w:sz w:val="21"/>
          <w:szCs w:val="15"/>
          <w:highlight w:val="none"/>
          <w:lang w:val="en-US" w:eastAsia="zh-CN"/>
        </w:rPr>
      </w:pPr>
      <w:r>
        <w:rPr>
          <w:rFonts w:hint="eastAsia"/>
          <w:i w:val="0"/>
          <w:iCs w:val="0"/>
          <w:color w:val="auto"/>
          <w:sz w:val="21"/>
          <w:szCs w:val="15"/>
          <w:highlight w:val="none"/>
          <w:lang w:val="en-US" w:eastAsia="zh-CN"/>
        </w:rPr>
        <w:t>本工程云平台扩容平台作为建设期云平台的云节点，部署在黄梨路车辆段，投标人应充分考虑与既有中心衔接方案，针对与建设期工程主干网络衔接，采用破环接入或双环网在中心对接，投标人应进行方案比选。在实施中制定相应措施，以便将</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运营期工程的调试对</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eastAsia="zh-CN"/>
        </w:rPr>
        <w:t>建设期工程的正常运营产生的影响降到最小。涉及到对建设期工程的改造费用包含在总价中，若因投标人因漏报、误报所造成的工程量增加的费用由投标人自行承担。</w:t>
      </w:r>
    </w:p>
    <w:p w14:paraId="56D12EB0">
      <w:pPr>
        <w:pStyle w:val="5"/>
        <w:ind w:left="0"/>
        <w:rPr>
          <w:i w:val="0"/>
          <w:iCs w:val="0"/>
          <w:color w:val="auto"/>
          <w:sz w:val="22"/>
          <w:szCs w:val="22"/>
          <w:highlight w:val="none"/>
        </w:rPr>
      </w:pPr>
      <w:bookmarkStart w:id="229" w:name="_Toc3862"/>
      <w:r>
        <w:rPr>
          <w:rFonts w:hint="eastAsia"/>
          <w:i w:val="0"/>
          <w:iCs w:val="0"/>
          <w:color w:val="auto"/>
          <w:sz w:val="22"/>
          <w:szCs w:val="22"/>
          <w:highlight w:val="none"/>
        </w:rPr>
        <w:t>安全资源扩容</w:t>
      </w:r>
      <w:bookmarkEnd w:id="229"/>
    </w:p>
    <w:p w14:paraId="56D12EB1">
      <w:pPr>
        <w:pStyle w:val="142"/>
        <w:ind w:firstLine="420"/>
        <w:rPr>
          <w:i w:val="0"/>
          <w:iCs w:val="0"/>
          <w:color w:val="auto"/>
          <w:sz w:val="21"/>
          <w:szCs w:val="15"/>
          <w:highlight w:val="none"/>
        </w:rPr>
      </w:pPr>
      <w:r>
        <w:rPr>
          <w:rFonts w:hint="eastAsia"/>
          <w:i w:val="0"/>
          <w:iCs w:val="0"/>
          <w:color w:val="auto"/>
          <w:sz w:val="21"/>
          <w:szCs w:val="15"/>
          <w:highlight w:val="none"/>
        </w:rPr>
        <w:t>根据本项目运营期云平台扩容方案设计，车辆段扩容部分的云平台除了与二控云平台数据中心建立网络通信外，未设置与其他网络环境的通信链路，本期车辆段扩容的云平台所有业务数据流量出口均设置在二控云平台数据中心。通过对现有安全资源的优化配置和管理，</w:t>
      </w:r>
      <w:r>
        <w:rPr>
          <w:rFonts w:hint="eastAsia"/>
          <w:i w:val="0"/>
          <w:iCs w:val="0"/>
          <w:color w:val="auto"/>
          <w:sz w:val="21"/>
          <w:szCs w:val="15"/>
          <w:highlight w:val="none"/>
          <w:lang w:val="en-US"/>
        </w:rPr>
        <w:t>进行安全管理</w:t>
      </w:r>
      <w:r>
        <w:rPr>
          <w:rFonts w:hint="eastAsia"/>
          <w:i w:val="0"/>
          <w:iCs w:val="0"/>
          <w:color w:val="auto"/>
          <w:sz w:val="21"/>
          <w:szCs w:val="15"/>
          <w:highlight w:val="none"/>
        </w:rPr>
        <w:t>提高资源利用率，利旧建设期二控安全资源对整体云平台实现安全管控即可，因此无需新增安全资源。</w:t>
      </w:r>
    </w:p>
    <w:p w14:paraId="56D12EB2">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专题八：</w:t>
      </w:r>
      <w:r>
        <w:rPr>
          <w:rFonts w:hint="eastAsia"/>
          <w:i w:val="0"/>
          <w:iCs w:val="0"/>
          <w:color w:val="auto"/>
          <w:sz w:val="21"/>
          <w:szCs w:val="15"/>
          <w:highlight w:val="none"/>
        </w:rPr>
        <w:t>本工程</w:t>
      </w:r>
      <w:r>
        <w:rPr>
          <w:rFonts w:hint="eastAsia"/>
          <w:i w:val="0"/>
          <w:iCs w:val="0"/>
          <w:color w:val="auto"/>
          <w:sz w:val="21"/>
          <w:szCs w:val="15"/>
          <w:highlight w:val="none"/>
          <w:lang w:val="en-US"/>
        </w:rPr>
        <w:t>云平台扩容平台</w:t>
      </w:r>
      <w:r>
        <w:rPr>
          <w:rFonts w:hint="eastAsia"/>
          <w:i w:val="0"/>
          <w:iCs w:val="0"/>
          <w:color w:val="auto"/>
          <w:sz w:val="21"/>
          <w:szCs w:val="15"/>
          <w:highlight w:val="none"/>
        </w:rPr>
        <w:t>作为</w:t>
      </w:r>
      <w:r>
        <w:rPr>
          <w:rFonts w:hint="eastAsia"/>
          <w:i w:val="0"/>
          <w:iCs w:val="0"/>
          <w:color w:val="auto"/>
          <w:sz w:val="21"/>
          <w:szCs w:val="15"/>
          <w:highlight w:val="none"/>
          <w:lang w:val="en-US"/>
        </w:rPr>
        <w:t>建设期云平台的云节点</w:t>
      </w:r>
      <w:r>
        <w:rPr>
          <w:rFonts w:hint="eastAsia"/>
          <w:i w:val="0"/>
          <w:iCs w:val="0"/>
          <w:color w:val="auto"/>
          <w:sz w:val="21"/>
          <w:szCs w:val="15"/>
          <w:highlight w:val="none"/>
        </w:rPr>
        <w:t>，投标人应</w:t>
      </w:r>
      <w:r>
        <w:rPr>
          <w:rFonts w:hint="eastAsia"/>
          <w:i w:val="0"/>
          <w:iCs w:val="0"/>
          <w:color w:val="auto"/>
          <w:sz w:val="21"/>
          <w:szCs w:val="15"/>
          <w:highlight w:val="none"/>
          <w:lang w:val="en-US"/>
        </w:rPr>
        <w:t>基于既有建设期云平台信息安全资源，</w:t>
      </w:r>
      <w:r>
        <w:rPr>
          <w:rFonts w:hint="eastAsia"/>
          <w:i w:val="0"/>
          <w:iCs w:val="0"/>
          <w:color w:val="auto"/>
          <w:sz w:val="21"/>
          <w:szCs w:val="15"/>
          <w:highlight w:val="none"/>
        </w:rPr>
        <w:t>制定</w:t>
      </w:r>
      <w:r>
        <w:rPr>
          <w:rFonts w:hint="eastAsia"/>
          <w:i w:val="0"/>
          <w:iCs w:val="0"/>
          <w:color w:val="auto"/>
          <w:sz w:val="21"/>
          <w:szCs w:val="15"/>
          <w:highlight w:val="none"/>
          <w:lang w:val="en-US"/>
        </w:rPr>
        <w:t>完善、</w:t>
      </w:r>
      <w:r>
        <w:rPr>
          <w:rFonts w:hint="eastAsia"/>
          <w:i w:val="0"/>
          <w:iCs w:val="0"/>
          <w:color w:val="auto"/>
          <w:sz w:val="21"/>
          <w:szCs w:val="15"/>
          <w:highlight w:val="none"/>
        </w:rPr>
        <w:t>合理的</w:t>
      </w:r>
      <w:r>
        <w:rPr>
          <w:rFonts w:hint="eastAsia"/>
          <w:i w:val="0"/>
          <w:iCs w:val="0"/>
          <w:color w:val="auto"/>
          <w:sz w:val="21"/>
          <w:szCs w:val="15"/>
          <w:highlight w:val="none"/>
          <w:lang w:val="en-US"/>
        </w:rPr>
        <w:t>信息安全</w:t>
      </w:r>
      <w:r>
        <w:rPr>
          <w:rFonts w:hint="eastAsia"/>
          <w:i w:val="0"/>
          <w:iCs w:val="0"/>
          <w:color w:val="auto"/>
          <w:sz w:val="21"/>
          <w:szCs w:val="15"/>
          <w:highlight w:val="none"/>
        </w:rPr>
        <w:t>方案；</w:t>
      </w:r>
      <w:r>
        <w:rPr>
          <w:rFonts w:hint="eastAsia"/>
          <w:i w:val="0"/>
          <w:iCs w:val="0"/>
          <w:color w:val="auto"/>
          <w:sz w:val="21"/>
          <w:szCs w:val="15"/>
          <w:highlight w:val="none"/>
          <w:lang w:val="en-US"/>
        </w:rPr>
        <w:t>实现信息安全三级等保；本招标用户需求书内信息安全设备为基本资源需求，如以上设备功能需求不满足信息安全等级保护三级时，投标人可根据自身产品特点自行配置其他信息安全设备以满足信息安全等级保护三级要求。如有投标人自身信息安全设备的名称、功能等与本次招标文件要求的设备清单及功能参数不能完成对应的，投标人可选用完全满足或优于招标功能的类似信息设备代替，投标人亦可根据不同配置方案合理选择具体设备，以上所涉及到新增加的设备以及清单数量调整等投标人务必提供详细报价清单，相关费用纳入投标总报价，以满足云平台达到信息安全等级保护三级要求。</w:t>
      </w:r>
    </w:p>
    <w:p w14:paraId="56D12EB3">
      <w:pPr>
        <w:pStyle w:val="5"/>
        <w:ind w:left="0"/>
        <w:rPr>
          <w:i w:val="0"/>
          <w:iCs w:val="0"/>
          <w:color w:val="auto"/>
          <w:sz w:val="22"/>
          <w:szCs w:val="22"/>
          <w:highlight w:val="none"/>
          <w:lang w:val="en-US"/>
        </w:rPr>
      </w:pPr>
      <w:bookmarkStart w:id="230" w:name="_Toc5614"/>
      <w:r>
        <w:rPr>
          <w:rFonts w:hint="eastAsia"/>
          <w:i w:val="0"/>
          <w:iCs w:val="0"/>
          <w:color w:val="auto"/>
          <w:sz w:val="22"/>
          <w:szCs w:val="22"/>
          <w:highlight w:val="none"/>
          <w:lang w:val="en-US"/>
        </w:rPr>
        <w:t>云管资源</w:t>
      </w:r>
      <w:bookmarkEnd w:id="230"/>
    </w:p>
    <w:p w14:paraId="56D12EB4">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运营期云平台接入建设期云平台，利旧建设期云管设备，接受建设期云平台管理系统的统一管理</w:t>
      </w:r>
      <w:r>
        <w:rPr>
          <w:rFonts w:hint="eastAsia"/>
          <w:i w:val="0"/>
          <w:iCs w:val="0"/>
          <w:color w:val="auto"/>
          <w:sz w:val="21"/>
          <w:szCs w:val="15"/>
          <w:highlight w:val="none"/>
        </w:rPr>
        <w:t>，因此无需新增</w:t>
      </w:r>
      <w:r>
        <w:rPr>
          <w:rFonts w:hint="eastAsia"/>
          <w:i w:val="0"/>
          <w:iCs w:val="0"/>
          <w:color w:val="auto"/>
          <w:sz w:val="21"/>
          <w:szCs w:val="15"/>
          <w:highlight w:val="none"/>
          <w:lang w:val="en-US"/>
        </w:rPr>
        <w:t>云管</w:t>
      </w:r>
      <w:r>
        <w:rPr>
          <w:rFonts w:hint="eastAsia"/>
          <w:i w:val="0"/>
          <w:iCs w:val="0"/>
          <w:color w:val="auto"/>
          <w:sz w:val="21"/>
          <w:szCs w:val="15"/>
          <w:highlight w:val="none"/>
        </w:rPr>
        <w:t>资源。</w:t>
      </w:r>
      <w:r>
        <w:rPr>
          <w:rFonts w:hint="eastAsia"/>
          <w:i w:val="0"/>
          <w:iCs w:val="0"/>
          <w:color w:val="auto"/>
          <w:sz w:val="21"/>
          <w:szCs w:val="15"/>
          <w:highlight w:val="none"/>
          <w:lang w:val="en-US"/>
        </w:rPr>
        <w:t>投标人应充分调研建设期云平台云管方案，并充分利用</w:t>
      </w:r>
      <w:r>
        <w:rPr>
          <w:rFonts w:hint="eastAsia"/>
          <w:i w:val="0"/>
          <w:iCs w:val="0"/>
          <w:color w:val="auto"/>
          <w:sz w:val="21"/>
          <w:szCs w:val="15"/>
          <w:highlight w:val="none"/>
          <w:lang w:val="en-US" w:eastAsia="zh-CN"/>
        </w:rPr>
        <w:t>既有</w:t>
      </w:r>
      <w:r>
        <w:rPr>
          <w:rFonts w:hint="eastAsia"/>
          <w:i w:val="0"/>
          <w:iCs w:val="0"/>
          <w:color w:val="auto"/>
          <w:sz w:val="21"/>
          <w:szCs w:val="15"/>
          <w:highlight w:val="none"/>
          <w:lang w:val="en-US"/>
        </w:rPr>
        <w:t>云管资源，若提出其它方案，相关费用应包含在投标报价中，并在设计联络阶段获取甲方认可后方能实施。</w:t>
      </w:r>
    </w:p>
    <w:p w14:paraId="56D12EB5">
      <w:pPr>
        <w:pStyle w:val="5"/>
        <w:ind w:left="0"/>
        <w:rPr>
          <w:i w:val="0"/>
          <w:iCs w:val="0"/>
          <w:color w:val="auto"/>
          <w:sz w:val="22"/>
          <w:szCs w:val="22"/>
          <w:highlight w:val="none"/>
          <w:lang w:val="en-US"/>
        </w:rPr>
      </w:pPr>
      <w:bookmarkStart w:id="231" w:name="_Toc24024"/>
      <w:r>
        <w:rPr>
          <w:rFonts w:hint="eastAsia"/>
          <w:i w:val="0"/>
          <w:iCs w:val="0"/>
          <w:color w:val="auto"/>
          <w:sz w:val="22"/>
          <w:szCs w:val="22"/>
          <w:highlight w:val="none"/>
          <w:lang w:val="en-US"/>
        </w:rPr>
        <w:t>供电与接地</w:t>
      </w:r>
      <w:bookmarkEnd w:id="231"/>
    </w:p>
    <w:p w14:paraId="56D12EB6">
      <w:pPr>
        <w:pStyle w:val="142"/>
        <w:ind w:firstLine="420"/>
        <w:rPr>
          <w:i w:val="0"/>
          <w:iCs w:val="0"/>
          <w:color w:val="auto"/>
          <w:sz w:val="21"/>
          <w:szCs w:val="15"/>
          <w:highlight w:val="none"/>
        </w:rPr>
      </w:pPr>
      <w:r>
        <w:rPr>
          <w:i w:val="0"/>
          <w:iCs w:val="0"/>
          <w:color w:val="auto"/>
          <w:sz w:val="21"/>
          <w:szCs w:val="15"/>
          <w:highlight w:val="none"/>
        </w:rPr>
        <w:t>云平台电源为一级负荷，消防电源，需设置不间断电源UPS，运营期</w:t>
      </w:r>
      <w:r>
        <w:rPr>
          <w:rFonts w:hint="eastAsia"/>
          <w:i w:val="0"/>
          <w:iCs w:val="0"/>
          <w:color w:val="auto"/>
          <w:sz w:val="21"/>
          <w:szCs w:val="15"/>
          <w:highlight w:val="none"/>
        </w:rPr>
        <w:t>生产云</w:t>
      </w:r>
      <w:r>
        <w:rPr>
          <w:i w:val="0"/>
          <w:iCs w:val="0"/>
          <w:color w:val="auto"/>
          <w:sz w:val="21"/>
          <w:szCs w:val="15"/>
          <w:highlight w:val="none"/>
        </w:rPr>
        <w:t>新增计算资源需求满载功率约</w:t>
      </w:r>
      <w:r>
        <w:rPr>
          <w:rFonts w:hint="eastAsia"/>
          <w:i w:val="0"/>
          <w:iCs w:val="0"/>
          <w:color w:val="auto"/>
          <w:sz w:val="21"/>
          <w:szCs w:val="15"/>
          <w:highlight w:val="none"/>
        </w:rPr>
        <w:t>6.74</w:t>
      </w:r>
      <w:r>
        <w:rPr>
          <w:i w:val="0"/>
          <w:iCs w:val="0"/>
          <w:color w:val="auto"/>
          <w:sz w:val="21"/>
          <w:szCs w:val="15"/>
          <w:highlight w:val="none"/>
        </w:rPr>
        <w:t>KW，以后备电源供电时间为1小时；输出功率因数0.8计算，建议利用建设期既有</w:t>
      </w:r>
      <w:r>
        <w:rPr>
          <w:rFonts w:hint="eastAsia"/>
          <w:i w:val="0"/>
          <w:iCs w:val="0"/>
          <w:color w:val="auto"/>
          <w:sz w:val="21"/>
          <w:szCs w:val="15"/>
          <w:highlight w:val="none"/>
          <w:lang w:val="en-US"/>
        </w:rPr>
        <w:t>10</w:t>
      </w:r>
      <w:r>
        <w:rPr>
          <w:i w:val="0"/>
          <w:iCs w:val="0"/>
          <w:color w:val="auto"/>
          <w:sz w:val="21"/>
          <w:szCs w:val="15"/>
          <w:highlight w:val="none"/>
        </w:rPr>
        <w:t>KVAUPS即可</w:t>
      </w:r>
      <w:r>
        <w:rPr>
          <w:rFonts w:hint="eastAsia"/>
          <w:i w:val="0"/>
          <w:iCs w:val="0"/>
          <w:color w:val="auto"/>
          <w:sz w:val="21"/>
          <w:szCs w:val="15"/>
          <w:highlight w:val="none"/>
        </w:rPr>
        <w:t>，配电柜利旧。</w:t>
      </w:r>
    </w:p>
    <w:p w14:paraId="56D12EB7">
      <w:pPr>
        <w:pStyle w:val="142"/>
        <w:ind w:firstLine="420"/>
        <w:rPr>
          <w:i w:val="0"/>
          <w:iCs w:val="0"/>
          <w:color w:val="auto"/>
          <w:sz w:val="21"/>
          <w:szCs w:val="15"/>
          <w:highlight w:val="none"/>
        </w:rPr>
      </w:pPr>
      <w:r>
        <w:rPr>
          <w:rFonts w:hint="eastAsia"/>
          <w:i w:val="0"/>
          <w:iCs w:val="0"/>
          <w:color w:val="auto"/>
          <w:sz w:val="21"/>
          <w:szCs w:val="15"/>
          <w:highlight w:val="none"/>
        </w:rPr>
        <w:t>系统接地采用综合接地方式，接地电阻不大于1欧姆。低压配电专业设置弱电接地端子箱，预留独立的接地端子。</w:t>
      </w:r>
    </w:p>
    <w:p w14:paraId="56D12EB8">
      <w:pPr>
        <w:pStyle w:val="4"/>
        <w:rPr>
          <w:i w:val="0"/>
          <w:iCs w:val="0"/>
          <w:color w:val="auto"/>
          <w:sz w:val="24"/>
          <w:szCs w:val="21"/>
          <w:highlight w:val="none"/>
        </w:rPr>
      </w:pPr>
      <w:bookmarkStart w:id="232" w:name="_Toc29237"/>
      <w:r>
        <w:rPr>
          <w:rFonts w:hint="eastAsia"/>
          <w:i w:val="0"/>
          <w:iCs w:val="0"/>
          <w:color w:val="auto"/>
          <w:sz w:val="24"/>
          <w:szCs w:val="21"/>
          <w:highlight w:val="none"/>
        </w:rPr>
        <w:t>GBIM管理网云内应用迁移方案</w:t>
      </w:r>
      <w:bookmarkEnd w:id="232"/>
    </w:p>
    <w:p w14:paraId="56D12EB9">
      <w:pPr>
        <w:pStyle w:val="142"/>
        <w:ind w:firstLine="420"/>
        <w:rPr>
          <w:i w:val="0"/>
          <w:iCs w:val="0"/>
          <w:color w:val="auto"/>
          <w:sz w:val="21"/>
          <w:szCs w:val="15"/>
          <w:highlight w:val="none"/>
        </w:rPr>
      </w:pPr>
      <w:r>
        <w:rPr>
          <w:rFonts w:hint="eastAsia"/>
          <w:i w:val="0"/>
          <w:iCs w:val="0"/>
          <w:color w:val="auto"/>
          <w:sz w:val="21"/>
          <w:szCs w:val="15"/>
          <w:highlight w:val="none"/>
        </w:rPr>
        <w:t>随着业务发展及对数据安全、可控性要求的提升，将GBIM系统从公有云迁移至私有云具有重要意义。通过构建私有云环境，可增强数据安全性，实现对云资源的自主掌控，满足特定业务场景下对性能、合规性的需求。</w:t>
      </w:r>
    </w:p>
    <w:p w14:paraId="56D12EBA">
      <w:pPr>
        <w:pStyle w:val="142"/>
        <w:ind w:firstLine="420"/>
        <w:rPr>
          <w:i w:val="0"/>
          <w:iCs w:val="0"/>
          <w:color w:val="auto"/>
          <w:sz w:val="21"/>
          <w:szCs w:val="15"/>
          <w:highlight w:val="none"/>
        </w:rPr>
      </w:pPr>
      <w:r>
        <w:rPr>
          <w:rFonts w:hint="eastAsia"/>
          <w:i w:val="0"/>
          <w:iCs w:val="0"/>
          <w:color w:val="auto"/>
          <w:sz w:val="21"/>
          <w:szCs w:val="15"/>
          <w:highlight w:val="none"/>
          <w:lang w:val="en-US"/>
        </w:rPr>
        <w:t>长沙穗城轨道交通</w:t>
      </w:r>
      <w:r>
        <w:rPr>
          <w:rFonts w:hint="eastAsia"/>
          <w:i w:val="0"/>
          <w:iCs w:val="0"/>
          <w:color w:val="auto"/>
          <w:sz w:val="21"/>
          <w:szCs w:val="15"/>
          <w:highlight w:val="none"/>
          <w:lang w:val="en-US" w:eastAsia="zh-CN"/>
        </w:rPr>
        <w:t>有限公司</w:t>
      </w:r>
      <w:r>
        <w:rPr>
          <w:rFonts w:hint="eastAsia"/>
          <w:i w:val="0"/>
          <w:iCs w:val="0"/>
          <w:color w:val="auto"/>
          <w:sz w:val="21"/>
          <w:szCs w:val="15"/>
          <w:highlight w:val="none"/>
        </w:rPr>
        <w:t>管理网采用云计算及虚拟化技术，对硬件资源进行“池化”，统一建设各类资源池，消除资源物理边界，提升资源利用率。根据不同业务种类、不同应用模式、不同业务量、不同时间响应要求和不同访问高峰时段等要素，科学合理配置运行资源，实现资源动态调度、弹性伸缩、按需分配、有效利用；同时，保证应用系统在不中断的情况下进行升级、切换或者迁移，应用负载在不同的计算资源之间进行转移。</w:t>
      </w:r>
    </w:p>
    <w:p w14:paraId="56D12EBB">
      <w:pPr>
        <w:pStyle w:val="5"/>
        <w:ind w:left="0"/>
        <w:rPr>
          <w:i w:val="0"/>
          <w:iCs w:val="0"/>
          <w:color w:val="auto"/>
          <w:sz w:val="22"/>
          <w:szCs w:val="22"/>
          <w:highlight w:val="none"/>
        </w:rPr>
      </w:pPr>
      <w:bookmarkStart w:id="233" w:name="_Toc11389"/>
      <w:r>
        <w:rPr>
          <w:rFonts w:hint="eastAsia"/>
          <w:i w:val="0"/>
          <w:iCs w:val="0"/>
          <w:color w:val="auto"/>
          <w:sz w:val="22"/>
          <w:szCs w:val="22"/>
          <w:highlight w:val="none"/>
        </w:rPr>
        <w:t>迁移目标</w:t>
      </w:r>
      <w:bookmarkEnd w:id="233"/>
    </w:p>
    <w:p w14:paraId="56D12EBC">
      <w:pPr>
        <w:pStyle w:val="142"/>
        <w:ind w:firstLine="420"/>
        <w:rPr>
          <w:i w:val="0"/>
          <w:iCs w:val="0"/>
          <w:color w:val="auto"/>
          <w:sz w:val="21"/>
          <w:szCs w:val="15"/>
          <w:highlight w:val="none"/>
        </w:rPr>
      </w:pPr>
      <w:r>
        <w:rPr>
          <w:rFonts w:hint="eastAsia"/>
          <w:i w:val="0"/>
          <w:iCs w:val="0"/>
          <w:color w:val="auto"/>
          <w:sz w:val="21"/>
          <w:szCs w:val="15"/>
          <w:highlight w:val="none"/>
        </w:rPr>
        <w:t>将GBIM系统从公有云迁移至私有云，保证系统在新环境下稳定运行，各项功能正常使用。</w:t>
      </w:r>
      <w:r>
        <w:rPr>
          <w:i w:val="0"/>
          <w:iCs w:val="0"/>
          <w:color w:val="auto"/>
          <w:sz w:val="21"/>
          <w:szCs w:val="15"/>
          <w:highlight w:val="none"/>
        </w:rPr>
        <w:t>满足云资源需求，根据业务增长可适当预留扩展空间。构建完善的信息安全体系，包括防火墙、日志管理、堡垒机、态势感知等，保障系统及数据安全。迁移过程中尽量减少业务中断时间，降低对日常业务运营的影响。</w:t>
      </w:r>
    </w:p>
    <w:p w14:paraId="56D12EBD">
      <w:pPr>
        <w:pStyle w:val="5"/>
        <w:ind w:left="0"/>
        <w:rPr>
          <w:i w:val="0"/>
          <w:iCs w:val="0"/>
          <w:color w:val="auto"/>
          <w:sz w:val="22"/>
          <w:szCs w:val="22"/>
          <w:highlight w:val="none"/>
        </w:rPr>
      </w:pPr>
      <w:bookmarkStart w:id="234" w:name="_Toc9338"/>
      <w:r>
        <w:rPr>
          <w:rFonts w:hint="eastAsia"/>
          <w:i w:val="0"/>
          <w:iCs w:val="0"/>
          <w:color w:val="auto"/>
          <w:sz w:val="22"/>
          <w:szCs w:val="22"/>
          <w:highlight w:val="none"/>
        </w:rPr>
        <w:t>管理网业务对云平台的资源需求</w:t>
      </w:r>
      <w:bookmarkEnd w:id="234"/>
    </w:p>
    <w:p w14:paraId="56D12EBE">
      <w:pPr>
        <w:pStyle w:val="142"/>
        <w:ind w:firstLine="420"/>
        <w:rPr>
          <w:i w:val="0"/>
          <w:iCs w:val="0"/>
          <w:color w:val="auto"/>
          <w:sz w:val="21"/>
          <w:szCs w:val="15"/>
          <w:highlight w:val="none"/>
        </w:rPr>
      </w:pPr>
      <w:r>
        <w:rPr>
          <w:rFonts w:hint="eastAsia"/>
          <w:i w:val="0"/>
          <w:iCs w:val="0"/>
          <w:color w:val="auto"/>
          <w:sz w:val="21"/>
          <w:szCs w:val="15"/>
          <w:highlight w:val="none"/>
          <w:lang w:val="en-US"/>
        </w:rPr>
        <w:t>管理网</w:t>
      </w:r>
      <w:r>
        <w:rPr>
          <w:rFonts w:hint="eastAsia"/>
          <w:i w:val="0"/>
          <w:iCs w:val="0"/>
          <w:color w:val="auto"/>
          <w:sz w:val="21"/>
          <w:szCs w:val="15"/>
          <w:highlight w:val="none"/>
        </w:rPr>
        <w:t>云平台资源规划服务范围为满足长沙市轨道交通6号线管理网业务应用的基础资源云计算服务，包括云学习系统、设备运维监管系统、维修维护系统、BIM平台等各业务应用；相应资源需求如下表所述。</w:t>
      </w:r>
    </w:p>
    <w:tbl>
      <w:tblPr>
        <w:tblStyle w:val="88"/>
        <w:tblW w:w="0" w:type="auto"/>
        <w:jc w:val="center"/>
        <w:tblLayout w:type="fixed"/>
        <w:tblCellMar>
          <w:top w:w="0" w:type="dxa"/>
          <w:left w:w="108" w:type="dxa"/>
          <w:bottom w:w="0" w:type="dxa"/>
          <w:right w:w="108" w:type="dxa"/>
        </w:tblCellMar>
      </w:tblPr>
      <w:tblGrid>
        <w:gridCol w:w="1083"/>
        <w:gridCol w:w="1366"/>
        <w:gridCol w:w="1041"/>
        <w:gridCol w:w="612"/>
        <w:gridCol w:w="865"/>
        <w:gridCol w:w="951"/>
        <w:gridCol w:w="1339"/>
      </w:tblGrid>
      <w:tr w14:paraId="56D12EC6">
        <w:tblPrEx>
          <w:tblCellMar>
            <w:top w:w="0" w:type="dxa"/>
            <w:left w:w="108" w:type="dxa"/>
            <w:bottom w:w="0" w:type="dxa"/>
            <w:right w:w="108" w:type="dxa"/>
          </w:tblCellMar>
        </w:tblPrEx>
        <w:trPr>
          <w:trHeight w:val="90" w:hRule="atLeast"/>
          <w:jc w:val="center"/>
        </w:trPr>
        <w:tc>
          <w:tcPr>
            <w:tcW w:w="1083" w:type="dxa"/>
            <w:tcBorders>
              <w:top w:val="single" w:color="000000" w:sz="4" w:space="0"/>
              <w:left w:val="single" w:color="000000" w:sz="4" w:space="0"/>
              <w:bottom w:val="single" w:color="000000" w:sz="4" w:space="0"/>
              <w:right w:val="single" w:color="000000" w:sz="4" w:space="0"/>
            </w:tcBorders>
            <w:vAlign w:val="center"/>
          </w:tcPr>
          <w:p w14:paraId="56D12EBF">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应用名称</w:t>
            </w:r>
          </w:p>
        </w:tc>
        <w:tc>
          <w:tcPr>
            <w:tcW w:w="1366" w:type="dxa"/>
            <w:tcBorders>
              <w:top w:val="single" w:color="000000" w:sz="4" w:space="0"/>
              <w:left w:val="nil"/>
              <w:bottom w:val="single" w:color="000000" w:sz="4" w:space="0"/>
              <w:right w:val="single" w:color="000000" w:sz="4" w:space="0"/>
            </w:tcBorders>
            <w:vAlign w:val="center"/>
          </w:tcPr>
          <w:p w14:paraId="56D12EC0">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业务子项</w:t>
            </w:r>
          </w:p>
        </w:tc>
        <w:tc>
          <w:tcPr>
            <w:tcW w:w="1041" w:type="dxa"/>
            <w:tcBorders>
              <w:top w:val="single" w:color="000000" w:sz="4" w:space="0"/>
              <w:left w:val="nil"/>
              <w:bottom w:val="single" w:color="000000" w:sz="4" w:space="0"/>
              <w:right w:val="single" w:color="000000" w:sz="4" w:space="0"/>
            </w:tcBorders>
            <w:vAlign w:val="center"/>
          </w:tcPr>
          <w:p w14:paraId="56D12EC1">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数量（台）</w:t>
            </w:r>
          </w:p>
        </w:tc>
        <w:tc>
          <w:tcPr>
            <w:tcW w:w="612" w:type="dxa"/>
            <w:tcBorders>
              <w:top w:val="single" w:color="000000" w:sz="4" w:space="0"/>
              <w:left w:val="nil"/>
              <w:bottom w:val="single" w:color="000000" w:sz="4" w:space="0"/>
              <w:right w:val="single" w:color="000000" w:sz="4" w:space="0"/>
            </w:tcBorders>
            <w:vAlign w:val="center"/>
          </w:tcPr>
          <w:p w14:paraId="56D12EC2">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vCPU</w:t>
            </w:r>
          </w:p>
        </w:tc>
        <w:tc>
          <w:tcPr>
            <w:tcW w:w="865" w:type="dxa"/>
            <w:tcBorders>
              <w:top w:val="single" w:color="000000" w:sz="4" w:space="0"/>
              <w:left w:val="nil"/>
              <w:bottom w:val="single" w:color="000000" w:sz="4" w:space="0"/>
              <w:right w:val="single" w:color="000000" w:sz="4" w:space="0"/>
            </w:tcBorders>
            <w:vAlign w:val="center"/>
          </w:tcPr>
          <w:p w14:paraId="56D12EC3">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内存(G)</w:t>
            </w:r>
          </w:p>
        </w:tc>
        <w:tc>
          <w:tcPr>
            <w:tcW w:w="951" w:type="dxa"/>
            <w:tcBorders>
              <w:top w:val="single" w:color="000000" w:sz="4" w:space="0"/>
              <w:left w:val="nil"/>
              <w:bottom w:val="single" w:color="000000" w:sz="4" w:space="0"/>
              <w:right w:val="single" w:color="000000" w:sz="4" w:space="0"/>
            </w:tcBorders>
            <w:vAlign w:val="center"/>
          </w:tcPr>
          <w:p w14:paraId="56D12EC4">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SSD（G）</w:t>
            </w:r>
          </w:p>
        </w:tc>
        <w:tc>
          <w:tcPr>
            <w:tcW w:w="1339" w:type="dxa"/>
            <w:tcBorders>
              <w:top w:val="single" w:color="000000" w:sz="4" w:space="0"/>
              <w:left w:val="nil"/>
              <w:bottom w:val="single" w:color="000000" w:sz="4" w:space="0"/>
              <w:right w:val="single" w:color="000000" w:sz="4" w:space="0"/>
            </w:tcBorders>
            <w:vAlign w:val="center"/>
          </w:tcPr>
          <w:p w14:paraId="56D12EC5">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其他</w:t>
            </w:r>
          </w:p>
        </w:tc>
      </w:tr>
      <w:tr w14:paraId="56D12ECF">
        <w:tblPrEx>
          <w:tblCellMar>
            <w:top w:w="0" w:type="dxa"/>
            <w:left w:w="108" w:type="dxa"/>
            <w:bottom w:w="0" w:type="dxa"/>
            <w:right w:w="108" w:type="dxa"/>
          </w:tblCellMar>
        </w:tblPrEx>
        <w:trPr>
          <w:trHeight w:val="530" w:hRule="atLeast"/>
          <w:jc w:val="center"/>
        </w:trPr>
        <w:tc>
          <w:tcPr>
            <w:tcW w:w="1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EC7">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维修人员管理系统</w:t>
            </w: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EC8">
            <w:pPr>
              <w:pStyle w:val="542"/>
              <w:kinsoku w:val="0"/>
              <w:overflowPunct w:val="0"/>
              <w:jc w:val="center"/>
              <w:rPr>
                <w:rFonts w:hint="eastAsia" w:ascii="仿宋" w:hAnsi="仿宋" w:eastAsia="仿宋" w:cs="Times New Roman"/>
                <w:i w:val="0"/>
                <w:iCs w:val="0"/>
                <w:color w:val="auto"/>
                <w:sz w:val="18"/>
                <w:szCs w:val="18"/>
                <w:highlight w:val="none"/>
              </w:rPr>
            </w:pP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EC9">
            <w:pPr>
              <w:pStyle w:val="542"/>
              <w:kinsoku w:val="0"/>
              <w:overflowPunct w:val="0"/>
              <w:jc w:val="center"/>
              <w:rPr>
                <w:rFonts w:hint="eastAsia" w:ascii="仿宋" w:hAnsi="仿宋" w:eastAsia="仿宋" w:cs="Times New Roman"/>
                <w:i w:val="0"/>
                <w:iCs w:val="0"/>
                <w:color w:val="auto"/>
                <w:sz w:val="18"/>
                <w:szCs w:val="18"/>
                <w:highlight w:val="none"/>
              </w:rPr>
            </w:pPr>
          </w:p>
          <w:p w14:paraId="56D12ECA">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CB">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64</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CC">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512</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ECD">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2000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CE">
            <w:pPr>
              <w:pStyle w:val="542"/>
              <w:kinsoku w:val="0"/>
              <w:overflowPunct w:val="0"/>
              <w:jc w:val="center"/>
              <w:rPr>
                <w:rFonts w:hint="eastAsia" w:ascii="仿宋" w:hAnsi="仿宋" w:eastAsia="仿宋" w:cs="Times New Roman"/>
                <w:i w:val="0"/>
                <w:iCs w:val="0"/>
                <w:color w:val="auto"/>
                <w:sz w:val="18"/>
                <w:szCs w:val="18"/>
                <w:highlight w:val="none"/>
              </w:rPr>
            </w:pPr>
          </w:p>
        </w:tc>
      </w:tr>
      <w:tr w14:paraId="56D12ED7">
        <w:tblPrEx>
          <w:tblCellMar>
            <w:top w:w="0" w:type="dxa"/>
            <w:left w:w="108" w:type="dxa"/>
            <w:bottom w:w="0" w:type="dxa"/>
            <w:right w:w="108" w:type="dxa"/>
          </w:tblCellMar>
        </w:tblPrEx>
        <w:trPr>
          <w:trHeight w:val="530" w:hRule="atLeast"/>
          <w:jc w:val="center"/>
        </w:trPr>
        <w:tc>
          <w:tcPr>
            <w:tcW w:w="1083" w:type="dxa"/>
            <w:vMerge w:val="restart"/>
            <w:tcBorders>
              <w:top w:val="single" w:color="000000" w:sz="4" w:space="0"/>
              <w:left w:val="single" w:color="000000" w:sz="4" w:space="0"/>
              <w:right w:val="single" w:color="000000" w:sz="4" w:space="0"/>
            </w:tcBorders>
            <w:shd w:val="clear" w:color="auto" w:fill="auto"/>
            <w:vAlign w:val="center"/>
          </w:tcPr>
          <w:p w14:paraId="56D12ED0">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信息安全</w:t>
            </w: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ED1">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WAF</w:t>
            </w: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ED2">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D3">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8</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D4">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ED5">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D6">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云化部署</w:t>
            </w:r>
          </w:p>
        </w:tc>
      </w:tr>
      <w:tr w14:paraId="56D12EDF">
        <w:tblPrEx>
          <w:tblCellMar>
            <w:top w:w="0" w:type="dxa"/>
            <w:left w:w="108" w:type="dxa"/>
            <w:bottom w:w="0" w:type="dxa"/>
            <w:right w:w="108" w:type="dxa"/>
          </w:tblCellMar>
        </w:tblPrEx>
        <w:trPr>
          <w:trHeight w:val="530" w:hRule="atLeast"/>
          <w:jc w:val="center"/>
        </w:trPr>
        <w:tc>
          <w:tcPr>
            <w:tcW w:w="1083" w:type="dxa"/>
            <w:vMerge w:val="continue"/>
            <w:tcBorders>
              <w:left w:val="single" w:color="000000" w:sz="4" w:space="0"/>
              <w:right w:val="single" w:color="000000" w:sz="4" w:space="0"/>
            </w:tcBorders>
            <w:shd w:val="clear" w:color="auto" w:fill="auto"/>
            <w:vAlign w:val="center"/>
          </w:tcPr>
          <w:p w14:paraId="56D12ED8">
            <w:pPr>
              <w:pStyle w:val="542"/>
              <w:kinsoku w:val="0"/>
              <w:overflowPunct w:val="0"/>
              <w:jc w:val="center"/>
              <w:rPr>
                <w:rFonts w:hint="eastAsia" w:ascii="仿宋" w:hAnsi="仿宋" w:eastAsia="仿宋" w:cs="Times New Roman"/>
                <w:i w:val="0"/>
                <w:iCs w:val="0"/>
                <w:color w:val="auto"/>
                <w:sz w:val="18"/>
                <w:szCs w:val="18"/>
                <w:highlight w:val="none"/>
              </w:rPr>
            </w:pP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ED9">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日志审计</w:t>
            </w: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EDA">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DB">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DC">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EDD">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4000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DE">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云化部署</w:t>
            </w:r>
          </w:p>
        </w:tc>
      </w:tr>
      <w:tr w14:paraId="56D12EE7">
        <w:tblPrEx>
          <w:tblCellMar>
            <w:top w:w="0" w:type="dxa"/>
            <w:left w:w="108" w:type="dxa"/>
            <w:bottom w:w="0" w:type="dxa"/>
            <w:right w:w="108" w:type="dxa"/>
          </w:tblCellMar>
        </w:tblPrEx>
        <w:trPr>
          <w:trHeight w:val="530" w:hRule="atLeast"/>
          <w:jc w:val="center"/>
        </w:trPr>
        <w:tc>
          <w:tcPr>
            <w:tcW w:w="1083" w:type="dxa"/>
            <w:vMerge w:val="continue"/>
            <w:tcBorders>
              <w:left w:val="single" w:color="000000" w:sz="4" w:space="0"/>
              <w:right w:val="single" w:color="000000" w:sz="4" w:space="0"/>
            </w:tcBorders>
            <w:shd w:val="clear" w:color="auto" w:fill="auto"/>
            <w:vAlign w:val="center"/>
          </w:tcPr>
          <w:p w14:paraId="56D12EE0">
            <w:pPr>
              <w:pStyle w:val="542"/>
              <w:kinsoku w:val="0"/>
              <w:overflowPunct w:val="0"/>
              <w:jc w:val="center"/>
              <w:rPr>
                <w:rFonts w:hint="eastAsia" w:ascii="仿宋" w:hAnsi="仿宋" w:eastAsia="仿宋" w:cs="Times New Roman"/>
                <w:i w:val="0"/>
                <w:iCs w:val="0"/>
                <w:color w:val="auto"/>
                <w:sz w:val="18"/>
                <w:szCs w:val="18"/>
                <w:highlight w:val="none"/>
              </w:rPr>
            </w:pP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EE1">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数据库审计</w:t>
            </w: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EE2">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E3">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E4">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EE5">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4000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E6">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云化部署</w:t>
            </w:r>
          </w:p>
        </w:tc>
      </w:tr>
      <w:tr w14:paraId="56D12EEF">
        <w:tblPrEx>
          <w:tblCellMar>
            <w:top w:w="0" w:type="dxa"/>
            <w:left w:w="108" w:type="dxa"/>
            <w:bottom w:w="0" w:type="dxa"/>
            <w:right w:w="108" w:type="dxa"/>
          </w:tblCellMar>
        </w:tblPrEx>
        <w:trPr>
          <w:trHeight w:val="530" w:hRule="atLeast"/>
          <w:jc w:val="center"/>
        </w:trPr>
        <w:tc>
          <w:tcPr>
            <w:tcW w:w="1083" w:type="dxa"/>
            <w:vMerge w:val="continue"/>
            <w:tcBorders>
              <w:left w:val="single" w:color="000000" w:sz="4" w:space="0"/>
              <w:right w:val="single" w:color="000000" w:sz="4" w:space="0"/>
            </w:tcBorders>
            <w:shd w:val="clear" w:color="auto" w:fill="auto"/>
            <w:vAlign w:val="center"/>
          </w:tcPr>
          <w:p w14:paraId="56D12EE8">
            <w:pPr>
              <w:pStyle w:val="542"/>
              <w:kinsoku w:val="0"/>
              <w:overflowPunct w:val="0"/>
              <w:jc w:val="center"/>
              <w:rPr>
                <w:rFonts w:hint="eastAsia" w:ascii="仿宋" w:hAnsi="仿宋" w:eastAsia="仿宋" w:cs="Times New Roman"/>
                <w:i w:val="0"/>
                <w:iCs w:val="0"/>
                <w:color w:val="auto"/>
                <w:sz w:val="18"/>
                <w:szCs w:val="18"/>
                <w:highlight w:val="none"/>
              </w:rPr>
            </w:pP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EE9">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主机安全</w:t>
            </w: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EEA">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EB">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EC">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EED">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4000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EE">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云化部署</w:t>
            </w:r>
          </w:p>
        </w:tc>
      </w:tr>
      <w:tr w14:paraId="56D12EF7">
        <w:tblPrEx>
          <w:tblCellMar>
            <w:top w:w="0" w:type="dxa"/>
            <w:left w:w="108" w:type="dxa"/>
            <w:bottom w:w="0" w:type="dxa"/>
            <w:right w:w="108" w:type="dxa"/>
          </w:tblCellMar>
        </w:tblPrEx>
        <w:trPr>
          <w:trHeight w:val="530" w:hRule="atLeast"/>
          <w:jc w:val="center"/>
        </w:trPr>
        <w:tc>
          <w:tcPr>
            <w:tcW w:w="1083" w:type="dxa"/>
            <w:vMerge w:val="continue"/>
            <w:tcBorders>
              <w:left w:val="single" w:color="000000" w:sz="4" w:space="0"/>
              <w:bottom w:val="single" w:color="000000" w:sz="4" w:space="0"/>
              <w:right w:val="single" w:color="000000" w:sz="4" w:space="0"/>
            </w:tcBorders>
            <w:shd w:val="clear" w:color="auto" w:fill="auto"/>
            <w:vAlign w:val="center"/>
          </w:tcPr>
          <w:p w14:paraId="56D12EF0">
            <w:pPr>
              <w:pStyle w:val="542"/>
              <w:kinsoku w:val="0"/>
              <w:overflowPunct w:val="0"/>
              <w:jc w:val="center"/>
              <w:rPr>
                <w:rFonts w:hint="eastAsia" w:ascii="仿宋" w:hAnsi="仿宋" w:eastAsia="仿宋" w:cs="Times New Roman"/>
                <w:i w:val="0"/>
                <w:iCs w:val="0"/>
                <w:color w:val="auto"/>
                <w:sz w:val="18"/>
                <w:szCs w:val="18"/>
                <w:highlight w:val="none"/>
              </w:rPr>
            </w:pP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EF1">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堡垒机</w:t>
            </w: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EF2">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F3">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F4">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16</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EF5">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F6">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云化部署</w:t>
            </w:r>
          </w:p>
        </w:tc>
      </w:tr>
      <w:tr w14:paraId="56D12EFF">
        <w:tblPrEx>
          <w:tblCellMar>
            <w:top w:w="0" w:type="dxa"/>
            <w:left w:w="108" w:type="dxa"/>
            <w:bottom w:w="0" w:type="dxa"/>
            <w:right w:w="108" w:type="dxa"/>
          </w:tblCellMar>
        </w:tblPrEx>
        <w:trPr>
          <w:trHeight w:val="90" w:hRule="atLeast"/>
          <w:jc w:val="center"/>
        </w:trPr>
        <w:tc>
          <w:tcPr>
            <w:tcW w:w="1083" w:type="dxa"/>
            <w:vMerge w:val="restart"/>
            <w:tcBorders>
              <w:top w:val="single" w:color="000000" w:sz="4" w:space="0"/>
              <w:left w:val="single" w:color="000000" w:sz="4" w:space="0"/>
              <w:right w:val="single" w:color="000000" w:sz="4" w:space="0"/>
            </w:tcBorders>
            <w:shd w:val="clear" w:color="auto" w:fill="auto"/>
            <w:vAlign w:val="center"/>
          </w:tcPr>
          <w:p w14:paraId="56D12EF8">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管理网业务</w:t>
            </w: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EF9">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GBIM</w:t>
            </w: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EFA">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EFB">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300</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EFC">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860</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EFD">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20000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EFE">
            <w:pPr>
              <w:pStyle w:val="542"/>
              <w:kinsoku w:val="0"/>
              <w:overflowPunct w:val="0"/>
              <w:jc w:val="center"/>
              <w:rPr>
                <w:rFonts w:hint="eastAsia" w:ascii="仿宋" w:hAnsi="仿宋" w:eastAsia="仿宋" w:cs="Times New Roman"/>
                <w:i w:val="0"/>
                <w:iCs w:val="0"/>
                <w:color w:val="auto"/>
                <w:sz w:val="18"/>
                <w:szCs w:val="18"/>
                <w:highlight w:val="none"/>
              </w:rPr>
            </w:pPr>
          </w:p>
        </w:tc>
      </w:tr>
      <w:tr w14:paraId="56D12F07">
        <w:tblPrEx>
          <w:tblCellMar>
            <w:top w:w="0" w:type="dxa"/>
            <w:left w:w="108" w:type="dxa"/>
            <w:bottom w:w="0" w:type="dxa"/>
            <w:right w:w="108" w:type="dxa"/>
          </w:tblCellMar>
        </w:tblPrEx>
        <w:trPr>
          <w:trHeight w:val="90" w:hRule="atLeast"/>
          <w:jc w:val="center"/>
        </w:trPr>
        <w:tc>
          <w:tcPr>
            <w:tcW w:w="1083" w:type="dxa"/>
            <w:vMerge w:val="continue"/>
            <w:tcBorders>
              <w:left w:val="single" w:color="000000" w:sz="4" w:space="0"/>
              <w:right w:val="single" w:color="000000" w:sz="4" w:space="0"/>
            </w:tcBorders>
            <w:shd w:val="clear" w:color="auto" w:fill="auto"/>
            <w:vAlign w:val="center"/>
          </w:tcPr>
          <w:p w14:paraId="56D12F00">
            <w:pPr>
              <w:pStyle w:val="542"/>
              <w:kinsoku w:val="0"/>
              <w:overflowPunct w:val="0"/>
              <w:jc w:val="center"/>
              <w:rPr>
                <w:rFonts w:hint="eastAsia" w:ascii="仿宋" w:hAnsi="仿宋" w:eastAsia="仿宋" w:cs="Times New Roman"/>
                <w:i w:val="0"/>
                <w:iCs w:val="0"/>
                <w:color w:val="auto"/>
                <w:sz w:val="18"/>
                <w:szCs w:val="18"/>
                <w:highlight w:val="none"/>
              </w:rPr>
            </w:pP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F01">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财务</w:t>
            </w: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F02">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F03">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56</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F04">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224</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F05">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8000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F06">
            <w:pPr>
              <w:pStyle w:val="542"/>
              <w:kinsoku w:val="0"/>
              <w:overflowPunct w:val="0"/>
              <w:jc w:val="center"/>
              <w:rPr>
                <w:rFonts w:hint="eastAsia" w:ascii="仿宋" w:hAnsi="仿宋" w:eastAsia="仿宋" w:cs="Times New Roman"/>
                <w:i w:val="0"/>
                <w:iCs w:val="0"/>
                <w:color w:val="auto"/>
                <w:sz w:val="18"/>
                <w:szCs w:val="18"/>
                <w:highlight w:val="none"/>
              </w:rPr>
            </w:pPr>
          </w:p>
        </w:tc>
      </w:tr>
      <w:tr w14:paraId="56D12F0F">
        <w:tblPrEx>
          <w:tblCellMar>
            <w:top w:w="0" w:type="dxa"/>
            <w:left w:w="108" w:type="dxa"/>
            <w:bottom w:w="0" w:type="dxa"/>
            <w:right w:w="108" w:type="dxa"/>
          </w:tblCellMar>
        </w:tblPrEx>
        <w:trPr>
          <w:trHeight w:val="90" w:hRule="atLeast"/>
          <w:jc w:val="center"/>
        </w:trPr>
        <w:tc>
          <w:tcPr>
            <w:tcW w:w="1083" w:type="dxa"/>
            <w:vMerge w:val="continue"/>
            <w:tcBorders>
              <w:left w:val="single" w:color="000000" w:sz="4" w:space="0"/>
              <w:right w:val="single" w:color="000000" w:sz="4" w:space="0"/>
            </w:tcBorders>
            <w:shd w:val="clear" w:color="auto" w:fill="auto"/>
            <w:vAlign w:val="center"/>
          </w:tcPr>
          <w:p w14:paraId="56D12F08">
            <w:pPr>
              <w:pStyle w:val="542"/>
              <w:kinsoku w:val="0"/>
              <w:overflowPunct w:val="0"/>
              <w:jc w:val="center"/>
              <w:rPr>
                <w:rFonts w:hint="eastAsia" w:ascii="仿宋" w:hAnsi="仿宋" w:eastAsia="仿宋" w:cs="Times New Roman"/>
                <w:i w:val="0"/>
                <w:iCs w:val="0"/>
                <w:color w:val="auto"/>
                <w:sz w:val="18"/>
                <w:szCs w:val="18"/>
                <w:highlight w:val="none"/>
              </w:rPr>
            </w:pP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F09">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食堂、智能客服等业务</w:t>
            </w: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F0A">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F0B">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100</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F0C">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400</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F0D">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10000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F0E">
            <w:pPr>
              <w:pStyle w:val="542"/>
              <w:kinsoku w:val="0"/>
              <w:overflowPunct w:val="0"/>
              <w:jc w:val="center"/>
              <w:rPr>
                <w:rFonts w:hint="eastAsia" w:ascii="仿宋" w:hAnsi="仿宋" w:eastAsia="仿宋" w:cs="Times New Roman"/>
                <w:i w:val="0"/>
                <w:iCs w:val="0"/>
                <w:color w:val="auto"/>
                <w:sz w:val="18"/>
                <w:szCs w:val="18"/>
                <w:highlight w:val="none"/>
              </w:rPr>
            </w:pPr>
          </w:p>
        </w:tc>
      </w:tr>
      <w:tr w14:paraId="56D12F17">
        <w:tblPrEx>
          <w:tblCellMar>
            <w:top w:w="0" w:type="dxa"/>
            <w:left w:w="108" w:type="dxa"/>
            <w:bottom w:w="0" w:type="dxa"/>
            <w:right w:w="108" w:type="dxa"/>
          </w:tblCellMar>
        </w:tblPrEx>
        <w:trPr>
          <w:trHeight w:val="90" w:hRule="atLeast"/>
          <w:jc w:val="center"/>
        </w:trPr>
        <w:tc>
          <w:tcPr>
            <w:tcW w:w="10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2F10">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合计</w:t>
            </w:r>
          </w:p>
        </w:tc>
        <w:tc>
          <w:tcPr>
            <w:tcW w:w="1366" w:type="dxa"/>
            <w:tcBorders>
              <w:top w:val="single" w:color="000000" w:sz="4" w:space="0"/>
              <w:left w:val="nil"/>
              <w:bottom w:val="single" w:color="000000" w:sz="4" w:space="0"/>
              <w:right w:val="single" w:color="000000" w:sz="4" w:space="0"/>
            </w:tcBorders>
            <w:shd w:val="clear" w:color="auto" w:fill="auto"/>
            <w:vAlign w:val="center"/>
          </w:tcPr>
          <w:p w14:paraId="56D12F11">
            <w:pPr>
              <w:pStyle w:val="542"/>
              <w:kinsoku w:val="0"/>
              <w:overflowPunct w:val="0"/>
              <w:jc w:val="center"/>
              <w:rPr>
                <w:rFonts w:hint="eastAsia" w:ascii="仿宋" w:hAnsi="仿宋" w:eastAsia="仿宋" w:cs="Times New Roman"/>
                <w:i w:val="0"/>
                <w:iCs w:val="0"/>
                <w:color w:val="auto"/>
                <w:sz w:val="18"/>
                <w:szCs w:val="18"/>
                <w:highlight w:val="none"/>
              </w:rPr>
            </w:pPr>
          </w:p>
        </w:tc>
        <w:tc>
          <w:tcPr>
            <w:tcW w:w="1041" w:type="dxa"/>
            <w:tcBorders>
              <w:top w:val="single" w:color="000000" w:sz="4" w:space="0"/>
              <w:left w:val="nil"/>
              <w:bottom w:val="single" w:color="000000" w:sz="4" w:space="0"/>
              <w:right w:val="single" w:color="000000" w:sz="4" w:space="0"/>
            </w:tcBorders>
            <w:shd w:val="clear" w:color="auto" w:fill="auto"/>
            <w:vAlign w:val="center"/>
          </w:tcPr>
          <w:p w14:paraId="56D12F12">
            <w:pPr>
              <w:pStyle w:val="542"/>
              <w:kinsoku w:val="0"/>
              <w:overflowPunct w:val="0"/>
              <w:jc w:val="center"/>
              <w:rPr>
                <w:rFonts w:hint="eastAsia" w:ascii="仿宋" w:hAnsi="仿宋" w:eastAsia="仿宋" w:cs="Times New Roman"/>
                <w:i w:val="0"/>
                <w:iCs w:val="0"/>
                <w:color w:val="auto"/>
                <w:sz w:val="18"/>
                <w:szCs w:val="18"/>
                <w:highlight w:val="none"/>
              </w:rPr>
            </w:pPr>
          </w:p>
        </w:tc>
        <w:tc>
          <w:tcPr>
            <w:tcW w:w="612" w:type="dxa"/>
            <w:tcBorders>
              <w:top w:val="single" w:color="000000" w:sz="4" w:space="0"/>
              <w:left w:val="nil"/>
              <w:bottom w:val="single" w:color="000000" w:sz="4" w:space="0"/>
              <w:right w:val="single" w:color="000000" w:sz="4" w:space="0"/>
            </w:tcBorders>
            <w:shd w:val="clear" w:color="auto" w:fill="auto"/>
            <w:vAlign w:val="center"/>
          </w:tcPr>
          <w:p w14:paraId="56D12F13">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592</w:t>
            </w:r>
          </w:p>
        </w:tc>
        <w:tc>
          <w:tcPr>
            <w:tcW w:w="865" w:type="dxa"/>
            <w:tcBorders>
              <w:top w:val="single" w:color="000000" w:sz="4" w:space="0"/>
              <w:left w:val="nil"/>
              <w:bottom w:val="single" w:color="000000" w:sz="4" w:space="0"/>
              <w:right w:val="single" w:color="000000" w:sz="4" w:space="0"/>
            </w:tcBorders>
            <w:shd w:val="clear" w:color="auto" w:fill="auto"/>
            <w:vAlign w:val="center"/>
          </w:tcPr>
          <w:p w14:paraId="56D12F14">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2076</w:t>
            </w:r>
          </w:p>
        </w:tc>
        <w:tc>
          <w:tcPr>
            <w:tcW w:w="951" w:type="dxa"/>
            <w:tcBorders>
              <w:top w:val="single" w:color="000000" w:sz="4" w:space="0"/>
              <w:left w:val="nil"/>
              <w:bottom w:val="single" w:color="000000" w:sz="4" w:space="0"/>
              <w:right w:val="single" w:color="000000" w:sz="4" w:space="0"/>
            </w:tcBorders>
            <w:shd w:val="clear" w:color="auto" w:fill="auto"/>
            <w:vAlign w:val="center"/>
          </w:tcPr>
          <w:p w14:paraId="56D12F15">
            <w:pPr>
              <w:pStyle w:val="542"/>
              <w:kinsoku w:val="0"/>
              <w:overflowPunct w:val="0"/>
              <w:jc w:val="center"/>
              <w:rPr>
                <w:rFonts w:hint="eastAsia" w:ascii="仿宋" w:hAnsi="仿宋" w:eastAsia="仿宋" w:cs="Times New Roman"/>
                <w:i w:val="0"/>
                <w:iCs w:val="0"/>
                <w:color w:val="auto"/>
                <w:sz w:val="18"/>
                <w:szCs w:val="18"/>
                <w:highlight w:val="none"/>
              </w:rPr>
            </w:pPr>
            <w:r>
              <w:rPr>
                <w:rFonts w:hint="eastAsia" w:ascii="仿宋" w:hAnsi="仿宋" w:eastAsia="仿宋" w:cs="Times New Roman"/>
                <w:i w:val="0"/>
                <w:iCs w:val="0"/>
                <w:color w:val="auto"/>
                <w:sz w:val="18"/>
                <w:szCs w:val="18"/>
                <w:highlight w:val="none"/>
              </w:rPr>
              <w:t>54000</w:t>
            </w:r>
          </w:p>
        </w:tc>
        <w:tc>
          <w:tcPr>
            <w:tcW w:w="1339" w:type="dxa"/>
            <w:tcBorders>
              <w:top w:val="single" w:color="000000" w:sz="4" w:space="0"/>
              <w:left w:val="nil"/>
              <w:bottom w:val="single" w:color="000000" w:sz="4" w:space="0"/>
              <w:right w:val="single" w:color="000000" w:sz="4" w:space="0"/>
            </w:tcBorders>
            <w:shd w:val="clear" w:color="auto" w:fill="auto"/>
            <w:vAlign w:val="center"/>
          </w:tcPr>
          <w:p w14:paraId="56D12F16">
            <w:pPr>
              <w:jc w:val="center"/>
              <w:rPr>
                <w:i w:val="0"/>
                <w:iCs w:val="0"/>
                <w:color w:val="auto"/>
                <w:sz w:val="18"/>
                <w:szCs w:val="18"/>
                <w:highlight w:val="none"/>
              </w:rPr>
            </w:pPr>
          </w:p>
        </w:tc>
      </w:tr>
    </w:tbl>
    <w:p w14:paraId="56D12F18">
      <w:pPr>
        <w:rPr>
          <w:i w:val="0"/>
          <w:iCs w:val="0"/>
          <w:color w:val="auto"/>
          <w:highlight w:val="none"/>
        </w:rPr>
      </w:pPr>
    </w:p>
    <w:p w14:paraId="56D12F19">
      <w:pPr>
        <w:pStyle w:val="5"/>
        <w:ind w:left="0"/>
        <w:rPr>
          <w:i w:val="0"/>
          <w:iCs w:val="0"/>
          <w:color w:val="auto"/>
          <w:sz w:val="22"/>
          <w:szCs w:val="22"/>
          <w:highlight w:val="none"/>
        </w:rPr>
      </w:pPr>
      <w:bookmarkStart w:id="235" w:name="_Toc24884"/>
      <w:r>
        <w:rPr>
          <w:rFonts w:hint="eastAsia"/>
          <w:i w:val="0"/>
          <w:iCs w:val="0"/>
          <w:color w:val="auto"/>
          <w:sz w:val="22"/>
          <w:szCs w:val="22"/>
          <w:highlight w:val="none"/>
        </w:rPr>
        <w:t>资源</w:t>
      </w:r>
      <w:r>
        <w:rPr>
          <w:rFonts w:hint="eastAsia"/>
          <w:i w:val="0"/>
          <w:iCs w:val="0"/>
          <w:color w:val="auto"/>
          <w:sz w:val="22"/>
          <w:szCs w:val="22"/>
          <w:highlight w:val="none"/>
          <w:lang w:val="en-US"/>
        </w:rPr>
        <w:t>设计</w:t>
      </w:r>
      <w:bookmarkEnd w:id="235"/>
    </w:p>
    <w:p w14:paraId="56D12F1A">
      <w:pPr>
        <w:pStyle w:val="6"/>
        <w:ind w:left="0"/>
        <w:rPr>
          <w:i w:val="0"/>
          <w:iCs w:val="0"/>
          <w:color w:val="auto"/>
          <w:sz w:val="21"/>
          <w:szCs w:val="21"/>
          <w:highlight w:val="none"/>
        </w:rPr>
      </w:pPr>
      <w:r>
        <w:rPr>
          <w:rFonts w:hint="eastAsia"/>
          <w:i w:val="0"/>
          <w:iCs w:val="0"/>
          <w:color w:val="auto"/>
          <w:sz w:val="21"/>
          <w:szCs w:val="21"/>
          <w:highlight w:val="none"/>
        </w:rPr>
        <w:t>vCPU资源设计</w:t>
      </w:r>
    </w:p>
    <w:p w14:paraId="56D12F1B">
      <w:pPr>
        <w:pStyle w:val="142"/>
        <w:ind w:firstLine="420"/>
        <w:rPr>
          <w:i w:val="0"/>
          <w:iCs w:val="0"/>
          <w:color w:val="auto"/>
          <w:sz w:val="21"/>
          <w:szCs w:val="15"/>
          <w:highlight w:val="none"/>
        </w:rPr>
      </w:pPr>
      <w:r>
        <w:rPr>
          <w:rFonts w:hint="eastAsia"/>
          <w:i w:val="0"/>
          <w:iCs w:val="0"/>
          <w:color w:val="auto"/>
          <w:sz w:val="21"/>
          <w:szCs w:val="15"/>
          <w:highlight w:val="none"/>
        </w:rPr>
        <w:t>本次</w:t>
      </w:r>
      <w:r>
        <w:rPr>
          <w:rFonts w:hint="eastAsia"/>
          <w:i w:val="0"/>
          <w:iCs w:val="0"/>
          <w:color w:val="auto"/>
          <w:sz w:val="21"/>
          <w:szCs w:val="15"/>
          <w:highlight w:val="none"/>
          <w:lang w:val="en-US"/>
        </w:rPr>
        <w:t>管理网</w:t>
      </w:r>
      <w:r>
        <w:rPr>
          <w:rFonts w:hint="eastAsia"/>
          <w:i w:val="0"/>
          <w:iCs w:val="0"/>
          <w:color w:val="auto"/>
          <w:sz w:val="21"/>
          <w:szCs w:val="15"/>
          <w:highlight w:val="none"/>
        </w:rPr>
        <w:t>中应用软件的vCPU为</w:t>
      </w:r>
      <w:r>
        <w:rPr>
          <w:rFonts w:hint="eastAsia"/>
          <w:i w:val="0"/>
          <w:iCs w:val="0"/>
          <w:color w:val="auto"/>
          <w:sz w:val="21"/>
          <w:szCs w:val="15"/>
          <w:highlight w:val="none"/>
          <w:lang w:val="en-US"/>
        </w:rPr>
        <w:t>592</w:t>
      </w:r>
      <w:r>
        <w:rPr>
          <w:rFonts w:hint="eastAsia"/>
          <w:i w:val="0"/>
          <w:iCs w:val="0"/>
          <w:color w:val="auto"/>
          <w:sz w:val="21"/>
          <w:szCs w:val="15"/>
          <w:highlight w:val="none"/>
        </w:rPr>
        <w:t>个，虚拟化复用比应采用1（CPU线程复用1倍），并扩展1.3倍资源需求从而预留余量资源（按vCPU总需求量148个乘以1.3计算），则总需求的vCPU数量不低于</w:t>
      </w:r>
      <w:r>
        <w:rPr>
          <w:rFonts w:hint="eastAsia"/>
          <w:i w:val="0"/>
          <w:iCs w:val="0"/>
          <w:color w:val="auto"/>
          <w:sz w:val="21"/>
          <w:szCs w:val="15"/>
          <w:highlight w:val="none"/>
          <w:lang w:val="en-US"/>
        </w:rPr>
        <w:t>770</w:t>
      </w:r>
      <w:r>
        <w:rPr>
          <w:rFonts w:hint="eastAsia"/>
          <w:i w:val="0"/>
          <w:iCs w:val="0"/>
          <w:color w:val="auto"/>
          <w:sz w:val="21"/>
          <w:szCs w:val="15"/>
          <w:highlight w:val="none"/>
        </w:rPr>
        <w:t>个vCPU。</w:t>
      </w:r>
    </w:p>
    <w:p w14:paraId="56D12F1C">
      <w:pPr>
        <w:pStyle w:val="142"/>
        <w:ind w:firstLine="420"/>
        <w:rPr>
          <w:i w:val="0"/>
          <w:iCs w:val="0"/>
          <w:color w:val="auto"/>
          <w:sz w:val="21"/>
          <w:szCs w:val="15"/>
          <w:highlight w:val="none"/>
          <w:lang w:val="en-US"/>
        </w:rPr>
      </w:pPr>
      <w:r>
        <w:rPr>
          <w:rFonts w:hint="eastAsia"/>
          <w:i w:val="0"/>
          <w:iCs w:val="0"/>
          <w:color w:val="auto"/>
          <w:sz w:val="21"/>
          <w:szCs w:val="15"/>
          <w:highlight w:val="none"/>
          <w:lang w:val="en-US" w:eastAsia="zh-CN"/>
        </w:rPr>
        <w:t>参考</w:t>
      </w:r>
      <w:r>
        <w:rPr>
          <w:rFonts w:hint="eastAsia"/>
          <w:i w:val="0"/>
          <w:iCs w:val="0"/>
          <w:color w:val="auto"/>
          <w:sz w:val="21"/>
          <w:szCs w:val="15"/>
          <w:highlight w:val="none"/>
        </w:rPr>
        <w:t>建设期</w:t>
      </w:r>
      <w:r>
        <w:rPr>
          <w:rFonts w:hint="eastAsia"/>
          <w:i w:val="0"/>
          <w:iCs w:val="0"/>
          <w:color w:val="auto"/>
          <w:sz w:val="21"/>
          <w:szCs w:val="15"/>
          <w:highlight w:val="none"/>
          <w:lang w:val="en-US" w:eastAsia="zh-CN"/>
        </w:rPr>
        <w:t>云平台配置</w:t>
      </w:r>
      <w:r>
        <w:rPr>
          <w:rFonts w:hint="eastAsia"/>
          <w:i w:val="0"/>
          <w:iCs w:val="0"/>
          <w:color w:val="auto"/>
          <w:sz w:val="21"/>
          <w:szCs w:val="15"/>
          <w:highlight w:val="none"/>
        </w:rPr>
        <w:t>情况，本期项目计算资源应选择主流2路32核</w:t>
      </w:r>
      <w:r>
        <w:rPr>
          <w:rFonts w:hint="eastAsia"/>
          <w:i w:val="0"/>
          <w:iCs w:val="0"/>
          <w:color w:val="auto"/>
          <w:sz w:val="21"/>
          <w:szCs w:val="15"/>
          <w:highlight w:val="none"/>
          <w:lang w:val="en-US"/>
        </w:rPr>
        <w:t>2线程</w:t>
      </w:r>
      <w:r>
        <w:rPr>
          <w:rFonts w:hint="eastAsia"/>
          <w:i w:val="0"/>
          <w:iCs w:val="0"/>
          <w:color w:val="auto"/>
          <w:sz w:val="21"/>
          <w:szCs w:val="15"/>
          <w:highlight w:val="none"/>
        </w:rPr>
        <w:t>CPU服务器，损耗系统取0.9</w:t>
      </w:r>
      <w:r>
        <w:rPr>
          <w:rFonts w:hint="eastAsia"/>
          <w:i w:val="0"/>
          <w:iCs w:val="0"/>
          <w:color w:val="auto"/>
          <w:sz w:val="21"/>
          <w:szCs w:val="15"/>
          <w:highlight w:val="none"/>
          <w:lang w:eastAsia="zh-CN"/>
        </w:rPr>
        <w:t>；</w:t>
      </w:r>
      <w:r>
        <w:rPr>
          <w:rFonts w:hint="eastAsia"/>
          <w:i w:val="0"/>
          <w:iCs w:val="0"/>
          <w:color w:val="auto"/>
          <w:sz w:val="21"/>
          <w:szCs w:val="15"/>
          <w:highlight w:val="none"/>
          <w:lang w:val="en-US"/>
        </w:rPr>
        <w:t>单台服务器可提供</w:t>
      </w:r>
      <w:r>
        <w:rPr>
          <w:rFonts w:hint="eastAsia"/>
          <w:i w:val="0"/>
          <w:iCs w:val="0"/>
          <w:color w:val="auto"/>
          <w:sz w:val="21"/>
          <w:szCs w:val="15"/>
          <w:highlight w:val="none"/>
        </w:rPr>
        <w:t>vCPU</w:t>
      </w:r>
      <w:r>
        <w:rPr>
          <w:rFonts w:hint="eastAsia"/>
          <w:i w:val="0"/>
          <w:iCs w:val="0"/>
          <w:color w:val="auto"/>
          <w:sz w:val="21"/>
          <w:szCs w:val="15"/>
          <w:highlight w:val="none"/>
          <w:lang w:val="en-US"/>
        </w:rPr>
        <w:t>数量为2x32x2x0.9=115个</w:t>
      </w:r>
    </w:p>
    <w:p w14:paraId="56D12F1D">
      <w:pPr>
        <w:pStyle w:val="142"/>
        <w:ind w:firstLine="420"/>
        <w:rPr>
          <w:i w:val="0"/>
          <w:iCs w:val="0"/>
          <w:color w:val="auto"/>
          <w:sz w:val="21"/>
          <w:szCs w:val="15"/>
          <w:highlight w:val="none"/>
        </w:rPr>
      </w:pPr>
      <w:r>
        <w:rPr>
          <w:rFonts w:hint="eastAsia"/>
          <w:i w:val="0"/>
          <w:iCs w:val="0"/>
          <w:color w:val="auto"/>
          <w:sz w:val="21"/>
          <w:szCs w:val="15"/>
          <w:highlight w:val="none"/>
        </w:rPr>
        <w:t>本次所需服务器数量=总需求vCPU数量/单台服务器提供的vCPU数量=</w:t>
      </w:r>
      <w:r>
        <w:rPr>
          <w:rFonts w:hint="eastAsia"/>
          <w:i w:val="0"/>
          <w:iCs w:val="0"/>
          <w:color w:val="auto"/>
          <w:sz w:val="21"/>
          <w:szCs w:val="15"/>
          <w:highlight w:val="none"/>
          <w:lang w:val="en-US"/>
        </w:rPr>
        <w:t>7</w:t>
      </w:r>
      <w:r>
        <w:rPr>
          <w:rFonts w:hint="eastAsia"/>
          <w:i w:val="0"/>
          <w:iCs w:val="0"/>
          <w:color w:val="auto"/>
          <w:sz w:val="21"/>
          <w:szCs w:val="15"/>
          <w:highlight w:val="none"/>
        </w:rPr>
        <w:t>台（取整），建议配置</w:t>
      </w:r>
      <w:r>
        <w:rPr>
          <w:rFonts w:hint="eastAsia"/>
          <w:i w:val="0"/>
          <w:iCs w:val="0"/>
          <w:color w:val="auto"/>
          <w:sz w:val="21"/>
          <w:szCs w:val="15"/>
          <w:highlight w:val="none"/>
          <w:lang w:val="en-US"/>
        </w:rPr>
        <w:t>8</w:t>
      </w:r>
      <w:r>
        <w:rPr>
          <w:rFonts w:hint="eastAsia"/>
          <w:i w:val="0"/>
          <w:iCs w:val="0"/>
          <w:color w:val="auto"/>
          <w:sz w:val="21"/>
          <w:szCs w:val="15"/>
          <w:highlight w:val="none"/>
        </w:rPr>
        <w:t>台服务器（</w:t>
      </w:r>
      <w:r>
        <w:rPr>
          <w:rFonts w:hint="eastAsia"/>
          <w:i w:val="0"/>
          <w:iCs w:val="0"/>
          <w:color w:val="auto"/>
          <w:sz w:val="21"/>
          <w:szCs w:val="15"/>
          <w:highlight w:val="none"/>
          <w:lang w:val="en-US"/>
        </w:rPr>
        <w:t>备用一台服务器</w:t>
      </w:r>
      <w:r>
        <w:rPr>
          <w:rFonts w:hint="eastAsia"/>
          <w:i w:val="0"/>
          <w:iCs w:val="0"/>
          <w:color w:val="auto"/>
          <w:sz w:val="21"/>
          <w:szCs w:val="15"/>
          <w:highlight w:val="none"/>
        </w:rPr>
        <w:t>）。</w:t>
      </w:r>
    </w:p>
    <w:p w14:paraId="56D12F1E">
      <w:pPr>
        <w:pStyle w:val="6"/>
        <w:ind w:left="0"/>
        <w:rPr>
          <w:i w:val="0"/>
          <w:iCs w:val="0"/>
          <w:color w:val="auto"/>
          <w:sz w:val="21"/>
          <w:szCs w:val="21"/>
          <w:highlight w:val="none"/>
        </w:rPr>
      </w:pPr>
      <w:r>
        <w:rPr>
          <w:rFonts w:hint="eastAsia"/>
          <w:i w:val="0"/>
          <w:iCs w:val="0"/>
          <w:color w:val="auto"/>
          <w:sz w:val="21"/>
          <w:szCs w:val="21"/>
          <w:highlight w:val="none"/>
        </w:rPr>
        <w:t>内存资源设计</w:t>
      </w:r>
    </w:p>
    <w:p w14:paraId="56D12F1F">
      <w:pPr>
        <w:pStyle w:val="142"/>
        <w:ind w:firstLine="420"/>
        <w:rPr>
          <w:i w:val="0"/>
          <w:iCs w:val="0"/>
          <w:color w:val="auto"/>
          <w:sz w:val="21"/>
          <w:szCs w:val="15"/>
          <w:highlight w:val="none"/>
        </w:rPr>
      </w:pPr>
      <w:r>
        <w:rPr>
          <w:rFonts w:hint="eastAsia"/>
          <w:i w:val="0"/>
          <w:iCs w:val="0"/>
          <w:color w:val="auto"/>
          <w:sz w:val="21"/>
          <w:szCs w:val="15"/>
          <w:highlight w:val="none"/>
        </w:rPr>
        <w:t>根据建设期建设使用情况，本次安全生产网中（运营安全、运营管控、智能运维）应用软件的总内存为</w:t>
      </w:r>
      <w:r>
        <w:rPr>
          <w:rFonts w:hint="eastAsia"/>
          <w:i w:val="0"/>
          <w:iCs w:val="0"/>
          <w:color w:val="auto"/>
          <w:sz w:val="21"/>
          <w:szCs w:val="15"/>
          <w:highlight w:val="none"/>
          <w:lang w:val="en-US"/>
        </w:rPr>
        <w:t>2076</w:t>
      </w:r>
      <w:r>
        <w:rPr>
          <w:rFonts w:hint="eastAsia"/>
          <w:i w:val="0"/>
          <w:iCs w:val="0"/>
          <w:color w:val="auto"/>
          <w:sz w:val="21"/>
          <w:szCs w:val="15"/>
          <w:highlight w:val="none"/>
        </w:rPr>
        <w:t>GB，并扩展1.3倍资源需求预留余量资源（按总内存需求量1608GB乘以1.3计算），则总需求的内存数量不低于</w:t>
      </w:r>
      <w:r>
        <w:rPr>
          <w:rFonts w:hint="eastAsia"/>
          <w:i w:val="0"/>
          <w:iCs w:val="0"/>
          <w:color w:val="auto"/>
          <w:sz w:val="21"/>
          <w:szCs w:val="15"/>
          <w:highlight w:val="none"/>
          <w:lang w:val="en-US"/>
        </w:rPr>
        <w:t>2698.8</w:t>
      </w:r>
      <w:r>
        <w:rPr>
          <w:rFonts w:hint="eastAsia"/>
          <w:i w:val="0"/>
          <w:iCs w:val="0"/>
          <w:color w:val="auto"/>
          <w:sz w:val="21"/>
          <w:szCs w:val="15"/>
          <w:highlight w:val="none"/>
        </w:rPr>
        <w:t>GB，</w:t>
      </w:r>
    </w:p>
    <w:p w14:paraId="56D12F20">
      <w:pPr>
        <w:pStyle w:val="142"/>
        <w:ind w:firstLine="420"/>
        <w:rPr>
          <w:i w:val="0"/>
          <w:iCs w:val="0"/>
          <w:color w:val="auto"/>
          <w:sz w:val="21"/>
          <w:szCs w:val="15"/>
          <w:highlight w:val="none"/>
        </w:rPr>
      </w:pPr>
      <w:r>
        <w:rPr>
          <w:rFonts w:hint="eastAsia"/>
          <w:i w:val="0"/>
          <w:iCs w:val="0"/>
          <w:color w:val="auto"/>
          <w:sz w:val="21"/>
          <w:szCs w:val="15"/>
          <w:highlight w:val="none"/>
        </w:rPr>
        <w:t>本次项目计算资源选用主流64GB4800MHzDDR5内存，内存复用比采用0.8（内存实际使用0.8倍）；单根内存实际可分配容量=（64GB*0.98（内存纠错损耗）*0.95（虚拟化（Hypervisor）占用）*0.8=47.6GB；</w:t>
      </w:r>
    </w:p>
    <w:p w14:paraId="56D12F21">
      <w:pPr>
        <w:pStyle w:val="142"/>
        <w:ind w:firstLine="420"/>
        <w:rPr>
          <w:i w:val="0"/>
          <w:iCs w:val="0"/>
          <w:color w:val="auto"/>
          <w:sz w:val="21"/>
          <w:szCs w:val="15"/>
          <w:highlight w:val="none"/>
        </w:rPr>
      </w:pPr>
      <w:r>
        <w:rPr>
          <w:rFonts w:hint="eastAsia"/>
          <w:i w:val="0"/>
          <w:iCs w:val="0"/>
          <w:color w:val="auto"/>
          <w:sz w:val="21"/>
          <w:szCs w:val="15"/>
          <w:highlight w:val="none"/>
        </w:rPr>
        <w:t>单台服务器内存根数=总需求内存容量/(单根内存实际可分配容量*实际所需服务器数量)=2</w:t>
      </w:r>
      <w:r>
        <w:rPr>
          <w:rFonts w:hint="eastAsia"/>
          <w:i w:val="0"/>
          <w:iCs w:val="0"/>
          <w:color w:val="auto"/>
          <w:sz w:val="21"/>
          <w:szCs w:val="15"/>
          <w:highlight w:val="none"/>
          <w:lang w:val="en-US"/>
        </w:rPr>
        <w:t>5</w:t>
      </w:r>
      <w:r>
        <w:rPr>
          <w:rFonts w:hint="eastAsia"/>
          <w:i w:val="0"/>
          <w:iCs w:val="0"/>
          <w:color w:val="auto"/>
          <w:sz w:val="21"/>
          <w:szCs w:val="15"/>
          <w:highlight w:val="none"/>
        </w:rPr>
        <w:t>9</w:t>
      </w:r>
      <w:r>
        <w:rPr>
          <w:rFonts w:hint="eastAsia"/>
          <w:i w:val="0"/>
          <w:iCs w:val="0"/>
          <w:color w:val="auto"/>
          <w:sz w:val="21"/>
          <w:szCs w:val="15"/>
          <w:highlight w:val="none"/>
          <w:lang w:val="en-US"/>
        </w:rPr>
        <w:t>4</w:t>
      </w:r>
      <w:r>
        <w:rPr>
          <w:rFonts w:hint="eastAsia"/>
          <w:i w:val="0"/>
          <w:iCs w:val="0"/>
          <w:color w:val="auto"/>
          <w:sz w:val="21"/>
          <w:szCs w:val="15"/>
          <w:highlight w:val="none"/>
        </w:rPr>
        <w:t>.</w:t>
      </w:r>
      <w:r>
        <w:rPr>
          <w:rFonts w:hint="eastAsia"/>
          <w:i w:val="0"/>
          <w:iCs w:val="0"/>
          <w:color w:val="auto"/>
          <w:sz w:val="21"/>
          <w:szCs w:val="15"/>
          <w:highlight w:val="none"/>
          <w:lang w:val="en-US"/>
        </w:rPr>
        <w:t>8</w:t>
      </w:r>
      <w:r>
        <w:rPr>
          <w:rFonts w:hint="eastAsia"/>
          <w:i w:val="0"/>
          <w:iCs w:val="0"/>
          <w:color w:val="auto"/>
          <w:sz w:val="21"/>
          <w:szCs w:val="15"/>
          <w:highlight w:val="none"/>
        </w:rPr>
        <w:t>/(47.6*2)=</w:t>
      </w:r>
      <w:r>
        <w:rPr>
          <w:rFonts w:hint="eastAsia"/>
          <w:i w:val="0"/>
          <w:iCs w:val="0"/>
          <w:color w:val="auto"/>
          <w:sz w:val="21"/>
          <w:szCs w:val="15"/>
          <w:highlight w:val="none"/>
          <w:lang w:val="en-US"/>
        </w:rPr>
        <w:t>57</w:t>
      </w:r>
      <w:r>
        <w:rPr>
          <w:rFonts w:hint="eastAsia"/>
          <w:i w:val="0"/>
          <w:iCs w:val="0"/>
          <w:color w:val="auto"/>
          <w:sz w:val="21"/>
          <w:szCs w:val="15"/>
          <w:highlight w:val="none"/>
        </w:rPr>
        <w:t>根（取整），根据服务器内存推荐配置方式（2/4/8/12/16/24/32），建议配置</w:t>
      </w:r>
      <w:r>
        <w:rPr>
          <w:rFonts w:hint="eastAsia"/>
          <w:i w:val="0"/>
          <w:iCs w:val="0"/>
          <w:color w:val="auto"/>
          <w:sz w:val="21"/>
          <w:szCs w:val="15"/>
          <w:highlight w:val="none"/>
          <w:lang w:val="en-US"/>
        </w:rPr>
        <w:t>24</w:t>
      </w:r>
      <w:r>
        <w:rPr>
          <w:rFonts w:hint="eastAsia"/>
          <w:i w:val="0"/>
          <w:iCs w:val="0"/>
          <w:color w:val="auto"/>
          <w:sz w:val="21"/>
          <w:szCs w:val="15"/>
          <w:highlight w:val="none"/>
        </w:rPr>
        <w:t>根64GB4800MHzDDR5内存。</w:t>
      </w:r>
    </w:p>
    <w:p w14:paraId="56D12F22">
      <w:pPr>
        <w:pStyle w:val="6"/>
        <w:ind w:left="0"/>
        <w:rPr>
          <w:i w:val="0"/>
          <w:iCs w:val="0"/>
          <w:color w:val="auto"/>
          <w:sz w:val="21"/>
          <w:szCs w:val="21"/>
          <w:highlight w:val="none"/>
        </w:rPr>
      </w:pPr>
      <w:r>
        <w:rPr>
          <w:rFonts w:hint="eastAsia"/>
          <w:i w:val="0"/>
          <w:iCs w:val="0"/>
          <w:color w:val="auto"/>
          <w:sz w:val="21"/>
          <w:szCs w:val="21"/>
          <w:highlight w:val="none"/>
        </w:rPr>
        <w:t>存储容量规划</w:t>
      </w:r>
    </w:p>
    <w:p w14:paraId="56D12F23">
      <w:pPr>
        <w:pStyle w:val="142"/>
        <w:ind w:firstLine="420"/>
        <w:rPr>
          <w:i w:val="0"/>
          <w:iCs w:val="0"/>
          <w:color w:val="auto"/>
          <w:sz w:val="21"/>
          <w:szCs w:val="15"/>
          <w:highlight w:val="none"/>
        </w:rPr>
      </w:pPr>
      <w:r>
        <w:rPr>
          <w:rFonts w:hint="eastAsia"/>
          <w:i w:val="0"/>
          <w:iCs w:val="0"/>
          <w:color w:val="auto"/>
          <w:sz w:val="21"/>
          <w:szCs w:val="15"/>
          <w:highlight w:val="none"/>
        </w:rPr>
        <w:t>根据建设期建设使用情况，本次智慧地铁运营期项目的存储空间需求，SSD存储空间需求为</w:t>
      </w:r>
      <w:r>
        <w:rPr>
          <w:rFonts w:hint="eastAsia"/>
          <w:i w:val="0"/>
          <w:iCs w:val="0"/>
          <w:color w:val="auto"/>
          <w:sz w:val="21"/>
          <w:szCs w:val="15"/>
          <w:highlight w:val="none"/>
          <w:lang w:val="en-US"/>
        </w:rPr>
        <w:t>54</w:t>
      </w:r>
      <w:r>
        <w:rPr>
          <w:rFonts w:hint="eastAsia"/>
          <w:i w:val="0"/>
          <w:iCs w:val="0"/>
          <w:color w:val="auto"/>
          <w:sz w:val="21"/>
          <w:szCs w:val="15"/>
          <w:highlight w:val="none"/>
        </w:rPr>
        <w:t>TB，并扩展1.3倍资源需求预留余量资源（按存储空间总需求量54TB乘以1.3计算），共计</w:t>
      </w:r>
      <w:r>
        <w:rPr>
          <w:rFonts w:hint="eastAsia"/>
          <w:i w:val="0"/>
          <w:iCs w:val="0"/>
          <w:color w:val="auto"/>
          <w:sz w:val="21"/>
          <w:szCs w:val="15"/>
          <w:highlight w:val="none"/>
          <w:lang w:val="en-US"/>
        </w:rPr>
        <w:t>70</w:t>
      </w:r>
      <w:r>
        <w:rPr>
          <w:rFonts w:hint="eastAsia"/>
          <w:i w:val="0"/>
          <w:iCs w:val="0"/>
          <w:color w:val="auto"/>
          <w:sz w:val="21"/>
          <w:szCs w:val="15"/>
          <w:highlight w:val="none"/>
        </w:rPr>
        <w:t>TB。</w:t>
      </w:r>
    </w:p>
    <w:p w14:paraId="56D12F24">
      <w:pPr>
        <w:pStyle w:val="5"/>
        <w:ind w:left="0"/>
        <w:rPr>
          <w:i w:val="0"/>
          <w:iCs w:val="0"/>
          <w:color w:val="auto"/>
          <w:sz w:val="22"/>
          <w:szCs w:val="22"/>
          <w:highlight w:val="none"/>
        </w:rPr>
      </w:pPr>
      <w:bookmarkStart w:id="236" w:name="_Toc12639"/>
      <w:r>
        <w:rPr>
          <w:rFonts w:hint="eastAsia"/>
          <w:i w:val="0"/>
          <w:iCs w:val="0"/>
          <w:color w:val="auto"/>
          <w:sz w:val="22"/>
          <w:szCs w:val="22"/>
          <w:highlight w:val="none"/>
          <w:lang w:val="en-US"/>
        </w:rPr>
        <w:t>管理网</w:t>
      </w:r>
      <w:r>
        <w:rPr>
          <w:rFonts w:hint="eastAsia"/>
          <w:i w:val="0"/>
          <w:iCs w:val="0"/>
          <w:color w:val="auto"/>
          <w:sz w:val="22"/>
          <w:szCs w:val="22"/>
          <w:highlight w:val="none"/>
        </w:rPr>
        <w:t>云平台建设内容</w:t>
      </w:r>
      <w:bookmarkEnd w:id="236"/>
    </w:p>
    <w:p w14:paraId="56D12F25">
      <w:pPr>
        <w:pStyle w:val="142"/>
        <w:ind w:firstLine="420"/>
        <w:rPr>
          <w:i w:val="0"/>
          <w:iCs w:val="0"/>
          <w:color w:val="auto"/>
          <w:sz w:val="21"/>
          <w:szCs w:val="15"/>
          <w:highlight w:val="none"/>
        </w:rPr>
      </w:pPr>
      <w:r>
        <w:rPr>
          <w:rFonts w:hint="eastAsia"/>
          <w:i w:val="0"/>
          <w:iCs w:val="0"/>
          <w:color w:val="auto"/>
          <w:sz w:val="21"/>
          <w:szCs w:val="15"/>
          <w:highlight w:val="none"/>
        </w:rPr>
        <w:t>本次管理云建设的主要内容，包含内部管理网业务区1、外部服务网业务区2、存储区、安全资源区、云管理区、核心交换区、带外管理区、安全运维区等。</w:t>
      </w:r>
    </w:p>
    <w:p w14:paraId="56D12F26">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投标人应提供管理网云内各设备间衔接组网方案，满足云平台性能要求及业务部署需求，相关线缆及集成授权费用应包含在投资总价中，</w:t>
      </w:r>
      <w:r>
        <w:rPr>
          <w:rFonts w:hint="eastAsia"/>
          <w:i w:val="0"/>
          <w:iCs w:val="0"/>
          <w:color w:val="auto"/>
          <w:sz w:val="21"/>
          <w:szCs w:val="15"/>
          <w:highlight w:val="none"/>
        </w:rPr>
        <w:t>若因投标人因漏报、误报所造成的工程量增加的费用由投标人自行承担。</w:t>
      </w:r>
    </w:p>
    <w:p w14:paraId="56D12F27">
      <w:pPr>
        <w:pStyle w:val="142"/>
        <w:ind w:firstLine="420"/>
        <w:rPr>
          <w:i w:val="0"/>
          <w:iCs w:val="0"/>
          <w:color w:val="auto"/>
          <w:sz w:val="21"/>
          <w:szCs w:val="15"/>
          <w:highlight w:val="none"/>
        </w:rPr>
      </w:pPr>
      <w:r>
        <w:rPr>
          <w:rFonts w:hint="eastAsia"/>
          <w:i w:val="0"/>
          <w:iCs w:val="0"/>
          <w:color w:val="auto"/>
          <w:sz w:val="21"/>
          <w:szCs w:val="15"/>
          <w:highlight w:val="none"/>
        </w:rPr>
        <w:t>具体各个区的网络建设描述如下。</w:t>
      </w:r>
    </w:p>
    <w:p w14:paraId="56D12F28">
      <w:pPr>
        <w:pStyle w:val="151"/>
        <w:keepNext/>
        <w:keepLines/>
        <w:numPr>
          <w:ilvl w:val="0"/>
          <w:numId w:val="38"/>
        </w:numPr>
        <w:tabs>
          <w:tab w:val="left" w:pos="0"/>
        </w:tabs>
        <w:spacing w:before="240" w:after="240" w:line="360" w:lineRule="auto"/>
        <w:ind w:firstLineChars="0"/>
        <w:outlineLvl w:val="2"/>
        <w:rPr>
          <w:b/>
          <w:bCs/>
          <w:i w:val="0"/>
          <w:iCs w:val="0"/>
          <w:vanish/>
          <w:color w:val="auto"/>
          <w:sz w:val="28"/>
          <w:szCs w:val="28"/>
          <w:highlight w:val="none"/>
        </w:rPr>
      </w:pPr>
      <w:bookmarkStart w:id="237" w:name="_Toc198241534"/>
      <w:bookmarkEnd w:id="237"/>
      <w:bookmarkStart w:id="238" w:name="_Toc198394236"/>
      <w:bookmarkEnd w:id="238"/>
      <w:bookmarkStart w:id="239" w:name="_Toc518573357"/>
    </w:p>
    <w:p w14:paraId="56D12F29">
      <w:pPr>
        <w:pStyle w:val="151"/>
        <w:keepNext/>
        <w:keepLines/>
        <w:numPr>
          <w:ilvl w:val="1"/>
          <w:numId w:val="38"/>
        </w:numPr>
        <w:tabs>
          <w:tab w:val="left" w:pos="0"/>
        </w:tabs>
        <w:spacing w:before="240" w:after="240" w:line="360" w:lineRule="auto"/>
        <w:ind w:firstLineChars="0"/>
        <w:outlineLvl w:val="2"/>
        <w:rPr>
          <w:b/>
          <w:bCs/>
          <w:i w:val="0"/>
          <w:iCs w:val="0"/>
          <w:vanish/>
          <w:color w:val="auto"/>
          <w:sz w:val="28"/>
          <w:szCs w:val="28"/>
          <w:highlight w:val="none"/>
        </w:rPr>
      </w:pPr>
      <w:bookmarkStart w:id="240" w:name="_Toc198241535"/>
      <w:bookmarkEnd w:id="240"/>
      <w:bookmarkStart w:id="241" w:name="_Toc198394237"/>
      <w:bookmarkEnd w:id="241"/>
    </w:p>
    <w:p w14:paraId="56D12F2A">
      <w:pPr>
        <w:pStyle w:val="151"/>
        <w:keepNext/>
        <w:keepLines/>
        <w:numPr>
          <w:ilvl w:val="1"/>
          <w:numId w:val="38"/>
        </w:numPr>
        <w:tabs>
          <w:tab w:val="left" w:pos="0"/>
        </w:tabs>
        <w:spacing w:before="240" w:after="240" w:line="360" w:lineRule="auto"/>
        <w:ind w:firstLineChars="0"/>
        <w:outlineLvl w:val="2"/>
        <w:rPr>
          <w:b/>
          <w:bCs/>
          <w:i w:val="0"/>
          <w:iCs w:val="0"/>
          <w:vanish/>
          <w:color w:val="auto"/>
          <w:sz w:val="28"/>
          <w:szCs w:val="28"/>
          <w:highlight w:val="none"/>
        </w:rPr>
      </w:pPr>
      <w:bookmarkStart w:id="242" w:name="_Toc198394238"/>
      <w:bookmarkEnd w:id="242"/>
      <w:bookmarkStart w:id="243" w:name="_Toc198241536"/>
      <w:bookmarkEnd w:id="243"/>
    </w:p>
    <w:p w14:paraId="56D12F2B">
      <w:pPr>
        <w:pStyle w:val="6"/>
        <w:ind w:left="0"/>
        <w:rPr>
          <w:i w:val="0"/>
          <w:iCs w:val="0"/>
          <w:color w:val="auto"/>
          <w:sz w:val="21"/>
          <w:szCs w:val="21"/>
          <w:highlight w:val="none"/>
        </w:rPr>
      </w:pPr>
      <w:r>
        <w:rPr>
          <w:rFonts w:hint="eastAsia"/>
          <w:i w:val="0"/>
          <w:iCs w:val="0"/>
          <w:color w:val="auto"/>
          <w:sz w:val="21"/>
          <w:szCs w:val="21"/>
          <w:highlight w:val="none"/>
        </w:rPr>
        <w:t>管理云平台设计思路</w:t>
      </w:r>
    </w:p>
    <w:p w14:paraId="56D12F2C">
      <w:pPr>
        <w:pStyle w:val="7"/>
        <w:rPr>
          <w:rFonts w:hint="eastAsia"/>
          <w:i w:val="0"/>
          <w:iCs w:val="0"/>
          <w:color w:val="auto"/>
          <w:sz w:val="21"/>
          <w:szCs w:val="21"/>
          <w:highlight w:val="none"/>
          <w:lang w:val="en-US"/>
        </w:rPr>
      </w:pPr>
      <w:r>
        <w:rPr>
          <w:rFonts w:hint="eastAsia"/>
          <w:i w:val="0"/>
          <w:iCs w:val="0"/>
          <w:color w:val="auto"/>
          <w:sz w:val="21"/>
          <w:szCs w:val="21"/>
          <w:highlight w:val="none"/>
          <w:lang w:val="en-US"/>
        </w:rPr>
        <w:t>管理云平台整体设计原则如下：</w:t>
      </w:r>
    </w:p>
    <w:p w14:paraId="56D12F2D">
      <w:pPr>
        <w:pStyle w:val="142"/>
        <w:ind w:firstLine="420"/>
        <w:jc w:val="center"/>
        <w:rPr>
          <w:i w:val="0"/>
          <w:iCs w:val="0"/>
          <w:color w:val="auto"/>
          <w:sz w:val="21"/>
          <w:szCs w:val="15"/>
          <w:highlight w:val="none"/>
        </w:rPr>
      </w:pPr>
      <w:r>
        <w:rPr>
          <w:i w:val="0"/>
          <w:iCs w:val="0"/>
          <w:color w:val="auto"/>
          <w:sz w:val="21"/>
          <w:szCs w:val="15"/>
          <w:highlight w:val="none"/>
        </w:rPr>
        <w:pict>
          <v:shape id="_x0000_s2051" o:spid="_x0000_s2051" o:spt="75" type="#_x0000_t75" style="position:absolute;left:0pt;margin-left:-2.7pt;margin-top:71.15pt;height:252.25pt;width:389.45pt;mso-wrap-distance-bottom:0pt;mso-wrap-distance-top:0pt;z-index:251663360;mso-width-relative:page;mso-height-relative:page;" o:ole="t" filled="f" o:preferrelative="t" stroked="f" coordsize="21600,21600">
            <v:path/>
            <v:fill on="f" focussize="0,0"/>
            <v:stroke on="f" joinstyle="miter"/>
            <v:imagedata r:id="rId37" o:title=""/>
            <o:lock v:ext="edit" aspectratio="f"/>
            <w10:wrap type="topAndBottom"/>
          </v:shape>
          <o:OLEObject Type="Embed" ProgID="Visio.Drawing.15" ShapeID="_x0000_s2051" DrawAspect="Content" ObjectID="_1468075728" r:id="rId36">
            <o:LockedField>false</o:LockedField>
          </o:OLEObject>
        </w:pict>
      </w:r>
      <w:r>
        <w:rPr>
          <w:rFonts w:hint="eastAsia"/>
          <w:i w:val="0"/>
          <w:iCs w:val="0"/>
          <w:color w:val="auto"/>
          <w:sz w:val="21"/>
          <w:szCs w:val="15"/>
          <w:highlight w:val="none"/>
        </w:rPr>
        <w:t>模块化：整体架构采用分区分模块设计原则，包含内部管理网业务区1、外部服务网业务区2、存储区、安全资源区、云管理区、核心交换区、带外管理区、安全运维区、出口区、接入互联区、数据中心互联区等；测试&amp;开发区单独物理组网；</w:t>
      </w:r>
    </w:p>
    <w:p w14:paraId="56D12F2E">
      <w:pPr>
        <w:pStyle w:val="142"/>
        <w:ind w:firstLine="420"/>
        <w:rPr>
          <w:i w:val="0"/>
          <w:iCs w:val="0"/>
          <w:color w:val="auto"/>
          <w:sz w:val="21"/>
          <w:szCs w:val="15"/>
          <w:highlight w:val="none"/>
        </w:rPr>
      </w:pPr>
      <w:r>
        <w:rPr>
          <w:rFonts w:hint="eastAsia"/>
          <w:i w:val="0"/>
          <w:iCs w:val="0"/>
          <w:color w:val="auto"/>
          <w:sz w:val="21"/>
          <w:szCs w:val="15"/>
          <w:highlight w:val="none"/>
        </w:rPr>
        <w:t>可靠性：关键设备关键部件（主控引擎、电源模块、交换网板、风扇等）冗余设计，保证设备本身的可靠性；关键位置采用双机部署，实现设备间的可靠性；关键路径采用双链路互联，提升链路可靠性。</w:t>
      </w:r>
    </w:p>
    <w:p w14:paraId="56D12F2F">
      <w:pPr>
        <w:pStyle w:val="142"/>
        <w:ind w:firstLine="420"/>
        <w:rPr>
          <w:i w:val="0"/>
          <w:iCs w:val="0"/>
          <w:color w:val="auto"/>
          <w:sz w:val="21"/>
          <w:szCs w:val="15"/>
          <w:highlight w:val="none"/>
        </w:rPr>
      </w:pPr>
      <w:r>
        <w:rPr>
          <w:rFonts w:hint="eastAsia"/>
          <w:i w:val="0"/>
          <w:iCs w:val="0"/>
          <w:color w:val="auto"/>
          <w:sz w:val="21"/>
          <w:szCs w:val="15"/>
          <w:highlight w:val="none"/>
        </w:rPr>
        <w:t>安全性：系统架构参照等保三级进行设计，按照“平台统保，系统自保”原则进行安全规划，遵循“一个中心，三重防护”标准进行安全防护。</w:t>
      </w:r>
    </w:p>
    <w:p w14:paraId="56D12F30">
      <w:pPr>
        <w:pStyle w:val="142"/>
        <w:ind w:firstLine="420"/>
        <w:rPr>
          <w:i w:val="0"/>
          <w:iCs w:val="0"/>
          <w:color w:val="auto"/>
          <w:sz w:val="21"/>
          <w:szCs w:val="15"/>
          <w:highlight w:val="none"/>
        </w:rPr>
      </w:pPr>
      <w:r>
        <w:rPr>
          <w:rFonts w:hint="eastAsia"/>
          <w:i w:val="0"/>
          <w:iCs w:val="0"/>
          <w:color w:val="auto"/>
          <w:sz w:val="21"/>
          <w:szCs w:val="15"/>
          <w:highlight w:val="none"/>
        </w:rPr>
        <w:t>隔离性：每个资源池有单独的业务网、存储网、管理网以及带外管理，内部管理网业务区1与外部服务网业务区2组建单独的物理集群资源池，往上通过虚拟网络及安全设备进行隔离及访问控制。</w:t>
      </w:r>
    </w:p>
    <w:p w14:paraId="56D12F31">
      <w:pPr>
        <w:pStyle w:val="142"/>
        <w:ind w:firstLine="420"/>
        <w:rPr>
          <w:i w:val="0"/>
          <w:iCs w:val="0"/>
          <w:color w:val="auto"/>
          <w:sz w:val="21"/>
          <w:szCs w:val="15"/>
          <w:highlight w:val="none"/>
        </w:rPr>
      </w:pPr>
      <w:r>
        <w:rPr>
          <w:rFonts w:hint="eastAsia"/>
          <w:i w:val="0"/>
          <w:iCs w:val="0"/>
          <w:color w:val="auto"/>
          <w:sz w:val="21"/>
          <w:szCs w:val="15"/>
          <w:highlight w:val="none"/>
        </w:rPr>
        <w:t>管理性：整体基础设施通过云平台实现网络、安全、计算、存储等资源的统一纳管与编排，实现资源的自动化部署及调度，同时部署云运维平台，实现资源的界面化统一运维。</w:t>
      </w:r>
    </w:p>
    <w:p w14:paraId="56D12F32">
      <w:pPr>
        <w:pStyle w:val="7"/>
        <w:rPr>
          <w:rFonts w:hint="eastAsia"/>
          <w:i w:val="0"/>
          <w:iCs w:val="0"/>
          <w:color w:val="auto"/>
          <w:sz w:val="21"/>
          <w:szCs w:val="21"/>
          <w:highlight w:val="none"/>
          <w:lang w:val="en-US"/>
        </w:rPr>
      </w:pPr>
      <w:r>
        <w:rPr>
          <w:rFonts w:hint="eastAsia"/>
          <w:i w:val="0"/>
          <w:iCs w:val="0"/>
          <w:color w:val="auto"/>
          <w:sz w:val="21"/>
          <w:szCs w:val="21"/>
          <w:highlight w:val="none"/>
          <w:lang w:val="en-US"/>
        </w:rPr>
        <w:t>管理云平台整体架构如下：</w:t>
      </w:r>
    </w:p>
    <w:p w14:paraId="56D12F33">
      <w:pPr>
        <w:rPr>
          <w:i w:val="0"/>
          <w:iCs w:val="0"/>
          <w:color w:val="auto"/>
          <w:highlight w:val="none"/>
        </w:rPr>
      </w:pPr>
      <w:r>
        <w:rPr>
          <w:i w:val="0"/>
          <w:iCs w:val="0"/>
          <w:color w:val="auto"/>
          <w:highlight w:val="none"/>
        </w:rPr>
        <w:pict>
          <v:shape id="_x0000_s2052" o:spid="_x0000_s2052" o:spt="75" type="#_x0000_t75" style="position:absolute;left:0pt;margin-left:5.2pt;margin-top:28.8pt;height:205pt;width:325.85pt;mso-wrap-distance-bottom:0pt;mso-wrap-distance-top:0pt;z-index:251664384;mso-width-relative:page;mso-height-relative:page;" o:ole="t" filled="f" o:preferrelative="t" stroked="f" coordsize="21600,21600">
            <v:path/>
            <v:fill on="f" focussize="0,0"/>
            <v:stroke on="f" joinstyle="miter"/>
            <v:imagedata r:id="rId39" o:title=""/>
            <o:lock v:ext="edit" aspectratio="f"/>
            <w10:wrap type="topAndBottom"/>
          </v:shape>
          <o:OLEObject Type="Embed" ProgID="Visio.Drawing.15" ShapeID="_x0000_s2052" DrawAspect="Content" ObjectID="_1468075729" r:id="rId38">
            <o:LockedField>false</o:LockedField>
          </o:OLEObject>
        </w:pict>
      </w:r>
    </w:p>
    <w:p w14:paraId="56D12F34">
      <w:pPr>
        <w:pStyle w:val="142"/>
        <w:ind w:firstLine="420"/>
        <w:rPr>
          <w:i w:val="0"/>
          <w:iCs w:val="0"/>
          <w:color w:val="auto"/>
          <w:sz w:val="21"/>
          <w:szCs w:val="15"/>
          <w:highlight w:val="none"/>
        </w:rPr>
      </w:pPr>
    </w:p>
    <w:p w14:paraId="56D12F35">
      <w:pPr>
        <w:pStyle w:val="6"/>
        <w:ind w:left="0"/>
        <w:rPr>
          <w:i w:val="0"/>
          <w:iCs w:val="0"/>
          <w:color w:val="auto"/>
          <w:sz w:val="21"/>
          <w:szCs w:val="21"/>
          <w:highlight w:val="none"/>
        </w:rPr>
      </w:pPr>
      <w:r>
        <w:rPr>
          <w:rFonts w:hint="eastAsia"/>
          <w:i w:val="0"/>
          <w:iCs w:val="0"/>
          <w:color w:val="auto"/>
          <w:sz w:val="21"/>
          <w:szCs w:val="21"/>
          <w:highlight w:val="none"/>
        </w:rPr>
        <w:t>分区网络设计原则</w:t>
      </w:r>
      <w:bookmarkEnd w:id="239"/>
    </w:p>
    <w:p w14:paraId="56D12F36">
      <w:pPr>
        <w:pStyle w:val="142"/>
        <w:ind w:firstLine="420"/>
        <w:rPr>
          <w:i w:val="0"/>
          <w:iCs w:val="0"/>
          <w:color w:val="auto"/>
          <w:sz w:val="21"/>
          <w:szCs w:val="15"/>
          <w:highlight w:val="none"/>
        </w:rPr>
      </w:pPr>
      <w:r>
        <w:rPr>
          <w:rFonts w:hint="eastAsia"/>
          <w:i w:val="0"/>
          <w:iCs w:val="0"/>
          <w:color w:val="auto"/>
          <w:sz w:val="21"/>
          <w:szCs w:val="15"/>
          <w:highlight w:val="none"/>
        </w:rPr>
        <w:t>模块化：考虑到业务的调整及发展，网络结构和系统结构设计模块化、易于扩展。</w:t>
      </w:r>
    </w:p>
    <w:p w14:paraId="56D12F37">
      <w:pPr>
        <w:pStyle w:val="142"/>
        <w:ind w:firstLine="420"/>
        <w:rPr>
          <w:i w:val="0"/>
          <w:iCs w:val="0"/>
          <w:color w:val="auto"/>
          <w:sz w:val="21"/>
          <w:szCs w:val="15"/>
          <w:highlight w:val="none"/>
        </w:rPr>
      </w:pPr>
      <w:r>
        <w:rPr>
          <w:rFonts w:hint="eastAsia"/>
          <w:i w:val="0"/>
          <w:iCs w:val="0"/>
          <w:color w:val="auto"/>
          <w:sz w:val="21"/>
          <w:szCs w:val="15"/>
          <w:highlight w:val="none"/>
        </w:rPr>
        <w:t>高可靠：网络设计中采用冗余网络设计，实现关键设备、链路冗余；关键设备选用高可靠性产品，可实现单板、模块热拔插、控制模块设计冗余、电源冗余；减少网络层级，简化网络结构，从组网架构上提高可靠性。</w:t>
      </w:r>
    </w:p>
    <w:p w14:paraId="56D12F38">
      <w:pPr>
        <w:pStyle w:val="142"/>
        <w:ind w:firstLine="420"/>
        <w:rPr>
          <w:i w:val="0"/>
          <w:iCs w:val="0"/>
          <w:color w:val="auto"/>
          <w:sz w:val="21"/>
          <w:szCs w:val="15"/>
          <w:highlight w:val="none"/>
        </w:rPr>
      </w:pPr>
      <w:r>
        <w:rPr>
          <w:rFonts w:hint="eastAsia"/>
          <w:i w:val="0"/>
          <w:iCs w:val="0"/>
          <w:color w:val="auto"/>
          <w:sz w:val="21"/>
          <w:szCs w:val="15"/>
          <w:highlight w:val="none"/>
        </w:rPr>
        <w:t>安全隔离：数据中心网络应具备有效的安全控制，按业务、按权限进行分区逻辑隔离，对特别重要的业务采取物理隔离。</w:t>
      </w:r>
    </w:p>
    <w:p w14:paraId="56D12F39">
      <w:pPr>
        <w:pStyle w:val="142"/>
        <w:ind w:firstLine="420"/>
        <w:rPr>
          <w:i w:val="0"/>
          <w:iCs w:val="0"/>
          <w:color w:val="auto"/>
          <w:sz w:val="21"/>
          <w:szCs w:val="15"/>
          <w:highlight w:val="none"/>
        </w:rPr>
      </w:pPr>
      <w:r>
        <w:rPr>
          <w:rFonts w:hint="eastAsia"/>
          <w:i w:val="0"/>
          <w:iCs w:val="0"/>
          <w:color w:val="auto"/>
          <w:sz w:val="21"/>
          <w:szCs w:val="15"/>
          <w:highlight w:val="none"/>
        </w:rPr>
        <w:t>以服务器为中心的业务、IP存储备份、管理网络等多个网络进行逻辑隔离，管理网络采取完全隔离。</w:t>
      </w:r>
    </w:p>
    <w:p w14:paraId="56D12F3A">
      <w:pPr>
        <w:pStyle w:val="142"/>
        <w:ind w:firstLine="420"/>
        <w:rPr>
          <w:i w:val="0"/>
          <w:iCs w:val="0"/>
          <w:color w:val="auto"/>
          <w:sz w:val="21"/>
          <w:szCs w:val="15"/>
          <w:highlight w:val="none"/>
        </w:rPr>
      </w:pPr>
      <w:r>
        <w:rPr>
          <w:rFonts w:hint="eastAsia"/>
          <w:i w:val="0"/>
          <w:iCs w:val="0"/>
          <w:color w:val="auto"/>
          <w:sz w:val="21"/>
          <w:szCs w:val="15"/>
          <w:highlight w:val="none"/>
        </w:rPr>
        <w:t>可管理性和可维护性：网络应当具有良好的可管理性。为了便于维护，应尽可能选取集成度高、模块可通用的产品。</w:t>
      </w:r>
    </w:p>
    <w:p w14:paraId="56D12F3B">
      <w:pPr>
        <w:pStyle w:val="6"/>
        <w:ind w:left="0"/>
        <w:rPr>
          <w:i w:val="0"/>
          <w:iCs w:val="0"/>
          <w:color w:val="auto"/>
          <w:sz w:val="21"/>
          <w:szCs w:val="21"/>
          <w:highlight w:val="none"/>
        </w:rPr>
      </w:pPr>
      <w:r>
        <w:rPr>
          <w:rFonts w:hint="eastAsia"/>
          <w:i w:val="0"/>
          <w:iCs w:val="0"/>
          <w:color w:val="auto"/>
          <w:sz w:val="21"/>
          <w:szCs w:val="21"/>
          <w:highlight w:val="none"/>
        </w:rPr>
        <w:t>业务区</w:t>
      </w:r>
    </w:p>
    <w:p w14:paraId="56D12F3C">
      <w:pPr>
        <w:pStyle w:val="142"/>
        <w:ind w:firstLine="420"/>
        <w:rPr>
          <w:i w:val="0"/>
          <w:iCs w:val="0"/>
          <w:color w:val="auto"/>
          <w:sz w:val="21"/>
          <w:szCs w:val="15"/>
          <w:highlight w:val="none"/>
        </w:rPr>
      </w:pPr>
      <w:r>
        <w:rPr>
          <w:rFonts w:hint="eastAsia"/>
          <w:i w:val="0"/>
          <w:iCs w:val="0"/>
          <w:color w:val="auto"/>
          <w:sz w:val="21"/>
          <w:szCs w:val="15"/>
          <w:highlight w:val="none"/>
        </w:rPr>
        <w:t>业务运行区主要部署计算虚拟化平台，实现计算资源的接入，主要用于部署各类业务系统、中间件、数据库等，满足整网的计算资源需求。</w:t>
      </w:r>
    </w:p>
    <w:p w14:paraId="56D12F3D">
      <w:pPr>
        <w:pStyle w:val="142"/>
        <w:ind w:firstLine="420"/>
        <w:rPr>
          <w:i w:val="0"/>
          <w:iCs w:val="0"/>
          <w:color w:val="auto"/>
          <w:sz w:val="21"/>
          <w:szCs w:val="15"/>
          <w:highlight w:val="none"/>
        </w:rPr>
      </w:pPr>
      <w:r>
        <w:rPr>
          <w:rFonts w:hint="eastAsia"/>
          <w:i w:val="0"/>
          <w:iCs w:val="0"/>
          <w:color w:val="auto"/>
          <w:sz w:val="21"/>
          <w:szCs w:val="15"/>
          <w:highlight w:val="none"/>
        </w:rPr>
        <w:t>根据云平台的设计思路，考虑不同网之间的安全隔离要求，因此在业务区主要设置业务接入交换机、存储接入交换机、管理接入交换机、带外接入交换机等，实现业务、存储及管理的网络隔离。其中，业务、存储、管理采用万兆接入40G上行的组网，带外管理采用千兆接入万兆上行的组网，满足不同网的带宽需求。</w:t>
      </w:r>
    </w:p>
    <w:p w14:paraId="56D12F3E">
      <w:pPr>
        <w:pStyle w:val="142"/>
        <w:ind w:firstLine="420"/>
        <w:rPr>
          <w:i w:val="0"/>
          <w:iCs w:val="0"/>
          <w:color w:val="auto"/>
          <w:sz w:val="21"/>
          <w:szCs w:val="15"/>
          <w:highlight w:val="none"/>
        </w:rPr>
      </w:pPr>
      <w:r>
        <w:rPr>
          <w:rFonts w:hint="eastAsia"/>
          <w:i w:val="0"/>
          <w:iCs w:val="0"/>
          <w:color w:val="auto"/>
          <w:sz w:val="21"/>
          <w:szCs w:val="15"/>
          <w:highlight w:val="none"/>
        </w:rPr>
        <w:t>服务器后端存储采用集中存储，满足数据库及低时延业务的数据存储及访问需求，集中存储采用FC交换机与服务器进行互联，提升互联及访问效率。</w:t>
      </w:r>
    </w:p>
    <w:p w14:paraId="56D12F3F">
      <w:pPr>
        <w:pStyle w:val="6"/>
        <w:ind w:left="0"/>
        <w:rPr>
          <w:i w:val="0"/>
          <w:iCs w:val="0"/>
          <w:color w:val="auto"/>
          <w:sz w:val="21"/>
          <w:szCs w:val="21"/>
          <w:highlight w:val="none"/>
        </w:rPr>
      </w:pPr>
      <w:r>
        <w:rPr>
          <w:rFonts w:hint="eastAsia"/>
          <w:i w:val="0"/>
          <w:iCs w:val="0"/>
          <w:color w:val="auto"/>
          <w:sz w:val="21"/>
          <w:szCs w:val="21"/>
          <w:highlight w:val="none"/>
        </w:rPr>
        <w:t>存储区</w:t>
      </w:r>
    </w:p>
    <w:p w14:paraId="56D12F40">
      <w:pPr>
        <w:pStyle w:val="142"/>
        <w:ind w:firstLine="420"/>
        <w:rPr>
          <w:i w:val="0"/>
          <w:iCs w:val="0"/>
          <w:color w:val="auto"/>
          <w:sz w:val="21"/>
          <w:szCs w:val="15"/>
          <w:highlight w:val="none"/>
        </w:rPr>
      </w:pPr>
      <w:r>
        <w:rPr>
          <w:rFonts w:hint="eastAsia"/>
          <w:i w:val="0"/>
          <w:iCs w:val="0"/>
          <w:color w:val="auto"/>
          <w:sz w:val="21"/>
          <w:szCs w:val="15"/>
          <w:highlight w:val="none"/>
        </w:rPr>
        <w:t>存储资源区主要给中心云平台及业务提供存储资源，采用分布式存储，满足一般的业务存储及访问需求，后续可线性扩展。</w:t>
      </w:r>
    </w:p>
    <w:p w14:paraId="56D12F41">
      <w:pPr>
        <w:pStyle w:val="142"/>
        <w:ind w:firstLine="420"/>
        <w:rPr>
          <w:i w:val="0"/>
          <w:iCs w:val="0"/>
          <w:color w:val="auto"/>
          <w:sz w:val="21"/>
          <w:szCs w:val="15"/>
          <w:highlight w:val="none"/>
        </w:rPr>
      </w:pPr>
      <w:r>
        <w:rPr>
          <w:rFonts w:hint="eastAsia"/>
          <w:i w:val="0"/>
          <w:iCs w:val="0"/>
          <w:color w:val="auto"/>
          <w:sz w:val="21"/>
          <w:szCs w:val="15"/>
          <w:highlight w:val="none"/>
        </w:rPr>
        <w:t>为保证云平台可以对分布式存储进行纳管，在存储区主要设置存储接入交换机、管理接入交换机、带外接入交换机等，实现存储、管理网的网络隔离。其中，存储、管理采用万兆接入40G上行的组网，带外管理采用千兆接入万兆上行的组网，满足不同网的带宽需求。</w:t>
      </w:r>
    </w:p>
    <w:p w14:paraId="56D12F42">
      <w:pPr>
        <w:pStyle w:val="142"/>
        <w:ind w:firstLine="420"/>
        <w:rPr>
          <w:i w:val="0"/>
          <w:iCs w:val="0"/>
          <w:color w:val="auto"/>
          <w:sz w:val="21"/>
          <w:szCs w:val="15"/>
          <w:highlight w:val="none"/>
        </w:rPr>
      </w:pPr>
      <w:r>
        <w:rPr>
          <w:rFonts w:hint="eastAsia"/>
          <w:i w:val="0"/>
          <w:iCs w:val="0"/>
          <w:color w:val="auto"/>
          <w:sz w:val="21"/>
          <w:szCs w:val="15"/>
          <w:highlight w:val="none"/>
        </w:rPr>
        <w:t>同时，考虑分布式存储的内部资源调度及同步问题，单独设置存储后端交换机，通过单独的万兆网卡实现存储后端的独立万兆组网，保证组网的性能及可靠性。</w:t>
      </w:r>
    </w:p>
    <w:p w14:paraId="56D12F43">
      <w:pPr>
        <w:pStyle w:val="6"/>
        <w:ind w:left="0"/>
        <w:rPr>
          <w:i w:val="0"/>
          <w:iCs w:val="0"/>
          <w:color w:val="auto"/>
          <w:sz w:val="21"/>
          <w:szCs w:val="21"/>
          <w:highlight w:val="none"/>
        </w:rPr>
      </w:pPr>
      <w:r>
        <w:rPr>
          <w:rFonts w:hint="eastAsia"/>
          <w:i w:val="0"/>
          <w:iCs w:val="0"/>
          <w:color w:val="auto"/>
          <w:sz w:val="21"/>
          <w:szCs w:val="21"/>
          <w:highlight w:val="none"/>
        </w:rPr>
        <w:t>安全资源区</w:t>
      </w:r>
    </w:p>
    <w:p w14:paraId="56D12F44">
      <w:pPr>
        <w:pStyle w:val="142"/>
        <w:ind w:firstLine="420"/>
        <w:rPr>
          <w:i w:val="0"/>
          <w:iCs w:val="0"/>
          <w:color w:val="auto"/>
          <w:sz w:val="21"/>
          <w:szCs w:val="15"/>
          <w:highlight w:val="none"/>
        </w:rPr>
      </w:pPr>
      <w:r>
        <w:rPr>
          <w:rFonts w:hint="eastAsia"/>
          <w:i w:val="0"/>
          <w:iCs w:val="0"/>
          <w:color w:val="auto"/>
          <w:sz w:val="21"/>
          <w:szCs w:val="15"/>
          <w:highlight w:val="none"/>
        </w:rPr>
        <w:t>安全资源区主要为云平台业务（租户）提供安全防护设备，满足上云业务系统的等级保护需求，并且根据不同的业务系统提供不同等级所需的安全防护设备。</w:t>
      </w:r>
    </w:p>
    <w:p w14:paraId="56D12F45">
      <w:pPr>
        <w:pStyle w:val="142"/>
        <w:ind w:firstLine="420"/>
        <w:rPr>
          <w:i w:val="0"/>
          <w:iCs w:val="0"/>
          <w:color w:val="auto"/>
          <w:sz w:val="21"/>
          <w:szCs w:val="15"/>
          <w:highlight w:val="none"/>
        </w:rPr>
      </w:pPr>
      <w:r>
        <w:rPr>
          <w:rFonts w:hint="eastAsia"/>
          <w:i w:val="0"/>
          <w:iCs w:val="0"/>
          <w:color w:val="auto"/>
          <w:sz w:val="21"/>
          <w:szCs w:val="15"/>
          <w:highlight w:val="none"/>
        </w:rPr>
        <w:t>根据云平台的设计思路，考虑不同网之间的安全隔离要求，因此在安全资源区主要设置业务接入交换机、存储接入交换机、管理接入交换机、带外接入交换机等，实现业务、存储及管理的网络隔离。其中，业务、存储、管理采用万兆接入40G上行的组网，带外管理采用千兆接入万兆上行的组网，满足不同网的带宽需求。</w:t>
      </w:r>
    </w:p>
    <w:p w14:paraId="56D12F46">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专题九：</w:t>
      </w:r>
      <w:r>
        <w:rPr>
          <w:rFonts w:hint="eastAsia"/>
          <w:i w:val="0"/>
          <w:iCs w:val="0"/>
          <w:color w:val="auto"/>
          <w:sz w:val="21"/>
          <w:szCs w:val="15"/>
          <w:highlight w:val="none"/>
        </w:rPr>
        <w:t>本工程</w:t>
      </w:r>
      <w:r>
        <w:rPr>
          <w:rFonts w:hint="eastAsia"/>
          <w:i w:val="0"/>
          <w:iCs w:val="0"/>
          <w:color w:val="auto"/>
          <w:sz w:val="21"/>
          <w:szCs w:val="15"/>
          <w:highlight w:val="none"/>
          <w:lang w:val="en-US"/>
        </w:rPr>
        <w:t>管理网云平台</w:t>
      </w:r>
      <w:r>
        <w:rPr>
          <w:rFonts w:hint="eastAsia"/>
          <w:i w:val="0"/>
          <w:iCs w:val="0"/>
          <w:color w:val="auto"/>
          <w:sz w:val="21"/>
          <w:szCs w:val="15"/>
          <w:highlight w:val="none"/>
        </w:rPr>
        <w:t>作为</w:t>
      </w:r>
      <w:r>
        <w:rPr>
          <w:rFonts w:hint="eastAsia"/>
          <w:i w:val="0"/>
          <w:iCs w:val="0"/>
          <w:color w:val="auto"/>
          <w:sz w:val="21"/>
          <w:szCs w:val="15"/>
          <w:highlight w:val="none"/>
          <w:lang w:val="en-US"/>
        </w:rPr>
        <w:t>独立的云平台</w:t>
      </w:r>
      <w:r>
        <w:rPr>
          <w:rFonts w:hint="eastAsia"/>
          <w:i w:val="0"/>
          <w:iCs w:val="0"/>
          <w:color w:val="auto"/>
          <w:sz w:val="21"/>
          <w:szCs w:val="15"/>
          <w:highlight w:val="none"/>
        </w:rPr>
        <w:t>，投标人应制定完善、合理的信息安全方案（包含</w:t>
      </w:r>
      <w:r>
        <w:rPr>
          <w:rFonts w:hint="eastAsia"/>
          <w:i w:val="0"/>
          <w:iCs w:val="0"/>
          <w:color w:val="auto"/>
          <w:sz w:val="21"/>
          <w:szCs w:val="15"/>
          <w:highlight w:val="none"/>
          <w:lang w:val="en-US" w:eastAsia="zh-CN"/>
        </w:rPr>
        <w:t>但不限于</w:t>
      </w:r>
      <w:r>
        <w:rPr>
          <w:rFonts w:hint="eastAsia"/>
          <w:i w:val="0"/>
          <w:iCs w:val="0"/>
          <w:color w:val="auto"/>
          <w:sz w:val="21"/>
          <w:szCs w:val="15"/>
          <w:highlight w:val="none"/>
        </w:rPr>
        <w:t>设计、施工、投产使用等不同阶段的</w:t>
      </w:r>
      <w:r>
        <w:rPr>
          <w:rFonts w:hint="eastAsia"/>
          <w:i w:val="0"/>
          <w:iCs w:val="0"/>
          <w:color w:val="auto"/>
          <w:sz w:val="21"/>
          <w:szCs w:val="15"/>
          <w:highlight w:val="none"/>
          <w:lang w:val="en-US" w:eastAsia="zh-CN"/>
        </w:rPr>
        <w:t>方案</w:t>
      </w:r>
      <w:r>
        <w:rPr>
          <w:rFonts w:hint="eastAsia"/>
          <w:i w:val="0"/>
          <w:iCs w:val="0"/>
          <w:color w:val="auto"/>
          <w:sz w:val="21"/>
          <w:szCs w:val="15"/>
          <w:highlight w:val="none"/>
        </w:rPr>
        <w:t>内容）</w:t>
      </w:r>
      <w:r>
        <w:rPr>
          <w:rFonts w:hint="eastAsia"/>
          <w:i w:val="0"/>
          <w:iCs w:val="0"/>
          <w:color w:val="auto"/>
          <w:sz w:val="21"/>
          <w:szCs w:val="15"/>
          <w:highlight w:val="none"/>
          <w:lang w:eastAsia="zh-CN"/>
        </w:rPr>
        <w:t>，</w:t>
      </w:r>
      <w:r>
        <w:rPr>
          <w:rFonts w:hint="eastAsia"/>
          <w:i w:val="0"/>
          <w:iCs w:val="0"/>
          <w:color w:val="auto"/>
          <w:sz w:val="21"/>
          <w:szCs w:val="15"/>
          <w:highlight w:val="none"/>
          <w:lang w:val="en-US"/>
        </w:rPr>
        <w:t>实现信息安全三级等保；本招标用户需求书内信息安全设备为基本资源需求，如以上设备功能需求不满足信息安全等级保护三级时，投标人可根据自身产品特点自行配置其他信息安全设备以满足信息安全等级保护三级要求。如有投标人自身信息安全设备的名称、功能等与本次招标文件要求的设备清单及功能参数不能完成对应的，投标人可选用完全满足或优于招标功能的类似信息设备代替，投标人亦可根据不同配置方案合理选择具体设备，以上所涉及到新增加的设备以及清单数量调整等投标人务必提供详细报价清单，相关费用纳入投标总报价，以满足云平台达到信息安全等级保护三级要求。</w:t>
      </w:r>
    </w:p>
    <w:p w14:paraId="56D12F47">
      <w:pPr>
        <w:pStyle w:val="6"/>
        <w:ind w:left="0"/>
        <w:rPr>
          <w:i w:val="0"/>
          <w:iCs w:val="0"/>
          <w:color w:val="auto"/>
          <w:sz w:val="21"/>
          <w:szCs w:val="21"/>
          <w:highlight w:val="none"/>
        </w:rPr>
      </w:pPr>
      <w:r>
        <w:rPr>
          <w:rFonts w:hint="eastAsia"/>
          <w:i w:val="0"/>
          <w:iCs w:val="0"/>
          <w:color w:val="auto"/>
          <w:sz w:val="21"/>
          <w:szCs w:val="21"/>
          <w:highlight w:val="none"/>
        </w:rPr>
        <w:t>云管理区</w:t>
      </w:r>
    </w:p>
    <w:p w14:paraId="56D12F48">
      <w:pPr>
        <w:pStyle w:val="142"/>
        <w:ind w:firstLine="420"/>
        <w:rPr>
          <w:i w:val="0"/>
          <w:iCs w:val="0"/>
          <w:color w:val="auto"/>
          <w:sz w:val="21"/>
          <w:szCs w:val="15"/>
          <w:highlight w:val="none"/>
        </w:rPr>
      </w:pPr>
      <w:r>
        <w:rPr>
          <w:rFonts w:hint="eastAsia"/>
          <w:i w:val="0"/>
          <w:iCs w:val="0"/>
          <w:color w:val="auto"/>
          <w:sz w:val="21"/>
          <w:szCs w:val="15"/>
          <w:highlight w:val="none"/>
        </w:rPr>
        <w:t>云管理区主要部署云管理平台及云运维平台，实现全网云资源统一纳管、调度及运维管理，简化运维工作，提升运维效率。</w:t>
      </w:r>
    </w:p>
    <w:p w14:paraId="56D12F49">
      <w:pPr>
        <w:pStyle w:val="142"/>
        <w:ind w:firstLine="420"/>
        <w:rPr>
          <w:i w:val="0"/>
          <w:iCs w:val="0"/>
          <w:color w:val="auto"/>
          <w:sz w:val="21"/>
          <w:szCs w:val="15"/>
          <w:highlight w:val="none"/>
        </w:rPr>
      </w:pPr>
      <w:r>
        <w:rPr>
          <w:rFonts w:hint="eastAsia"/>
          <w:i w:val="0"/>
          <w:iCs w:val="0"/>
          <w:color w:val="auto"/>
          <w:sz w:val="21"/>
          <w:szCs w:val="15"/>
          <w:highlight w:val="none"/>
        </w:rPr>
        <w:t>为保证云平台可以对线网资源进行纳管，在云管理区主要设置管理接入交换机管理终端接入交换机等，管理采用万兆接入40G上行的组网，终端接入采用千兆接入万兆上行的组网，满足不同网的带宽需求。</w:t>
      </w:r>
    </w:p>
    <w:p w14:paraId="56D12F4A">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云管软件应包含基础资源管理平台，至少包含以下功能：</w:t>
      </w:r>
    </w:p>
    <w:p w14:paraId="56D12F4B">
      <w:pPr>
        <w:pStyle w:val="142"/>
        <w:ind w:firstLine="420"/>
        <w:rPr>
          <w:i w:val="0"/>
          <w:iCs w:val="0"/>
          <w:color w:val="auto"/>
          <w:sz w:val="21"/>
          <w:szCs w:val="15"/>
          <w:highlight w:val="none"/>
        </w:rPr>
      </w:pPr>
      <w:r>
        <w:rPr>
          <w:rFonts w:hint="eastAsia"/>
          <w:i w:val="0"/>
          <w:iCs w:val="0"/>
          <w:color w:val="auto"/>
          <w:sz w:val="21"/>
          <w:szCs w:val="15"/>
          <w:highlight w:val="none"/>
        </w:rPr>
        <w:t>1.至少支持IAAS层云资源服务能力；</w:t>
      </w:r>
    </w:p>
    <w:p w14:paraId="56D12F4C">
      <w:pPr>
        <w:pStyle w:val="142"/>
        <w:ind w:firstLine="420"/>
        <w:rPr>
          <w:i w:val="0"/>
          <w:iCs w:val="0"/>
          <w:color w:val="auto"/>
          <w:sz w:val="21"/>
          <w:szCs w:val="15"/>
          <w:highlight w:val="none"/>
        </w:rPr>
      </w:pPr>
      <w:r>
        <w:rPr>
          <w:rFonts w:hint="eastAsia"/>
          <w:i w:val="0"/>
          <w:iCs w:val="0"/>
          <w:color w:val="auto"/>
          <w:sz w:val="21"/>
          <w:szCs w:val="15"/>
          <w:highlight w:val="none"/>
        </w:rPr>
        <w:t>2.提供图形化管理界面，提供云资源启动、重启、关闭、关闭电源、克隆、迁移、备份、模板导出、快照等功能；</w:t>
      </w:r>
    </w:p>
    <w:p w14:paraId="56D12F4D">
      <w:pPr>
        <w:pStyle w:val="142"/>
        <w:ind w:firstLine="420"/>
        <w:rPr>
          <w:i w:val="0"/>
          <w:iCs w:val="0"/>
          <w:color w:val="auto"/>
          <w:sz w:val="21"/>
          <w:szCs w:val="15"/>
          <w:highlight w:val="none"/>
        </w:rPr>
      </w:pPr>
      <w:r>
        <w:rPr>
          <w:rFonts w:hint="eastAsia"/>
          <w:i w:val="0"/>
          <w:iCs w:val="0"/>
          <w:color w:val="auto"/>
          <w:sz w:val="21"/>
          <w:szCs w:val="15"/>
          <w:highlight w:val="none"/>
        </w:rPr>
        <w:t>3.支持对计算、存储集群/节点等不同级别的管理，支持计算、存储资源容量监控；</w:t>
      </w:r>
    </w:p>
    <w:p w14:paraId="56D12F4E">
      <w:pPr>
        <w:pStyle w:val="142"/>
        <w:ind w:firstLine="420"/>
        <w:rPr>
          <w:i w:val="0"/>
          <w:iCs w:val="0"/>
          <w:color w:val="auto"/>
          <w:sz w:val="21"/>
          <w:szCs w:val="15"/>
          <w:highlight w:val="none"/>
        </w:rPr>
      </w:pPr>
      <w:r>
        <w:rPr>
          <w:rFonts w:hint="eastAsia"/>
          <w:i w:val="0"/>
          <w:iCs w:val="0"/>
          <w:color w:val="auto"/>
          <w:sz w:val="21"/>
          <w:szCs w:val="15"/>
          <w:highlight w:val="none"/>
        </w:rPr>
        <w:t>4.支持GPU直通能力，可以将服务器上的GPU显卡直通给虚拟机使用；</w:t>
      </w:r>
    </w:p>
    <w:p w14:paraId="56D12F4F">
      <w:pPr>
        <w:pStyle w:val="142"/>
        <w:ind w:firstLine="420"/>
        <w:rPr>
          <w:i w:val="0"/>
          <w:iCs w:val="0"/>
          <w:color w:val="auto"/>
          <w:sz w:val="21"/>
          <w:szCs w:val="15"/>
          <w:highlight w:val="none"/>
        </w:rPr>
      </w:pPr>
      <w:r>
        <w:rPr>
          <w:rFonts w:hint="eastAsia"/>
          <w:i w:val="0"/>
          <w:iCs w:val="0"/>
          <w:color w:val="auto"/>
          <w:sz w:val="21"/>
          <w:szCs w:val="15"/>
          <w:highlight w:val="none"/>
        </w:rPr>
        <w:t>5.支持虚拟机HA，计算&amp;存储DRS功能；</w:t>
      </w:r>
    </w:p>
    <w:p w14:paraId="56D12F50">
      <w:pPr>
        <w:pStyle w:val="142"/>
        <w:ind w:firstLine="420"/>
        <w:rPr>
          <w:i w:val="0"/>
          <w:iCs w:val="0"/>
          <w:color w:val="auto"/>
          <w:sz w:val="21"/>
          <w:szCs w:val="15"/>
          <w:highlight w:val="none"/>
        </w:rPr>
      </w:pPr>
      <w:r>
        <w:rPr>
          <w:rFonts w:hint="eastAsia"/>
          <w:i w:val="0"/>
          <w:iCs w:val="0"/>
          <w:color w:val="auto"/>
          <w:sz w:val="21"/>
          <w:szCs w:val="15"/>
          <w:highlight w:val="none"/>
        </w:rPr>
        <w:t>6.虚拟服务器需广泛支持Windows、Linux 等及国产化主流操作系统的各版本；虚拟化平台支持主流设备厂商提供的X86、ARM服务器，以及基于业界标准接口的硬件设备；虚拟化软件支持主流设备厂商提供的共享存储；</w:t>
      </w:r>
    </w:p>
    <w:p w14:paraId="56D12F51">
      <w:pPr>
        <w:pStyle w:val="142"/>
        <w:ind w:firstLine="420"/>
        <w:rPr>
          <w:i w:val="0"/>
          <w:iCs w:val="0"/>
          <w:color w:val="auto"/>
          <w:sz w:val="21"/>
          <w:szCs w:val="15"/>
          <w:highlight w:val="none"/>
        </w:rPr>
      </w:pPr>
      <w:r>
        <w:rPr>
          <w:rFonts w:hint="eastAsia"/>
          <w:i w:val="0"/>
          <w:iCs w:val="0"/>
          <w:color w:val="auto"/>
          <w:sz w:val="21"/>
          <w:szCs w:val="15"/>
          <w:highlight w:val="none"/>
        </w:rPr>
        <w:t>7.支持对底层硬件的扩容或增加；</w:t>
      </w:r>
    </w:p>
    <w:p w14:paraId="56D12F52">
      <w:pPr>
        <w:pStyle w:val="142"/>
        <w:ind w:firstLine="420"/>
        <w:rPr>
          <w:i w:val="0"/>
          <w:iCs w:val="0"/>
          <w:color w:val="auto"/>
          <w:sz w:val="21"/>
          <w:szCs w:val="15"/>
          <w:highlight w:val="none"/>
        </w:rPr>
      </w:pPr>
      <w:r>
        <w:rPr>
          <w:rFonts w:hint="eastAsia"/>
          <w:i w:val="0"/>
          <w:iCs w:val="0"/>
          <w:color w:val="auto"/>
          <w:sz w:val="21"/>
          <w:szCs w:val="15"/>
          <w:highlight w:val="none"/>
        </w:rPr>
        <w:t>8.提供永久授权的license。</w:t>
      </w:r>
    </w:p>
    <w:p w14:paraId="56D12F53">
      <w:pPr>
        <w:pStyle w:val="6"/>
        <w:ind w:left="0"/>
        <w:rPr>
          <w:i w:val="0"/>
          <w:iCs w:val="0"/>
          <w:color w:val="auto"/>
          <w:sz w:val="21"/>
          <w:szCs w:val="21"/>
          <w:highlight w:val="none"/>
        </w:rPr>
      </w:pPr>
      <w:r>
        <w:rPr>
          <w:rFonts w:hint="eastAsia"/>
          <w:i w:val="0"/>
          <w:iCs w:val="0"/>
          <w:color w:val="auto"/>
          <w:sz w:val="21"/>
          <w:szCs w:val="21"/>
          <w:highlight w:val="none"/>
        </w:rPr>
        <w:t>核心交换区</w:t>
      </w:r>
    </w:p>
    <w:p w14:paraId="56D12F54">
      <w:pPr>
        <w:pStyle w:val="142"/>
        <w:ind w:firstLine="420"/>
        <w:rPr>
          <w:i w:val="0"/>
          <w:iCs w:val="0"/>
          <w:color w:val="auto"/>
          <w:sz w:val="21"/>
          <w:szCs w:val="15"/>
          <w:highlight w:val="none"/>
        </w:rPr>
      </w:pPr>
      <w:r>
        <w:rPr>
          <w:rFonts w:hint="eastAsia"/>
          <w:i w:val="0"/>
          <w:iCs w:val="0"/>
          <w:color w:val="auto"/>
          <w:sz w:val="21"/>
          <w:szCs w:val="15"/>
          <w:highlight w:val="none"/>
        </w:rPr>
        <w:t>核心交换区在功能上是数据中心网络的交换核心，由数据中心核心交换机构成，核心交换区连接各功能区的接入或者汇聚交换机，提供高速的三层交换，满足中心内部各个分区的业务交互及互访需求。</w:t>
      </w:r>
    </w:p>
    <w:p w14:paraId="56D12F55">
      <w:pPr>
        <w:pStyle w:val="142"/>
        <w:ind w:firstLine="420"/>
        <w:rPr>
          <w:i w:val="0"/>
          <w:iCs w:val="0"/>
          <w:color w:val="auto"/>
          <w:sz w:val="21"/>
          <w:szCs w:val="15"/>
          <w:highlight w:val="none"/>
        </w:rPr>
      </w:pPr>
      <w:r>
        <w:rPr>
          <w:rFonts w:hint="eastAsia"/>
          <w:i w:val="0"/>
          <w:iCs w:val="0"/>
          <w:color w:val="auto"/>
          <w:sz w:val="21"/>
          <w:szCs w:val="15"/>
          <w:highlight w:val="none"/>
        </w:rPr>
        <w:t>核心交换区采用两台高端模块化交换机，设备关键部件（主控引擎、电源、网板、风扇等）冗余设计，保证设备本身的可靠性；关键位置采用双机部署，实现设备间的可靠性。</w:t>
      </w:r>
    </w:p>
    <w:p w14:paraId="56D12F56">
      <w:pPr>
        <w:pStyle w:val="142"/>
        <w:ind w:firstLine="420"/>
        <w:rPr>
          <w:i w:val="0"/>
          <w:iCs w:val="0"/>
          <w:color w:val="auto"/>
          <w:sz w:val="21"/>
          <w:szCs w:val="15"/>
          <w:highlight w:val="none"/>
        </w:rPr>
      </w:pPr>
      <w:r>
        <w:rPr>
          <w:rFonts w:hint="eastAsia"/>
          <w:i w:val="0"/>
          <w:iCs w:val="0"/>
          <w:color w:val="auto"/>
          <w:sz w:val="21"/>
          <w:szCs w:val="15"/>
          <w:highlight w:val="none"/>
        </w:rPr>
        <w:t>核心交换设备通过扩展模块化的万兆、40G接口板，满足不同分区、不同设备的接入需求，同时预留槽位，满足后续业务扩展对于接口及带宽的平滑扩展。</w:t>
      </w:r>
    </w:p>
    <w:p w14:paraId="56D12F57">
      <w:pPr>
        <w:pStyle w:val="6"/>
        <w:ind w:left="0"/>
        <w:rPr>
          <w:i w:val="0"/>
          <w:iCs w:val="0"/>
          <w:color w:val="auto"/>
          <w:sz w:val="21"/>
          <w:szCs w:val="21"/>
          <w:highlight w:val="none"/>
        </w:rPr>
      </w:pPr>
      <w:r>
        <w:rPr>
          <w:rFonts w:hint="eastAsia"/>
          <w:i w:val="0"/>
          <w:iCs w:val="0"/>
          <w:color w:val="auto"/>
          <w:sz w:val="21"/>
          <w:szCs w:val="21"/>
          <w:highlight w:val="none"/>
        </w:rPr>
        <w:t>带外管理区</w:t>
      </w:r>
    </w:p>
    <w:p w14:paraId="56D12F58">
      <w:pPr>
        <w:pStyle w:val="142"/>
        <w:ind w:firstLine="420"/>
        <w:rPr>
          <w:i w:val="0"/>
          <w:iCs w:val="0"/>
          <w:color w:val="auto"/>
          <w:sz w:val="21"/>
          <w:szCs w:val="15"/>
          <w:highlight w:val="none"/>
        </w:rPr>
      </w:pPr>
      <w:r>
        <w:rPr>
          <w:rFonts w:hint="eastAsia"/>
          <w:i w:val="0"/>
          <w:iCs w:val="0"/>
          <w:color w:val="auto"/>
          <w:sz w:val="21"/>
          <w:szCs w:val="15"/>
          <w:highlight w:val="none"/>
        </w:rPr>
        <w:t>带外管理区主要满足硬件设备的带外管理需求，实现设备的远程控制，特别是计算节点设备，主要通过千兆接入交换机连接设备的带外管理口，组件单独的带外管理网。</w:t>
      </w:r>
    </w:p>
    <w:p w14:paraId="56D12F59">
      <w:pPr>
        <w:pStyle w:val="6"/>
        <w:ind w:left="0"/>
        <w:rPr>
          <w:i w:val="0"/>
          <w:iCs w:val="0"/>
          <w:color w:val="auto"/>
          <w:sz w:val="21"/>
          <w:szCs w:val="21"/>
          <w:highlight w:val="none"/>
        </w:rPr>
      </w:pPr>
      <w:r>
        <w:rPr>
          <w:rFonts w:hint="eastAsia"/>
          <w:i w:val="0"/>
          <w:iCs w:val="0"/>
          <w:color w:val="auto"/>
          <w:sz w:val="21"/>
          <w:szCs w:val="21"/>
          <w:highlight w:val="none"/>
        </w:rPr>
        <w:t>安全运维区</w:t>
      </w:r>
    </w:p>
    <w:p w14:paraId="56D12F5A">
      <w:pPr>
        <w:pStyle w:val="142"/>
        <w:ind w:firstLine="420"/>
        <w:rPr>
          <w:i w:val="0"/>
          <w:iCs w:val="0"/>
          <w:color w:val="auto"/>
          <w:sz w:val="21"/>
          <w:szCs w:val="15"/>
          <w:highlight w:val="none"/>
          <w:lang w:val="en-US"/>
        </w:rPr>
      </w:pPr>
      <w:r>
        <w:rPr>
          <w:rFonts w:hint="eastAsia"/>
          <w:i w:val="0"/>
          <w:iCs w:val="0"/>
          <w:color w:val="auto"/>
          <w:sz w:val="21"/>
          <w:szCs w:val="15"/>
          <w:highlight w:val="none"/>
        </w:rPr>
        <w:t>安全运维区主要实现云平台的等保审计，通过部署堡垒机、数据库审计、日志审计、防病毒、漏洞扫描、态势感知等</w:t>
      </w:r>
      <w:r>
        <w:rPr>
          <w:rFonts w:hint="eastAsia"/>
          <w:i w:val="0"/>
          <w:iCs w:val="0"/>
          <w:color w:val="auto"/>
          <w:sz w:val="21"/>
          <w:szCs w:val="15"/>
          <w:highlight w:val="none"/>
          <w:lang w:val="en-US" w:eastAsia="zh-CN"/>
        </w:rPr>
        <w:t>功能模块</w:t>
      </w:r>
      <w:r>
        <w:rPr>
          <w:rFonts w:hint="eastAsia"/>
          <w:i w:val="0"/>
          <w:iCs w:val="0"/>
          <w:color w:val="auto"/>
          <w:sz w:val="21"/>
          <w:szCs w:val="15"/>
          <w:highlight w:val="none"/>
        </w:rPr>
        <w:t>，满足云平台的安全审计、病毒防护等，构建事前、事中、事后的全流程安全防护体系。</w:t>
      </w:r>
      <w:r>
        <w:rPr>
          <w:rFonts w:hint="eastAsia"/>
          <w:i w:val="0"/>
          <w:iCs w:val="0"/>
          <w:color w:val="auto"/>
          <w:sz w:val="21"/>
          <w:szCs w:val="15"/>
          <w:highlight w:val="none"/>
          <w:lang w:val="en-US"/>
        </w:rPr>
        <w:t>其中防火墙、态势感知、探针采用单独服务器部署，其它部分云化部署。</w:t>
      </w:r>
    </w:p>
    <w:p w14:paraId="56D12F5B">
      <w:pPr>
        <w:pStyle w:val="142"/>
        <w:ind w:firstLine="420"/>
        <w:rPr>
          <w:i w:val="0"/>
          <w:iCs w:val="0"/>
          <w:color w:val="auto"/>
          <w:sz w:val="21"/>
          <w:szCs w:val="15"/>
          <w:highlight w:val="none"/>
        </w:rPr>
      </w:pPr>
      <w:r>
        <w:rPr>
          <w:rFonts w:hint="eastAsia"/>
          <w:i w:val="0"/>
          <w:iCs w:val="0"/>
          <w:color w:val="auto"/>
          <w:sz w:val="21"/>
          <w:szCs w:val="15"/>
          <w:highlight w:val="none"/>
        </w:rPr>
        <w:t>安全运维区网络侧</w:t>
      </w:r>
      <w:r>
        <w:rPr>
          <w:rFonts w:hint="eastAsia"/>
          <w:i w:val="0"/>
          <w:iCs w:val="0"/>
          <w:color w:val="auto"/>
          <w:sz w:val="21"/>
          <w:szCs w:val="15"/>
          <w:highlight w:val="none"/>
          <w:lang w:val="en-US"/>
        </w:rPr>
        <w:t>的防火墙、态势感知、探针</w:t>
      </w:r>
      <w:r>
        <w:rPr>
          <w:rFonts w:hint="eastAsia"/>
          <w:i w:val="0"/>
          <w:iCs w:val="0"/>
          <w:color w:val="auto"/>
          <w:sz w:val="21"/>
          <w:szCs w:val="15"/>
          <w:highlight w:val="none"/>
        </w:rPr>
        <w:t>通过千兆接入交换机，实现千兆接入万兆上行的互联需求。</w:t>
      </w:r>
    </w:p>
    <w:p w14:paraId="56D12F5C">
      <w:pPr>
        <w:pStyle w:val="5"/>
        <w:ind w:left="0"/>
        <w:rPr>
          <w:i w:val="0"/>
          <w:iCs w:val="0"/>
          <w:color w:val="auto"/>
          <w:sz w:val="22"/>
          <w:szCs w:val="22"/>
          <w:highlight w:val="none"/>
          <w:lang w:val="en-US"/>
        </w:rPr>
      </w:pPr>
      <w:bookmarkStart w:id="244" w:name="_Toc4228"/>
      <w:r>
        <w:rPr>
          <w:rFonts w:hint="eastAsia"/>
          <w:i w:val="0"/>
          <w:iCs w:val="0"/>
          <w:color w:val="auto"/>
          <w:sz w:val="22"/>
          <w:szCs w:val="22"/>
          <w:highlight w:val="none"/>
          <w:lang w:val="en-US"/>
        </w:rPr>
        <w:t>迁移实施</w:t>
      </w:r>
      <w:bookmarkEnd w:id="244"/>
    </w:p>
    <w:p w14:paraId="56D12F5D">
      <w:pPr>
        <w:pStyle w:val="6"/>
        <w:ind w:left="0"/>
        <w:rPr>
          <w:i w:val="0"/>
          <w:iCs w:val="0"/>
          <w:color w:val="auto"/>
          <w:sz w:val="21"/>
          <w:szCs w:val="21"/>
          <w:highlight w:val="none"/>
        </w:rPr>
      </w:pPr>
      <w:r>
        <w:rPr>
          <w:i w:val="0"/>
          <w:iCs w:val="0"/>
          <w:color w:val="auto"/>
          <w:sz w:val="21"/>
          <w:szCs w:val="21"/>
          <w:highlight w:val="none"/>
        </w:rPr>
        <w:t>迁移前准备​</w:t>
      </w:r>
    </w:p>
    <w:p w14:paraId="56D12F5E">
      <w:pPr>
        <w:pStyle w:val="142"/>
        <w:ind w:firstLine="420"/>
        <w:rPr>
          <w:i w:val="0"/>
          <w:iCs w:val="0"/>
          <w:color w:val="auto"/>
          <w:sz w:val="21"/>
          <w:szCs w:val="15"/>
          <w:highlight w:val="none"/>
        </w:rPr>
      </w:pPr>
      <w:r>
        <w:rPr>
          <w:i w:val="0"/>
          <w:iCs w:val="0"/>
          <w:color w:val="auto"/>
          <w:sz w:val="21"/>
          <w:szCs w:val="15"/>
          <w:highlight w:val="none"/>
        </w:rPr>
        <w:t>系统评估：对GBIM系统</w:t>
      </w:r>
      <w:r>
        <w:rPr>
          <w:rFonts w:hint="eastAsia"/>
          <w:i w:val="0"/>
          <w:iCs w:val="0"/>
          <w:color w:val="auto"/>
          <w:sz w:val="21"/>
          <w:szCs w:val="15"/>
          <w:highlight w:val="none"/>
          <w:lang w:val="en-US"/>
        </w:rPr>
        <w:t>等应用</w:t>
      </w:r>
      <w:r>
        <w:rPr>
          <w:i w:val="0"/>
          <w:iCs w:val="0"/>
          <w:color w:val="auto"/>
          <w:sz w:val="21"/>
          <w:szCs w:val="15"/>
          <w:highlight w:val="none"/>
        </w:rPr>
        <w:t>在公有云的运行状况进行全面评估，包括应用架构、数据存储结构、资源使用情况、性能指标等，为迁移方案制定提供依据。​</w:t>
      </w:r>
    </w:p>
    <w:p w14:paraId="56D12F5F">
      <w:pPr>
        <w:pStyle w:val="142"/>
        <w:ind w:firstLine="420"/>
        <w:rPr>
          <w:i w:val="0"/>
          <w:iCs w:val="0"/>
          <w:color w:val="auto"/>
          <w:sz w:val="21"/>
          <w:szCs w:val="15"/>
          <w:highlight w:val="none"/>
        </w:rPr>
      </w:pPr>
      <w:r>
        <w:rPr>
          <w:i w:val="0"/>
          <w:iCs w:val="0"/>
          <w:color w:val="auto"/>
          <w:sz w:val="21"/>
          <w:szCs w:val="15"/>
          <w:highlight w:val="none"/>
        </w:rPr>
        <w:t>数据备份：在公有云环境对GBIM系统</w:t>
      </w:r>
      <w:r>
        <w:rPr>
          <w:rFonts w:hint="eastAsia"/>
          <w:i w:val="0"/>
          <w:iCs w:val="0"/>
          <w:color w:val="auto"/>
          <w:sz w:val="21"/>
          <w:szCs w:val="15"/>
          <w:highlight w:val="none"/>
          <w:lang w:val="en-US"/>
        </w:rPr>
        <w:t>等应用</w:t>
      </w:r>
      <w:r>
        <w:rPr>
          <w:i w:val="0"/>
          <w:iCs w:val="0"/>
          <w:color w:val="auto"/>
          <w:sz w:val="21"/>
          <w:szCs w:val="15"/>
          <w:highlight w:val="none"/>
        </w:rPr>
        <w:t>数据进行全量备份，采用可靠的备份工具，将数据备份至安全存储介质，确保数据完整性与可恢复性。​</w:t>
      </w:r>
    </w:p>
    <w:p w14:paraId="56D12F60">
      <w:pPr>
        <w:pStyle w:val="142"/>
        <w:ind w:firstLine="420"/>
        <w:rPr>
          <w:i w:val="0"/>
          <w:iCs w:val="0"/>
          <w:color w:val="auto"/>
          <w:sz w:val="21"/>
          <w:szCs w:val="15"/>
          <w:highlight w:val="none"/>
        </w:rPr>
      </w:pPr>
      <w:r>
        <w:rPr>
          <w:i w:val="0"/>
          <w:iCs w:val="0"/>
          <w:color w:val="auto"/>
          <w:sz w:val="21"/>
          <w:szCs w:val="15"/>
          <w:highlight w:val="none"/>
        </w:rPr>
        <w:t>私有云搭建：按照资源规划，完成私有云硬件设备（服务器、存储设备、网络设备等）的上架、安装与调试，部署虚拟化平台及相关管理软件。​</w:t>
      </w:r>
    </w:p>
    <w:p w14:paraId="56D12F61">
      <w:pPr>
        <w:pStyle w:val="142"/>
        <w:ind w:firstLine="420"/>
        <w:rPr>
          <w:i w:val="0"/>
          <w:iCs w:val="0"/>
          <w:color w:val="auto"/>
          <w:sz w:val="21"/>
          <w:szCs w:val="15"/>
          <w:highlight w:val="none"/>
        </w:rPr>
      </w:pPr>
      <w:r>
        <w:rPr>
          <w:i w:val="0"/>
          <w:iCs w:val="0"/>
          <w:color w:val="auto"/>
          <w:sz w:val="21"/>
          <w:szCs w:val="15"/>
          <w:highlight w:val="none"/>
        </w:rPr>
        <w:t>网络连通性测试：确保公有云与私有云之间网络连通，进行网络带宽测试，保障数据迁移过程中的网络传输速度与稳定性。​</w:t>
      </w:r>
    </w:p>
    <w:p w14:paraId="56D12F62">
      <w:pPr>
        <w:pStyle w:val="6"/>
        <w:ind w:left="0"/>
        <w:rPr>
          <w:i w:val="0"/>
          <w:iCs w:val="0"/>
          <w:color w:val="auto"/>
          <w:sz w:val="21"/>
          <w:szCs w:val="21"/>
          <w:highlight w:val="none"/>
        </w:rPr>
      </w:pPr>
      <w:r>
        <w:rPr>
          <w:i w:val="0"/>
          <w:iCs w:val="0"/>
          <w:color w:val="auto"/>
          <w:sz w:val="21"/>
          <w:szCs w:val="21"/>
          <w:highlight w:val="none"/>
        </w:rPr>
        <w:t>迁移过程​</w:t>
      </w:r>
    </w:p>
    <w:p w14:paraId="56D12F63">
      <w:pPr>
        <w:pStyle w:val="7"/>
        <w:rPr>
          <w:rFonts w:hint="eastAsia"/>
          <w:i w:val="0"/>
          <w:iCs w:val="0"/>
          <w:color w:val="auto"/>
          <w:sz w:val="21"/>
          <w:szCs w:val="21"/>
          <w:highlight w:val="none"/>
          <w:lang w:val="en-US"/>
        </w:rPr>
      </w:pPr>
      <w:r>
        <w:rPr>
          <w:i w:val="0"/>
          <w:iCs w:val="0"/>
          <w:color w:val="auto"/>
          <w:sz w:val="21"/>
          <w:szCs w:val="21"/>
          <w:highlight w:val="none"/>
          <w:lang w:val="en-US"/>
        </w:rPr>
        <w:t>数据迁移</w:t>
      </w:r>
    </w:p>
    <w:p w14:paraId="56D12F64">
      <w:pPr>
        <w:pStyle w:val="142"/>
        <w:ind w:firstLine="420"/>
        <w:rPr>
          <w:i w:val="0"/>
          <w:iCs w:val="0"/>
          <w:color w:val="auto"/>
          <w:sz w:val="21"/>
          <w:szCs w:val="15"/>
          <w:highlight w:val="none"/>
        </w:rPr>
      </w:pPr>
      <w:r>
        <w:rPr>
          <w:i w:val="0"/>
          <w:iCs w:val="0"/>
          <w:color w:val="auto"/>
          <w:sz w:val="21"/>
          <w:szCs w:val="15"/>
          <w:highlight w:val="none"/>
        </w:rPr>
        <w:t>采用数据迁移工具，将备份的数据从公有云存储转移至私有云存储。根据数据量大小及网络状况，合理安排迁移时间窗口，可分批次进行迁移，迁移过程中实时监控数据传输进度与完整性。</w:t>
      </w:r>
    </w:p>
    <w:p w14:paraId="56D12F65">
      <w:pPr>
        <w:pStyle w:val="7"/>
        <w:rPr>
          <w:rFonts w:hint="eastAsia"/>
          <w:i w:val="0"/>
          <w:iCs w:val="0"/>
          <w:color w:val="auto"/>
          <w:sz w:val="21"/>
          <w:szCs w:val="21"/>
          <w:highlight w:val="none"/>
          <w:lang w:val="en-US"/>
        </w:rPr>
      </w:pPr>
      <w:r>
        <w:rPr>
          <w:i w:val="0"/>
          <w:iCs w:val="0"/>
          <w:color w:val="auto"/>
          <w:sz w:val="21"/>
          <w:szCs w:val="21"/>
          <w:highlight w:val="none"/>
          <w:lang w:val="en-US"/>
        </w:rPr>
        <w:t>应用迁移</w:t>
      </w:r>
    </w:p>
    <w:p w14:paraId="56D12F66">
      <w:pPr>
        <w:pStyle w:val="142"/>
        <w:ind w:firstLine="420"/>
        <w:rPr>
          <w:i w:val="0"/>
          <w:iCs w:val="0"/>
          <w:color w:val="auto"/>
          <w:sz w:val="21"/>
          <w:szCs w:val="15"/>
          <w:highlight w:val="none"/>
        </w:rPr>
      </w:pPr>
      <w:r>
        <w:rPr>
          <w:i w:val="0"/>
          <w:iCs w:val="0"/>
          <w:color w:val="auto"/>
          <w:sz w:val="21"/>
          <w:szCs w:val="15"/>
          <w:highlight w:val="none"/>
        </w:rPr>
        <w:t>对于可直接迁移的应用组件，采用“直接迁移”（Lift-and-Shift）方式，将应用程序及其依赖的操作系统、数据库等，原样迁移至私有云虚拟机。​</w:t>
      </w:r>
    </w:p>
    <w:p w14:paraId="56D12F67">
      <w:pPr>
        <w:pStyle w:val="142"/>
        <w:ind w:firstLine="420"/>
        <w:rPr>
          <w:i w:val="0"/>
          <w:iCs w:val="0"/>
          <w:color w:val="auto"/>
          <w:sz w:val="21"/>
          <w:szCs w:val="15"/>
          <w:highlight w:val="none"/>
        </w:rPr>
      </w:pPr>
      <w:r>
        <w:rPr>
          <w:i w:val="0"/>
          <w:iCs w:val="0"/>
          <w:color w:val="auto"/>
          <w:sz w:val="21"/>
          <w:szCs w:val="15"/>
          <w:highlight w:val="none"/>
        </w:rPr>
        <w:t>对于部分需要适配私有云环境的应用组件，进行必要的代码修改、配置调整，如修改数据库连接字符串、适配新的网络配置等，然后再进行迁移。​</w:t>
      </w:r>
    </w:p>
    <w:p w14:paraId="56D12F68">
      <w:pPr>
        <w:pStyle w:val="7"/>
        <w:rPr>
          <w:rFonts w:hint="eastAsia"/>
          <w:i w:val="0"/>
          <w:iCs w:val="0"/>
          <w:color w:val="auto"/>
          <w:sz w:val="21"/>
          <w:szCs w:val="21"/>
          <w:highlight w:val="none"/>
          <w:lang w:val="en-US"/>
        </w:rPr>
      </w:pPr>
      <w:r>
        <w:rPr>
          <w:i w:val="0"/>
          <w:iCs w:val="0"/>
          <w:color w:val="auto"/>
          <w:sz w:val="21"/>
          <w:szCs w:val="21"/>
          <w:highlight w:val="none"/>
          <w:lang w:val="en-US"/>
        </w:rPr>
        <w:t>配置调整</w:t>
      </w:r>
    </w:p>
    <w:p w14:paraId="56D12F69">
      <w:pPr>
        <w:pStyle w:val="142"/>
        <w:ind w:firstLine="420"/>
        <w:rPr>
          <w:i w:val="0"/>
          <w:iCs w:val="0"/>
          <w:color w:val="auto"/>
          <w:sz w:val="21"/>
          <w:szCs w:val="15"/>
          <w:highlight w:val="none"/>
        </w:rPr>
      </w:pPr>
      <w:r>
        <w:rPr>
          <w:i w:val="0"/>
          <w:iCs w:val="0"/>
          <w:color w:val="auto"/>
          <w:sz w:val="21"/>
          <w:szCs w:val="15"/>
          <w:highlight w:val="none"/>
        </w:rPr>
        <w:t>在私有云环境中，根据GBIM系统需求，对服务器、网络、存储等资源的配置进行优化调整，确保系统性能达到最佳。例如，调整虚拟机的CPU、内存分配，优化存储I/O调度策略</w:t>
      </w:r>
      <w:r>
        <w:rPr>
          <w:rFonts w:hint="eastAsia"/>
          <w:i w:val="0"/>
          <w:iCs w:val="0"/>
          <w:color w:val="auto"/>
          <w:sz w:val="21"/>
          <w:szCs w:val="15"/>
          <w:highlight w:val="none"/>
        </w:rPr>
        <w:t>。</w:t>
      </w:r>
    </w:p>
    <w:p w14:paraId="56D12F6A">
      <w:pPr>
        <w:pStyle w:val="142"/>
        <w:ind w:firstLine="420"/>
        <w:rPr>
          <w:i w:val="0"/>
          <w:iCs w:val="0"/>
          <w:color w:val="auto"/>
          <w:sz w:val="21"/>
          <w:szCs w:val="15"/>
          <w:highlight w:val="none"/>
        </w:rPr>
      </w:pPr>
      <w:r>
        <w:rPr>
          <w:rFonts w:hint="eastAsia"/>
          <w:i w:val="0"/>
          <w:iCs w:val="0"/>
          <w:color w:val="auto"/>
          <w:sz w:val="21"/>
          <w:szCs w:val="15"/>
          <w:highlight w:val="none"/>
        </w:rPr>
        <w:t>专题</w:t>
      </w:r>
      <w:r>
        <w:rPr>
          <w:rFonts w:hint="eastAsia"/>
          <w:i w:val="0"/>
          <w:iCs w:val="0"/>
          <w:color w:val="auto"/>
          <w:sz w:val="21"/>
          <w:szCs w:val="15"/>
          <w:highlight w:val="none"/>
          <w:lang w:val="en-US"/>
        </w:rPr>
        <w:t>十</w:t>
      </w:r>
      <w:r>
        <w:rPr>
          <w:rFonts w:hint="eastAsia"/>
          <w:i w:val="0"/>
          <w:iCs w:val="0"/>
          <w:color w:val="auto"/>
          <w:sz w:val="21"/>
          <w:szCs w:val="15"/>
          <w:highlight w:val="none"/>
        </w:rPr>
        <w:t>：</w:t>
      </w:r>
      <w:r>
        <w:rPr>
          <w:rFonts w:hint="eastAsia"/>
          <w:i w:val="0"/>
          <w:iCs w:val="0"/>
          <w:color w:val="auto"/>
          <w:sz w:val="21"/>
          <w:szCs w:val="15"/>
          <w:highlight w:val="none"/>
          <w:lang w:val="en-US"/>
        </w:rPr>
        <w:t>管理网系统迁移</w:t>
      </w:r>
      <w:r>
        <w:rPr>
          <w:rFonts w:hint="eastAsia"/>
          <w:i w:val="0"/>
          <w:iCs w:val="0"/>
          <w:color w:val="auto"/>
          <w:sz w:val="21"/>
          <w:szCs w:val="15"/>
          <w:highlight w:val="none"/>
        </w:rPr>
        <w:t>方案：投标人应根据本工程</w:t>
      </w:r>
      <w:r>
        <w:rPr>
          <w:rFonts w:hint="eastAsia"/>
          <w:i w:val="0"/>
          <w:iCs w:val="0"/>
          <w:color w:val="auto"/>
          <w:sz w:val="21"/>
          <w:szCs w:val="15"/>
          <w:highlight w:val="none"/>
          <w:lang w:val="en-US"/>
        </w:rPr>
        <w:t>管理各系统</w:t>
      </w:r>
      <w:r>
        <w:rPr>
          <w:rFonts w:hint="eastAsia"/>
          <w:i w:val="0"/>
          <w:iCs w:val="0"/>
          <w:color w:val="auto"/>
          <w:sz w:val="21"/>
          <w:szCs w:val="15"/>
          <w:highlight w:val="none"/>
        </w:rPr>
        <w:t>迁移需求，详细描述</w:t>
      </w:r>
      <w:r>
        <w:rPr>
          <w:rFonts w:hint="eastAsia"/>
          <w:i w:val="0"/>
          <w:iCs w:val="0"/>
          <w:color w:val="auto"/>
          <w:sz w:val="21"/>
          <w:szCs w:val="15"/>
          <w:highlight w:val="none"/>
          <w:lang w:val="en-US"/>
        </w:rPr>
        <w:t>各系统</w:t>
      </w:r>
      <w:r>
        <w:rPr>
          <w:rFonts w:hint="eastAsia"/>
          <w:i w:val="0"/>
          <w:iCs w:val="0"/>
          <w:color w:val="auto"/>
          <w:sz w:val="21"/>
          <w:szCs w:val="15"/>
          <w:highlight w:val="none"/>
        </w:rPr>
        <w:t>部署方案研究、</w:t>
      </w:r>
      <w:r>
        <w:rPr>
          <w:rFonts w:hint="eastAsia"/>
          <w:i w:val="0"/>
          <w:iCs w:val="0"/>
          <w:color w:val="auto"/>
          <w:sz w:val="21"/>
          <w:szCs w:val="15"/>
          <w:highlight w:val="none"/>
          <w:lang w:val="en-US"/>
        </w:rPr>
        <w:t>系统</w:t>
      </w:r>
      <w:r>
        <w:rPr>
          <w:rFonts w:hint="eastAsia"/>
          <w:i w:val="0"/>
          <w:iCs w:val="0"/>
          <w:color w:val="auto"/>
          <w:sz w:val="21"/>
          <w:szCs w:val="15"/>
          <w:highlight w:val="none"/>
        </w:rPr>
        <w:t>软件与</w:t>
      </w:r>
      <w:r>
        <w:rPr>
          <w:rFonts w:hint="eastAsia"/>
          <w:i w:val="0"/>
          <w:iCs w:val="0"/>
          <w:color w:val="auto"/>
          <w:sz w:val="21"/>
          <w:szCs w:val="15"/>
          <w:highlight w:val="none"/>
          <w:lang w:val="en-US"/>
        </w:rPr>
        <w:t>管理网</w:t>
      </w:r>
      <w:r>
        <w:rPr>
          <w:rFonts w:hint="eastAsia"/>
          <w:i w:val="0"/>
          <w:iCs w:val="0"/>
          <w:color w:val="auto"/>
          <w:sz w:val="21"/>
          <w:szCs w:val="15"/>
          <w:highlight w:val="none"/>
        </w:rPr>
        <w:t>信息化云平台适应性研究，并提出相应方案。</w:t>
      </w:r>
    </w:p>
    <w:p w14:paraId="56D12F6B">
      <w:pPr>
        <w:pStyle w:val="6"/>
        <w:ind w:left="0"/>
        <w:rPr>
          <w:i w:val="0"/>
          <w:iCs w:val="0"/>
          <w:color w:val="auto"/>
          <w:sz w:val="21"/>
          <w:szCs w:val="21"/>
          <w:highlight w:val="none"/>
        </w:rPr>
      </w:pPr>
      <w:r>
        <w:rPr>
          <w:i w:val="0"/>
          <w:iCs w:val="0"/>
          <w:color w:val="auto"/>
          <w:sz w:val="21"/>
          <w:szCs w:val="21"/>
          <w:highlight w:val="none"/>
        </w:rPr>
        <w:t>迁移后验证​</w:t>
      </w:r>
    </w:p>
    <w:p w14:paraId="56D12F6C">
      <w:pPr>
        <w:pStyle w:val="142"/>
        <w:ind w:firstLine="420"/>
        <w:rPr>
          <w:i w:val="0"/>
          <w:iCs w:val="0"/>
          <w:color w:val="auto"/>
          <w:sz w:val="21"/>
          <w:szCs w:val="15"/>
          <w:highlight w:val="none"/>
        </w:rPr>
      </w:pPr>
      <w:r>
        <w:rPr>
          <w:i w:val="0"/>
          <w:iCs w:val="0"/>
          <w:color w:val="auto"/>
          <w:sz w:val="21"/>
          <w:szCs w:val="15"/>
          <w:highlight w:val="none"/>
        </w:rPr>
        <w:t>功能测试：对GBIM系统各项功能进行全面测试，包括数据录入、查询、分析、可视化展示等功能，确保系统在私有云环境下功能正常运行。​</w:t>
      </w:r>
    </w:p>
    <w:p w14:paraId="56D12F6D">
      <w:pPr>
        <w:pStyle w:val="142"/>
        <w:ind w:firstLine="420"/>
        <w:rPr>
          <w:i w:val="0"/>
          <w:iCs w:val="0"/>
          <w:color w:val="auto"/>
          <w:sz w:val="21"/>
          <w:szCs w:val="15"/>
          <w:highlight w:val="none"/>
        </w:rPr>
      </w:pPr>
      <w:r>
        <w:rPr>
          <w:i w:val="0"/>
          <w:iCs w:val="0"/>
          <w:color w:val="auto"/>
          <w:sz w:val="21"/>
          <w:szCs w:val="15"/>
          <w:highlight w:val="none"/>
        </w:rPr>
        <w:t>性能测试：模拟实际业务负载，对系统性能进行测试，如响应时间、吞吐量、并发用户数等指标。根据测试结果，进一步优化系统配置，如调整服务器资源分配、优化数据库索引等。</w:t>
      </w:r>
    </w:p>
    <w:p w14:paraId="56D12F6E">
      <w:pPr>
        <w:pStyle w:val="142"/>
        <w:ind w:firstLine="420"/>
        <w:rPr>
          <w:i w:val="0"/>
          <w:iCs w:val="0"/>
          <w:color w:val="auto"/>
          <w:sz w:val="21"/>
          <w:szCs w:val="15"/>
          <w:highlight w:val="none"/>
        </w:rPr>
      </w:pPr>
      <w:r>
        <w:rPr>
          <w:i w:val="0"/>
          <w:iCs w:val="0"/>
          <w:color w:val="auto"/>
          <w:sz w:val="21"/>
          <w:szCs w:val="15"/>
          <w:highlight w:val="none"/>
        </w:rPr>
        <w:t>安全检查：对私有云安全体系进行检查，验证防火墙策略是否生效、日志是否正常收集与分析、堡垒机访问控制是否严格、态势感知系统是否能有效监测安全威胁等。</w:t>
      </w:r>
    </w:p>
    <w:p w14:paraId="56D12F6F">
      <w:pPr>
        <w:pStyle w:val="5"/>
        <w:ind w:left="0"/>
        <w:rPr>
          <w:i w:val="0"/>
          <w:iCs w:val="0"/>
          <w:color w:val="auto"/>
          <w:sz w:val="22"/>
          <w:szCs w:val="22"/>
          <w:highlight w:val="none"/>
          <w:lang w:val="en-US"/>
        </w:rPr>
      </w:pPr>
      <w:bookmarkStart w:id="245" w:name="_Toc7190"/>
      <w:r>
        <w:rPr>
          <w:rFonts w:hint="eastAsia"/>
          <w:i w:val="0"/>
          <w:iCs w:val="0"/>
          <w:color w:val="auto"/>
          <w:sz w:val="22"/>
          <w:szCs w:val="22"/>
          <w:highlight w:val="none"/>
          <w:lang w:val="en-US"/>
        </w:rPr>
        <w:t>供电与接地</w:t>
      </w:r>
      <w:bookmarkEnd w:id="245"/>
    </w:p>
    <w:p w14:paraId="56D12F70">
      <w:pPr>
        <w:pStyle w:val="142"/>
        <w:ind w:firstLine="420"/>
        <w:rPr>
          <w:i w:val="0"/>
          <w:iCs w:val="0"/>
          <w:color w:val="auto"/>
          <w:highlight w:val="none"/>
        </w:rPr>
      </w:pPr>
      <w:r>
        <w:rPr>
          <w:rFonts w:hint="eastAsia"/>
          <w:i w:val="0"/>
          <w:iCs w:val="0"/>
          <w:color w:val="auto"/>
          <w:sz w:val="21"/>
          <w:szCs w:val="15"/>
          <w:highlight w:val="none"/>
          <w:lang w:val="en-US"/>
        </w:rPr>
        <w:t>利用生产网云UPS系统，配电柜利旧。</w:t>
      </w:r>
    </w:p>
    <w:p w14:paraId="56D12F71">
      <w:pPr>
        <w:pStyle w:val="4"/>
        <w:rPr>
          <w:i w:val="0"/>
          <w:iCs w:val="0"/>
          <w:color w:val="auto"/>
          <w:sz w:val="24"/>
          <w:szCs w:val="21"/>
          <w:highlight w:val="none"/>
        </w:rPr>
      </w:pPr>
      <w:bookmarkStart w:id="246" w:name="_Toc30351"/>
      <w:r>
        <w:rPr>
          <w:rFonts w:hint="eastAsia"/>
          <w:i w:val="0"/>
          <w:iCs w:val="0"/>
          <w:color w:val="auto"/>
          <w:sz w:val="24"/>
          <w:szCs w:val="21"/>
          <w:highlight w:val="none"/>
        </w:rPr>
        <w:t>电源、接地</w:t>
      </w:r>
      <w:bookmarkEnd w:id="246"/>
    </w:p>
    <w:p w14:paraId="56D12F72">
      <w:pPr>
        <w:pStyle w:val="142"/>
        <w:ind w:firstLine="420"/>
        <w:rPr>
          <w:i w:val="0"/>
          <w:iCs w:val="0"/>
          <w:color w:val="auto"/>
          <w:sz w:val="21"/>
          <w:szCs w:val="15"/>
          <w:highlight w:val="none"/>
        </w:rPr>
      </w:pPr>
      <w:r>
        <w:rPr>
          <w:rFonts w:hint="eastAsia"/>
          <w:i w:val="0"/>
          <w:iCs w:val="0"/>
          <w:color w:val="auto"/>
          <w:sz w:val="21"/>
          <w:szCs w:val="15"/>
          <w:highlight w:val="none"/>
        </w:rPr>
        <w:t>云平台电源为一级负荷，消防电源，需设置不间断电源UPS，运营期新增计算资源需求满载功率约16.64KW，以后备电源供电时间为1小时；输出功率因数0.8计算，建议配置25KVAUPS，利用既有建设期设置UPS（在线监测装置），</w:t>
      </w:r>
      <w:r>
        <w:rPr>
          <w:rFonts w:hint="eastAsia"/>
          <w:i w:val="0"/>
          <w:iCs w:val="0"/>
          <w:color w:val="auto"/>
          <w:sz w:val="21"/>
          <w:szCs w:val="15"/>
          <w:highlight w:val="none"/>
          <w:lang w:val="en-US"/>
        </w:rPr>
        <w:t>并配置对应容量</w:t>
      </w:r>
      <w:r>
        <w:rPr>
          <w:rFonts w:hint="eastAsia"/>
          <w:i w:val="0"/>
          <w:iCs w:val="0"/>
          <w:color w:val="auto"/>
          <w:sz w:val="21"/>
          <w:szCs w:val="15"/>
          <w:highlight w:val="none"/>
        </w:rPr>
        <w:t>电池。</w:t>
      </w:r>
    </w:p>
    <w:p w14:paraId="56D12F73">
      <w:pPr>
        <w:pStyle w:val="142"/>
        <w:ind w:firstLine="420"/>
        <w:rPr>
          <w:i w:val="0"/>
          <w:iCs w:val="0"/>
          <w:color w:val="auto"/>
          <w:sz w:val="21"/>
          <w:szCs w:val="15"/>
          <w:highlight w:val="none"/>
        </w:rPr>
      </w:pPr>
      <w:r>
        <w:rPr>
          <w:rFonts w:hint="eastAsia"/>
          <w:i w:val="0"/>
          <w:iCs w:val="0"/>
          <w:color w:val="auto"/>
          <w:sz w:val="21"/>
          <w:szCs w:val="15"/>
          <w:highlight w:val="none"/>
        </w:rPr>
        <w:t>系统接地采用综合接地方式，接地电阻不大于1欧姆。低压配电专业设置弱电接地端子箱，预留独立的接地端子。</w:t>
      </w:r>
    </w:p>
    <w:p w14:paraId="56D12F74">
      <w:pPr>
        <w:pStyle w:val="3"/>
        <w:rPr>
          <w:i w:val="0"/>
          <w:iCs w:val="0"/>
          <w:color w:val="auto"/>
          <w:sz w:val="24"/>
          <w:szCs w:val="32"/>
          <w:highlight w:val="none"/>
        </w:rPr>
      </w:pPr>
      <w:bookmarkStart w:id="247" w:name="_Toc18182"/>
      <w:r>
        <w:rPr>
          <w:rFonts w:hint="eastAsia"/>
          <w:i w:val="0"/>
          <w:iCs w:val="0"/>
          <w:color w:val="auto"/>
          <w:sz w:val="24"/>
          <w:szCs w:val="32"/>
          <w:highlight w:val="none"/>
        </w:rPr>
        <w:t>系统硬件配置要求</w:t>
      </w:r>
      <w:bookmarkEnd w:id="247"/>
      <w:r>
        <w:rPr>
          <w:rFonts w:hint="eastAsia" w:ascii="宋体" w:hAnsi="宋体" w:cs="宋体"/>
          <w:szCs w:val="21"/>
          <w:highlight w:val="none"/>
        </w:rPr>
        <w:t>★</w:t>
      </w:r>
    </w:p>
    <w:p w14:paraId="56D12F75">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本节所描述的是系统硬件要求的最低指标，投标人可根据选择的系统计算提出优于本招标文件的技术指标。要求投标人必须对所选择的设备对系统的影响（如实时性、可靠性、稳定性、兼容性）负总责，如系统出现实时性、可靠性、稳定性、兼容性等故障原因，招标人有权要求投标人更换或提高投标人所选设备的技术指标要求，投标人必须承诺无偿更换。投标人应提供与硬件设备相配套的所需软件，以确保系统所需软硬功能的完整性。</w:t>
      </w:r>
    </w:p>
    <w:p w14:paraId="56D12F76">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投标人应确保所提供的硬件系统是当前先进的主流产品。在设备供货时，投标人应承诺提供当时先进的主流产品，而且须经招标人对相关的技术规格进行确认，但不增加任何额外的费用。</w:t>
      </w:r>
    </w:p>
    <w:p w14:paraId="56D12F77">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投标人需提供核心设备（包括但不限于服务器、交换机、数据采集箱等）的使用寿命参数。并明确上述核心设备等硬件可适配的操作系统及其版本号。</w:t>
      </w:r>
    </w:p>
    <w:p w14:paraId="56D12F78">
      <w:pPr>
        <w:pStyle w:val="4"/>
        <w:rPr>
          <w:i w:val="0"/>
          <w:iCs w:val="0"/>
          <w:color w:val="auto"/>
          <w:sz w:val="24"/>
          <w:szCs w:val="21"/>
          <w:highlight w:val="none"/>
        </w:rPr>
      </w:pPr>
      <w:bookmarkStart w:id="248" w:name="_Toc28586"/>
      <w:r>
        <w:rPr>
          <w:rFonts w:hint="eastAsia"/>
          <w:i w:val="0"/>
          <w:iCs w:val="0"/>
          <w:color w:val="auto"/>
          <w:sz w:val="24"/>
          <w:szCs w:val="21"/>
          <w:highlight w:val="none"/>
        </w:rPr>
        <w:t>防洪防汛应急处置系统硬件参数要求</w:t>
      </w:r>
      <w:bookmarkEnd w:id="248"/>
    </w:p>
    <w:p w14:paraId="56D12F79">
      <w:pPr>
        <w:pStyle w:val="5"/>
        <w:ind w:left="0"/>
        <w:rPr>
          <w:i w:val="0"/>
          <w:iCs w:val="0"/>
          <w:color w:val="auto"/>
          <w:sz w:val="22"/>
          <w:szCs w:val="22"/>
          <w:highlight w:val="none"/>
          <w:lang w:val="en-US"/>
        </w:rPr>
      </w:pPr>
      <w:bookmarkStart w:id="249" w:name="_Toc14997"/>
      <w:r>
        <w:rPr>
          <w:rFonts w:hint="eastAsia"/>
          <w:i w:val="0"/>
          <w:iCs w:val="0"/>
          <w:color w:val="auto"/>
          <w:sz w:val="22"/>
          <w:szCs w:val="22"/>
          <w:highlight w:val="none"/>
          <w:lang w:val="en-US"/>
        </w:rPr>
        <w:t>电子水尺</w:t>
      </w:r>
      <w:bookmarkEnd w:id="249"/>
    </w:p>
    <w:p w14:paraId="56D12F7A">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电子水尺</w:t>
      </w:r>
      <w:bookmarkStart w:id="250" w:name="OLE_LINK14"/>
      <w:r>
        <w:rPr>
          <w:rFonts w:hint="eastAsia"/>
          <w:i w:val="0"/>
          <w:iCs w:val="0"/>
          <w:color w:val="auto"/>
          <w:sz w:val="21"/>
          <w:szCs w:val="15"/>
          <w:highlight w:val="none"/>
          <w:lang w:val="en-US"/>
        </w:rPr>
        <w:t>应满足地铁出入口、风亭等室外区域安装与运行条件，主要参数要求如下：</w:t>
      </w:r>
      <w:bookmarkEnd w:id="250"/>
    </w:p>
    <w:p w14:paraId="56D12F7B">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一体式封装，供电：24VDC/AC，兼容三线制电流、电压、模拟量输出，带一路开关量，量程可调且不小于100cm，精度不大于1cm，防护等级不低于IP68。</w:t>
      </w:r>
    </w:p>
    <w:p w14:paraId="56D12F7C">
      <w:pPr>
        <w:pStyle w:val="5"/>
        <w:ind w:left="0"/>
        <w:rPr>
          <w:i w:val="0"/>
          <w:iCs w:val="0"/>
          <w:color w:val="auto"/>
          <w:sz w:val="22"/>
          <w:szCs w:val="22"/>
          <w:highlight w:val="none"/>
          <w:lang w:val="en-US"/>
        </w:rPr>
      </w:pPr>
      <w:bookmarkStart w:id="251" w:name="_Toc200964712"/>
      <w:r>
        <w:rPr>
          <w:rFonts w:hint="eastAsia"/>
          <w:i w:val="0"/>
          <w:iCs w:val="0"/>
          <w:color w:val="auto"/>
          <w:sz w:val="22"/>
          <w:szCs w:val="22"/>
          <w:highlight w:val="none"/>
          <w:lang w:val="en-US"/>
        </w:rPr>
        <w:t xml:space="preserve"> </w:t>
      </w:r>
      <w:bookmarkStart w:id="252" w:name="_Toc4732"/>
      <w:r>
        <w:rPr>
          <w:rFonts w:hint="eastAsia"/>
          <w:i w:val="0"/>
          <w:iCs w:val="0"/>
          <w:color w:val="auto"/>
          <w:sz w:val="22"/>
          <w:szCs w:val="22"/>
          <w:highlight w:val="none"/>
          <w:lang w:val="en-US"/>
        </w:rPr>
        <w:t>AI点位模块</w:t>
      </w:r>
      <w:bookmarkEnd w:id="251"/>
      <w:bookmarkEnd w:id="252"/>
    </w:p>
    <w:p w14:paraId="56D12F7D">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AI点位模块应满足在车站BAS控制箱内安装与运行条件，主要参数要求如下：</w:t>
      </w:r>
    </w:p>
    <w:p w14:paraId="56D12F7E">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模拟量输入，支持带电插拔，定标、报警完全软件可配置，具备故障锁定、开路检测、输入过载保护、通道隔离功能，检测精度(25°C):电压 +0.2%，电流 +0.4%。</w:t>
      </w:r>
    </w:p>
    <w:p w14:paraId="56D12F7F">
      <w:pPr>
        <w:pStyle w:val="4"/>
        <w:rPr>
          <w:i w:val="0"/>
          <w:iCs w:val="0"/>
          <w:color w:val="auto"/>
          <w:sz w:val="24"/>
          <w:szCs w:val="21"/>
          <w:highlight w:val="none"/>
        </w:rPr>
      </w:pPr>
      <w:bookmarkStart w:id="253" w:name="_Toc2880"/>
      <w:r>
        <w:rPr>
          <w:rFonts w:hint="eastAsia"/>
          <w:i w:val="0"/>
          <w:iCs w:val="0"/>
          <w:color w:val="auto"/>
          <w:sz w:val="24"/>
          <w:szCs w:val="21"/>
          <w:highlight w:val="none"/>
        </w:rPr>
        <w:t>视频分析系统设备配置要求</w:t>
      </w:r>
      <w:bookmarkEnd w:id="253"/>
    </w:p>
    <w:p w14:paraId="56D12F80">
      <w:pPr>
        <w:pStyle w:val="5"/>
        <w:ind w:left="0"/>
        <w:rPr>
          <w:i w:val="0"/>
          <w:iCs w:val="0"/>
          <w:color w:val="auto"/>
          <w:sz w:val="22"/>
          <w:szCs w:val="22"/>
          <w:highlight w:val="none"/>
        </w:rPr>
      </w:pPr>
      <w:bookmarkStart w:id="254" w:name="_Toc24636"/>
      <w:bookmarkStart w:id="255" w:name="_Toc200964731"/>
      <w:r>
        <w:rPr>
          <w:rFonts w:hint="eastAsia"/>
          <w:i w:val="0"/>
          <w:iCs w:val="0"/>
          <w:color w:val="auto"/>
          <w:sz w:val="22"/>
          <w:szCs w:val="22"/>
          <w:highlight w:val="none"/>
        </w:rPr>
        <w:t>视频智能分析设备</w:t>
      </w:r>
      <w:bookmarkEnd w:id="254"/>
      <w:bookmarkEnd w:id="255"/>
    </w:p>
    <w:p w14:paraId="56D12F81">
      <w:pPr>
        <w:pStyle w:val="142"/>
        <w:ind w:firstLine="420"/>
        <w:rPr>
          <w:i w:val="0"/>
          <w:iCs w:val="0"/>
          <w:color w:val="auto"/>
          <w:sz w:val="21"/>
          <w:szCs w:val="15"/>
          <w:highlight w:val="none"/>
        </w:rPr>
      </w:pPr>
      <w:bookmarkStart w:id="256" w:name="OLE_LINK12"/>
      <w:r>
        <w:rPr>
          <w:i w:val="0"/>
          <w:iCs w:val="0"/>
          <w:color w:val="auto"/>
          <w:sz w:val="21"/>
          <w:szCs w:val="15"/>
          <w:highlight w:val="none"/>
        </w:rPr>
        <w:t>视频</w:t>
      </w:r>
      <w:r>
        <w:rPr>
          <w:rFonts w:hint="eastAsia"/>
          <w:i w:val="0"/>
          <w:iCs w:val="0"/>
          <w:color w:val="auto"/>
          <w:sz w:val="21"/>
          <w:szCs w:val="15"/>
          <w:highlight w:val="none"/>
        </w:rPr>
        <w:t>智能</w:t>
      </w:r>
      <w:r>
        <w:rPr>
          <w:i w:val="0"/>
          <w:iCs w:val="0"/>
          <w:color w:val="auto"/>
          <w:sz w:val="21"/>
          <w:szCs w:val="15"/>
          <w:highlight w:val="none"/>
        </w:rPr>
        <w:t>分析设备应满足地铁通信设备室内运行条件，</w:t>
      </w:r>
      <w:r>
        <w:rPr>
          <w:rFonts w:hint="eastAsia"/>
          <w:i w:val="0"/>
          <w:iCs w:val="0"/>
          <w:color w:val="auto"/>
          <w:sz w:val="21"/>
          <w:szCs w:val="15"/>
          <w:highlight w:val="none"/>
        </w:rPr>
        <w:t>主要参数要求如下</w:t>
      </w:r>
      <w:bookmarkEnd w:id="256"/>
      <w:r>
        <w:rPr>
          <w:rFonts w:hint="eastAsia"/>
          <w:i w:val="0"/>
          <w:iCs w:val="0"/>
          <w:color w:val="auto"/>
          <w:sz w:val="21"/>
          <w:szCs w:val="15"/>
          <w:highlight w:val="none"/>
        </w:rPr>
        <w:t>：</w:t>
      </w:r>
    </w:p>
    <w:p w14:paraId="56D12F82">
      <w:pPr>
        <w:pStyle w:val="142"/>
        <w:ind w:firstLine="420"/>
        <w:rPr>
          <w:i w:val="0"/>
          <w:iCs w:val="0"/>
          <w:color w:val="auto"/>
          <w:sz w:val="21"/>
          <w:szCs w:val="15"/>
          <w:highlight w:val="none"/>
        </w:rPr>
      </w:pPr>
      <w:r>
        <w:rPr>
          <w:rFonts w:hint="eastAsia"/>
          <w:i w:val="0"/>
          <w:iCs w:val="0"/>
          <w:color w:val="auto"/>
          <w:sz w:val="21"/>
          <w:szCs w:val="15"/>
          <w:highlight w:val="none"/>
        </w:rPr>
        <w:t>（1）</w:t>
      </w:r>
      <w:r>
        <w:rPr>
          <w:i w:val="0"/>
          <w:iCs w:val="0"/>
          <w:color w:val="auto"/>
          <w:sz w:val="21"/>
          <w:szCs w:val="15"/>
          <w:highlight w:val="none"/>
        </w:rPr>
        <w:t>机架式设备；</w:t>
      </w:r>
      <w:r>
        <w:rPr>
          <w:rFonts w:hint="eastAsia"/>
          <w:i w:val="0"/>
          <w:iCs w:val="0"/>
          <w:color w:val="auto"/>
          <w:sz w:val="21"/>
          <w:szCs w:val="15"/>
          <w:highlight w:val="none"/>
        </w:rPr>
        <w:t>为保证系统的安全性和稳定性，单整机包含交换单元、PDU单元、视频业务分析单元。</w:t>
      </w:r>
    </w:p>
    <w:p w14:paraId="56D12F83">
      <w:pPr>
        <w:pStyle w:val="142"/>
        <w:ind w:firstLine="420"/>
        <w:rPr>
          <w:i w:val="0"/>
          <w:iCs w:val="0"/>
          <w:color w:val="auto"/>
          <w:sz w:val="21"/>
          <w:szCs w:val="15"/>
          <w:highlight w:val="none"/>
        </w:rPr>
      </w:pPr>
      <w:r>
        <w:rPr>
          <w:rFonts w:hint="eastAsia"/>
          <w:i w:val="0"/>
          <w:iCs w:val="0"/>
          <w:color w:val="auto"/>
          <w:sz w:val="21"/>
          <w:szCs w:val="15"/>
          <w:highlight w:val="none"/>
        </w:rPr>
        <w:t>（2）</w:t>
      </w:r>
      <w:r>
        <w:rPr>
          <w:i w:val="0"/>
          <w:iCs w:val="0"/>
          <w:color w:val="auto"/>
          <w:sz w:val="21"/>
          <w:szCs w:val="15"/>
          <w:highlight w:val="none"/>
        </w:rPr>
        <w:t>CPU:不少于2颗处理器，单颗主频不</w:t>
      </w:r>
      <w:r>
        <w:rPr>
          <w:rFonts w:hint="eastAsia"/>
          <w:i w:val="0"/>
          <w:iCs w:val="0"/>
          <w:color w:val="auto"/>
          <w:sz w:val="21"/>
          <w:szCs w:val="15"/>
          <w:highlight w:val="none"/>
          <w:lang w:val="en-US"/>
        </w:rPr>
        <w:t>小</w:t>
      </w:r>
      <w:r>
        <w:rPr>
          <w:i w:val="0"/>
          <w:iCs w:val="0"/>
          <w:color w:val="auto"/>
          <w:sz w:val="21"/>
          <w:szCs w:val="15"/>
          <w:highlight w:val="none"/>
        </w:rPr>
        <w:t xml:space="preserve">于2.3GHZ，核心数不小于20核40线程； </w:t>
      </w:r>
    </w:p>
    <w:p w14:paraId="56D12F84">
      <w:pPr>
        <w:pStyle w:val="142"/>
        <w:ind w:firstLine="420"/>
        <w:rPr>
          <w:i w:val="0"/>
          <w:iCs w:val="0"/>
          <w:color w:val="auto"/>
          <w:sz w:val="21"/>
          <w:szCs w:val="15"/>
          <w:highlight w:val="none"/>
        </w:rPr>
      </w:pPr>
      <w:r>
        <w:rPr>
          <w:rFonts w:hint="eastAsia"/>
          <w:i w:val="0"/>
          <w:iCs w:val="0"/>
          <w:color w:val="auto"/>
          <w:sz w:val="21"/>
          <w:szCs w:val="15"/>
          <w:highlight w:val="none"/>
        </w:rPr>
        <w:t>（3）</w:t>
      </w:r>
      <w:r>
        <w:rPr>
          <w:i w:val="0"/>
          <w:iCs w:val="0"/>
          <w:color w:val="auto"/>
          <w:sz w:val="21"/>
          <w:szCs w:val="15"/>
          <w:highlight w:val="none"/>
        </w:rPr>
        <w:t xml:space="preserve">内存:120路视频分析设备内存不小于384GBDDR4内存；90路视频分析设备内存不小于256GBDDR4内存； </w:t>
      </w:r>
    </w:p>
    <w:p w14:paraId="56D12F85">
      <w:pPr>
        <w:pStyle w:val="142"/>
        <w:ind w:firstLine="420"/>
        <w:rPr>
          <w:i w:val="0"/>
          <w:iCs w:val="0"/>
          <w:color w:val="auto"/>
          <w:sz w:val="21"/>
          <w:szCs w:val="15"/>
          <w:highlight w:val="none"/>
        </w:rPr>
      </w:pPr>
      <w:r>
        <w:rPr>
          <w:rFonts w:hint="eastAsia"/>
          <w:i w:val="0"/>
          <w:iCs w:val="0"/>
          <w:color w:val="auto"/>
          <w:sz w:val="21"/>
          <w:szCs w:val="15"/>
          <w:highlight w:val="none"/>
        </w:rPr>
        <w:t>（</w:t>
      </w:r>
      <w:r>
        <w:rPr>
          <w:i w:val="0"/>
          <w:iCs w:val="0"/>
          <w:color w:val="auto"/>
          <w:sz w:val="21"/>
          <w:szCs w:val="15"/>
          <w:highlight w:val="none"/>
        </w:rPr>
        <w:t>4</w:t>
      </w:r>
      <w:r>
        <w:rPr>
          <w:rFonts w:hint="eastAsia"/>
          <w:i w:val="0"/>
          <w:iCs w:val="0"/>
          <w:color w:val="auto"/>
          <w:sz w:val="21"/>
          <w:szCs w:val="15"/>
          <w:highlight w:val="none"/>
        </w:rPr>
        <w:t>）</w:t>
      </w:r>
      <w:r>
        <w:rPr>
          <w:i w:val="0"/>
          <w:iCs w:val="0"/>
          <w:color w:val="auto"/>
          <w:sz w:val="21"/>
          <w:szCs w:val="15"/>
          <w:highlight w:val="none"/>
        </w:rPr>
        <w:t xml:space="preserve">GPU:120 路视频分析设备配置不少于7张高性能算力卡，24路并发/张卡；显存总体不小于112GB，FP16算力总体不小于210TFLOPS；90路视频分析设备配置不少于5张高性能算力卡，24路并发/张卡；单卡显存不小于16GB，FP16算力不小于30TFLOPS； </w:t>
      </w:r>
    </w:p>
    <w:p w14:paraId="56D12F86">
      <w:pPr>
        <w:pStyle w:val="142"/>
        <w:ind w:firstLine="420"/>
        <w:rPr>
          <w:i w:val="0"/>
          <w:iCs w:val="0"/>
          <w:color w:val="auto"/>
          <w:sz w:val="21"/>
          <w:szCs w:val="15"/>
          <w:highlight w:val="none"/>
        </w:rPr>
      </w:pPr>
      <w:r>
        <w:rPr>
          <w:rFonts w:hint="eastAsia"/>
          <w:i w:val="0"/>
          <w:iCs w:val="0"/>
          <w:color w:val="auto"/>
          <w:sz w:val="21"/>
          <w:szCs w:val="15"/>
          <w:highlight w:val="none"/>
        </w:rPr>
        <w:t>（5）</w:t>
      </w:r>
      <w:r>
        <w:rPr>
          <w:i w:val="0"/>
          <w:iCs w:val="0"/>
          <w:color w:val="auto"/>
          <w:sz w:val="21"/>
          <w:szCs w:val="15"/>
          <w:highlight w:val="none"/>
        </w:rPr>
        <w:t>硬盘：2*960GB</w:t>
      </w:r>
      <w:r>
        <w:rPr>
          <w:rFonts w:hint="eastAsia"/>
          <w:i w:val="0"/>
          <w:iCs w:val="0"/>
          <w:color w:val="auto"/>
          <w:sz w:val="21"/>
          <w:szCs w:val="15"/>
          <w:highlight w:val="none"/>
        </w:rPr>
        <w:t xml:space="preserve"> </w:t>
      </w:r>
      <w:r>
        <w:rPr>
          <w:i w:val="0"/>
          <w:iCs w:val="0"/>
          <w:color w:val="auto"/>
          <w:sz w:val="21"/>
          <w:szCs w:val="15"/>
          <w:highlight w:val="none"/>
        </w:rPr>
        <w:t>SSD，2*8T3.5寸 SATA</w:t>
      </w:r>
      <w:r>
        <w:rPr>
          <w:rFonts w:hint="eastAsia"/>
          <w:i w:val="0"/>
          <w:iCs w:val="0"/>
          <w:color w:val="auto"/>
          <w:sz w:val="21"/>
          <w:szCs w:val="15"/>
          <w:highlight w:val="none"/>
        </w:rPr>
        <w:t xml:space="preserve"> </w:t>
      </w:r>
      <w:r>
        <w:rPr>
          <w:i w:val="0"/>
          <w:iCs w:val="0"/>
          <w:color w:val="auto"/>
          <w:sz w:val="21"/>
          <w:szCs w:val="15"/>
          <w:highlight w:val="none"/>
        </w:rPr>
        <w:t xml:space="preserve">HDD； </w:t>
      </w:r>
    </w:p>
    <w:p w14:paraId="56D12F87">
      <w:pPr>
        <w:pStyle w:val="142"/>
        <w:ind w:firstLine="420"/>
        <w:rPr>
          <w:i w:val="0"/>
          <w:iCs w:val="0"/>
          <w:color w:val="auto"/>
          <w:sz w:val="21"/>
          <w:szCs w:val="15"/>
          <w:highlight w:val="none"/>
        </w:rPr>
      </w:pPr>
      <w:r>
        <w:rPr>
          <w:rFonts w:hint="eastAsia"/>
          <w:i w:val="0"/>
          <w:iCs w:val="0"/>
          <w:color w:val="auto"/>
          <w:sz w:val="21"/>
          <w:szCs w:val="15"/>
          <w:highlight w:val="none"/>
        </w:rPr>
        <w:t>（6）</w:t>
      </w:r>
      <w:r>
        <w:rPr>
          <w:i w:val="0"/>
          <w:iCs w:val="0"/>
          <w:color w:val="auto"/>
          <w:sz w:val="21"/>
          <w:szCs w:val="15"/>
          <w:highlight w:val="none"/>
        </w:rPr>
        <w:t>网口:</w:t>
      </w:r>
      <w:r>
        <w:rPr>
          <w:rFonts w:hint="eastAsia"/>
          <w:i w:val="0"/>
          <w:iCs w:val="0"/>
          <w:color w:val="auto"/>
          <w:sz w:val="21"/>
          <w:szCs w:val="15"/>
          <w:highlight w:val="none"/>
        </w:rPr>
        <w:t xml:space="preserve"> 不少于</w:t>
      </w:r>
      <w:r>
        <w:rPr>
          <w:i w:val="0"/>
          <w:iCs w:val="0"/>
          <w:color w:val="auto"/>
          <w:sz w:val="21"/>
          <w:szCs w:val="15"/>
          <w:highlight w:val="none"/>
        </w:rPr>
        <w:t>2个万兆/千兆自适应网口。</w:t>
      </w:r>
      <w:r>
        <w:rPr>
          <w:rFonts w:hint="eastAsia"/>
          <w:i w:val="0"/>
          <w:iCs w:val="0"/>
          <w:color w:val="auto"/>
          <w:sz w:val="21"/>
          <w:szCs w:val="15"/>
          <w:highlight w:val="none"/>
        </w:rPr>
        <w:t xml:space="preserve"> </w:t>
      </w:r>
    </w:p>
    <w:p w14:paraId="56D12F88">
      <w:pPr>
        <w:pStyle w:val="5"/>
        <w:ind w:left="0"/>
        <w:rPr>
          <w:i w:val="0"/>
          <w:iCs w:val="0"/>
          <w:color w:val="auto"/>
          <w:sz w:val="22"/>
          <w:szCs w:val="22"/>
          <w:highlight w:val="none"/>
        </w:rPr>
      </w:pPr>
      <w:bookmarkStart w:id="257" w:name="_Toc8546"/>
      <w:bookmarkStart w:id="258" w:name="_Toc200964733"/>
      <w:r>
        <w:rPr>
          <w:rFonts w:hint="eastAsia"/>
          <w:i w:val="0"/>
          <w:iCs w:val="0"/>
          <w:color w:val="auto"/>
          <w:sz w:val="22"/>
          <w:szCs w:val="22"/>
          <w:highlight w:val="none"/>
        </w:rPr>
        <w:t>警务电脑终端</w:t>
      </w:r>
      <w:bookmarkEnd w:id="257"/>
      <w:bookmarkEnd w:id="258"/>
    </w:p>
    <w:p w14:paraId="56D12F89">
      <w:pPr>
        <w:pStyle w:val="142"/>
        <w:ind w:firstLine="420"/>
        <w:rPr>
          <w:i w:val="0"/>
          <w:iCs w:val="0"/>
          <w:color w:val="auto"/>
          <w:sz w:val="21"/>
          <w:szCs w:val="15"/>
          <w:highlight w:val="none"/>
        </w:rPr>
      </w:pPr>
      <w:r>
        <w:rPr>
          <w:rFonts w:hint="eastAsia"/>
          <w:i w:val="0"/>
          <w:iCs w:val="0"/>
          <w:color w:val="auto"/>
          <w:sz w:val="21"/>
          <w:szCs w:val="15"/>
          <w:highlight w:val="none"/>
        </w:rPr>
        <w:t>设备甲供。</w:t>
      </w:r>
      <w:r>
        <w:rPr>
          <w:i w:val="0"/>
          <w:iCs w:val="0"/>
          <w:color w:val="auto"/>
          <w:sz w:val="21"/>
          <w:szCs w:val="15"/>
          <w:highlight w:val="none"/>
        </w:rPr>
        <w:t xml:space="preserve"> </w:t>
      </w:r>
    </w:p>
    <w:p w14:paraId="56D12F8A">
      <w:pPr>
        <w:pStyle w:val="5"/>
        <w:ind w:left="0"/>
        <w:rPr>
          <w:i w:val="0"/>
          <w:iCs w:val="0"/>
          <w:color w:val="auto"/>
          <w:sz w:val="22"/>
          <w:szCs w:val="22"/>
          <w:highlight w:val="none"/>
        </w:rPr>
      </w:pPr>
      <w:bookmarkStart w:id="259" w:name="_Toc200964734"/>
      <w:bookmarkStart w:id="260" w:name="_Toc25551"/>
      <w:r>
        <w:rPr>
          <w:rFonts w:hint="eastAsia"/>
          <w:i w:val="0"/>
          <w:iCs w:val="0"/>
          <w:color w:val="auto"/>
          <w:sz w:val="22"/>
          <w:szCs w:val="22"/>
          <w:highlight w:val="none"/>
        </w:rPr>
        <w:t>防火墙设备</w:t>
      </w:r>
      <w:bookmarkEnd w:id="259"/>
      <w:bookmarkEnd w:id="260"/>
    </w:p>
    <w:p w14:paraId="56D12F8B">
      <w:pPr>
        <w:pStyle w:val="142"/>
        <w:ind w:firstLine="420"/>
        <w:rPr>
          <w:i w:val="0"/>
          <w:iCs w:val="0"/>
          <w:color w:val="auto"/>
          <w:sz w:val="21"/>
          <w:szCs w:val="15"/>
          <w:highlight w:val="none"/>
        </w:rPr>
      </w:pPr>
      <w:r>
        <w:rPr>
          <w:rFonts w:hint="eastAsia"/>
          <w:i w:val="0"/>
          <w:iCs w:val="0"/>
          <w:color w:val="auto"/>
          <w:sz w:val="21"/>
          <w:szCs w:val="15"/>
          <w:highlight w:val="none"/>
        </w:rPr>
        <w:t xml:space="preserve"> </w:t>
      </w:r>
      <w:r>
        <w:rPr>
          <w:rFonts w:hint="eastAsia"/>
          <w:i w:val="0"/>
          <w:iCs w:val="0"/>
          <w:color w:val="auto"/>
          <w:sz w:val="21"/>
          <w:szCs w:val="15"/>
          <w:highlight w:val="none"/>
          <w:lang w:val="en-US"/>
        </w:rPr>
        <w:t>防火墙</w:t>
      </w:r>
      <w:r>
        <w:rPr>
          <w:rFonts w:hint="eastAsia"/>
          <w:i w:val="0"/>
          <w:iCs w:val="0"/>
          <w:color w:val="auto"/>
          <w:sz w:val="21"/>
          <w:szCs w:val="15"/>
          <w:highlight w:val="none"/>
        </w:rPr>
        <w:t>主要配置如下：</w:t>
      </w:r>
    </w:p>
    <w:p w14:paraId="56D12F8C">
      <w:pPr>
        <w:pStyle w:val="142"/>
        <w:ind w:firstLine="420"/>
        <w:rPr>
          <w:i w:val="0"/>
          <w:iCs w:val="0"/>
          <w:color w:val="auto"/>
          <w:sz w:val="21"/>
          <w:szCs w:val="15"/>
          <w:highlight w:val="none"/>
        </w:rPr>
      </w:pPr>
      <w:r>
        <w:rPr>
          <w:rFonts w:hint="eastAsia"/>
          <w:i w:val="0"/>
          <w:iCs w:val="0"/>
          <w:color w:val="auto"/>
          <w:sz w:val="21"/>
          <w:szCs w:val="15"/>
          <w:highlight w:val="none"/>
        </w:rPr>
        <w:t>1、采用成熟品牌的防火墙产品；</w:t>
      </w:r>
    </w:p>
    <w:p w14:paraId="56D12F8D">
      <w:pPr>
        <w:pStyle w:val="142"/>
        <w:ind w:firstLine="420"/>
        <w:rPr>
          <w:i w:val="0"/>
          <w:iCs w:val="0"/>
          <w:color w:val="auto"/>
          <w:sz w:val="21"/>
          <w:szCs w:val="15"/>
          <w:highlight w:val="none"/>
        </w:rPr>
      </w:pPr>
      <w:r>
        <w:rPr>
          <w:rFonts w:hint="eastAsia"/>
          <w:i w:val="0"/>
          <w:iCs w:val="0"/>
          <w:color w:val="auto"/>
          <w:sz w:val="21"/>
          <w:szCs w:val="15"/>
          <w:highlight w:val="none"/>
        </w:rPr>
        <w:t>2、硬件体系架构采用网络处理器；</w:t>
      </w:r>
    </w:p>
    <w:p w14:paraId="56D12F8E">
      <w:pPr>
        <w:pStyle w:val="142"/>
        <w:ind w:firstLine="420"/>
        <w:rPr>
          <w:i w:val="0"/>
          <w:iCs w:val="0"/>
          <w:color w:val="auto"/>
          <w:sz w:val="21"/>
          <w:szCs w:val="15"/>
          <w:highlight w:val="none"/>
        </w:rPr>
      </w:pPr>
      <w:r>
        <w:rPr>
          <w:rFonts w:hint="eastAsia"/>
          <w:i w:val="0"/>
          <w:iCs w:val="0"/>
          <w:color w:val="auto"/>
          <w:sz w:val="21"/>
          <w:szCs w:val="15"/>
          <w:highlight w:val="none"/>
        </w:rPr>
        <w:t>3、支持VPN；</w:t>
      </w:r>
    </w:p>
    <w:p w14:paraId="56D12F8F">
      <w:pPr>
        <w:pStyle w:val="142"/>
        <w:ind w:firstLine="420"/>
        <w:rPr>
          <w:i w:val="0"/>
          <w:iCs w:val="0"/>
          <w:color w:val="auto"/>
          <w:sz w:val="21"/>
          <w:szCs w:val="15"/>
          <w:highlight w:val="none"/>
        </w:rPr>
      </w:pPr>
      <w:r>
        <w:rPr>
          <w:rFonts w:hint="eastAsia"/>
          <w:i w:val="0"/>
          <w:iCs w:val="0"/>
          <w:color w:val="auto"/>
          <w:sz w:val="21"/>
          <w:szCs w:val="15"/>
          <w:highlight w:val="none"/>
        </w:rPr>
        <w:t>4、安全过滤带宽大于100MB；</w:t>
      </w:r>
    </w:p>
    <w:p w14:paraId="56D12F90">
      <w:pPr>
        <w:pStyle w:val="142"/>
        <w:ind w:firstLine="420"/>
        <w:rPr>
          <w:i w:val="0"/>
          <w:iCs w:val="0"/>
          <w:color w:val="auto"/>
          <w:sz w:val="21"/>
          <w:szCs w:val="15"/>
          <w:highlight w:val="none"/>
        </w:rPr>
      </w:pPr>
      <w:r>
        <w:rPr>
          <w:rFonts w:hint="eastAsia"/>
          <w:i w:val="0"/>
          <w:iCs w:val="0"/>
          <w:color w:val="auto"/>
          <w:sz w:val="21"/>
          <w:szCs w:val="15"/>
          <w:highlight w:val="none"/>
          <w:lang w:val="en-US"/>
        </w:rPr>
        <w:t>5</w:t>
      </w:r>
      <w:r>
        <w:rPr>
          <w:rFonts w:hint="eastAsia"/>
          <w:i w:val="0"/>
          <w:iCs w:val="0"/>
          <w:color w:val="auto"/>
          <w:sz w:val="21"/>
          <w:szCs w:val="15"/>
          <w:highlight w:val="none"/>
        </w:rPr>
        <w:t>、支持Dos、DDoS入侵检测；</w:t>
      </w:r>
    </w:p>
    <w:p w14:paraId="56D12F91">
      <w:pPr>
        <w:pStyle w:val="142"/>
        <w:ind w:firstLine="420"/>
        <w:rPr>
          <w:i w:val="0"/>
          <w:iCs w:val="0"/>
          <w:color w:val="auto"/>
          <w:sz w:val="21"/>
          <w:szCs w:val="15"/>
          <w:highlight w:val="none"/>
        </w:rPr>
      </w:pPr>
      <w:r>
        <w:rPr>
          <w:rFonts w:hint="eastAsia"/>
          <w:i w:val="0"/>
          <w:iCs w:val="0"/>
          <w:color w:val="auto"/>
          <w:sz w:val="21"/>
          <w:szCs w:val="15"/>
          <w:highlight w:val="none"/>
          <w:lang w:val="en-US"/>
        </w:rPr>
        <w:t>6</w:t>
      </w:r>
      <w:r>
        <w:rPr>
          <w:rFonts w:hint="eastAsia"/>
          <w:i w:val="0"/>
          <w:iCs w:val="0"/>
          <w:color w:val="auto"/>
          <w:sz w:val="21"/>
          <w:szCs w:val="15"/>
          <w:highlight w:val="none"/>
        </w:rPr>
        <w:t>、无用户数限制；</w:t>
      </w:r>
    </w:p>
    <w:p w14:paraId="56D12F92">
      <w:pPr>
        <w:pStyle w:val="142"/>
        <w:ind w:firstLine="420"/>
        <w:rPr>
          <w:i w:val="0"/>
          <w:iCs w:val="0"/>
          <w:color w:val="auto"/>
          <w:sz w:val="21"/>
          <w:szCs w:val="15"/>
          <w:highlight w:val="none"/>
        </w:rPr>
      </w:pPr>
      <w:r>
        <w:rPr>
          <w:rFonts w:hint="eastAsia"/>
          <w:i w:val="0"/>
          <w:iCs w:val="0"/>
          <w:color w:val="auto"/>
          <w:sz w:val="21"/>
          <w:szCs w:val="15"/>
          <w:highlight w:val="none"/>
          <w:lang w:val="en-US"/>
        </w:rPr>
        <w:t>7</w:t>
      </w:r>
      <w:r>
        <w:rPr>
          <w:rFonts w:hint="eastAsia"/>
          <w:i w:val="0"/>
          <w:iCs w:val="0"/>
          <w:color w:val="auto"/>
          <w:sz w:val="21"/>
          <w:szCs w:val="15"/>
          <w:highlight w:val="none"/>
        </w:rPr>
        <w:t>、网络吞吐量：1000MB；</w:t>
      </w:r>
    </w:p>
    <w:p w14:paraId="56D12F93">
      <w:pPr>
        <w:pStyle w:val="142"/>
        <w:ind w:firstLine="420"/>
        <w:rPr>
          <w:i w:val="0"/>
          <w:iCs w:val="0"/>
          <w:color w:val="auto"/>
          <w:sz w:val="21"/>
          <w:szCs w:val="15"/>
          <w:highlight w:val="none"/>
        </w:rPr>
      </w:pPr>
      <w:r>
        <w:rPr>
          <w:rFonts w:hint="eastAsia"/>
          <w:i w:val="0"/>
          <w:iCs w:val="0"/>
          <w:color w:val="auto"/>
          <w:sz w:val="21"/>
          <w:szCs w:val="15"/>
          <w:highlight w:val="none"/>
          <w:lang w:val="en-US"/>
        </w:rPr>
        <w:t>8</w:t>
      </w:r>
      <w:r>
        <w:rPr>
          <w:rFonts w:hint="eastAsia"/>
          <w:i w:val="0"/>
          <w:iCs w:val="0"/>
          <w:color w:val="auto"/>
          <w:sz w:val="21"/>
          <w:szCs w:val="15"/>
          <w:highlight w:val="none"/>
        </w:rPr>
        <w:t>、控制端口支持：RS-232；</w:t>
      </w:r>
    </w:p>
    <w:p w14:paraId="56D12F94">
      <w:pPr>
        <w:pStyle w:val="142"/>
        <w:ind w:firstLine="420"/>
        <w:rPr>
          <w:i w:val="0"/>
          <w:iCs w:val="0"/>
          <w:color w:val="auto"/>
          <w:sz w:val="21"/>
          <w:szCs w:val="15"/>
          <w:highlight w:val="none"/>
        </w:rPr>
      </w:pPr>
      <w:r>
        <w:rPr>
          <w:rFonts w:hint="eastAsia"/>
          <w:i w:val="0"/>
          <w:iCs w:val="0"/>
          <w:color w:val="auto"/>
          <w:sz w:val="21"/>
          <w:szCs w:val="15"/>
          <w:highlight w:val="none"/>
          <w:lang w:val="en-US"/>
        </w:rPr>
        <w:t>9</w:t>
      </w:r>
      <w:r>
        <w:rPr>
          <w:rFonts w:hint="eastAsia"/>
          <w:i w:val="0"/>
          <w:iCs w:val="0"/>
          <w:color w:val="auto"/>
          <w:sz w:val="21"/>
          <w:szCs w:val="15"/>
          <w:highlight w:val="none"/>
        </w:rPr>
        <w:t>、支持WEB，SNMP管理；</w:t>
      </w:r>
    </w:p>
    <w:p w14:paraId="56D12F95">
      <w:pPr>
        <w:pStyle w:val="5"/>
        <w:ind w:left="0"/>
        <w:rPr>
          <w:i w:val="0"/>
          <w:iCs w:val="0"/>
          <w:color w:val="auto"/>
          <w:sz w:val="21"/>
          <w:szCs w:val="15"/>
          <w:highlight w:val="none"/>
          <w:lang w:val="en-US"/>
        </w:rPr>
      </w:pPr>
      <w:bookmarkStart w:id="261" w:name="_Toc30818"/>
      <w:r>
        <w:rPr>
          <w:rFonts w:hint="eastAsia"/>
          <w:i w:val="0"/>
          <w:iCs w:val="0"/>
          <w:color w:val="auto"/>
          <w:sz w:val="21"/>
          <w:szCs w:val="15"/>
          <w:highlight w:val="none"/>
          <w:lang w:val="en-US"/>
        </w:rPr>
        <w:t>PDU</w:t>
      </w:r>
      <w:bookmarkEnd w:id="261"/>
    </w:p>
    <w:p w14:paraId="56D12F96">
      <w:pPr>
        <w:pStyle w:val="142"/>
        <w:ind w:firstLine="420"/>
        <w:rPr>
          <w:i w:val="0"/>
          <w:iCs w:val="0"/>
          <w:color w:val="auto"/>
          <w:sz w:val="21"/>
          <w:szCs w:val="15"/>
          <w:highlight w:val="none"/>
          <w:lang w:val="en-US"/>
        </w:rPr>
      </w:pPr>
      <w:r>
        <w:rPr>
          <w:i w:val="0"/>
          <w:iCs w:val="0"/>
          <w:color w:val="auto"/>
          <w:sz w:val="21"/>
          <w:szCs w:val="15"/>
          <w:highlight w:val="none"/>
          <w:lang w:val="en-US"/>
        </w:rPr>
        <w:t>工业级，8联单回路，额定电流10A，额定电压250Vac,最大功率2500W</w:t>
      </w:r>
      <w:r>
        <w:rPr>
          <w:rFonts w:hint="eastAsia"/>
          <w:i w:val="0"/>
          <w:iCs w:val="0"/>
          <w:color w:val="auto"/>
          <w:sz w:val="21"/>
          <w:szCs w:val="15"/>
          <w:highlight w:val="none"/>
          <w:lang w:val="en-US"/>
        </w:rPr>
        <w:t>。</w:t>
      </w:r>
    </w:p>
    <w:p w14:paraId="56D12F97">
      <w:pPr>
        <w:pStyle w:val="4"/>
        <w:rPr>
          <w:i w:val="0"/>
          <w:iCs w:val="0"/>
          <w:color w:val="auto"/>
          <w:sz w:val="24"/>
          <w:szCs w:val="21"/>
          <w:highlight w:val="none"/>
        </w:rPr>
      </w:pPr>
      <w:bookmarkStart w:id="262" w:name="_Toc7882"/>
      <w:r>
        <w:rPr>
          <w:rFonts w:hint="eastAsia"/>
          <w:i w:val="0"/>
          <w:iCs w:val="0"/>
          <w:color w:val="auto"/>
          <w:sz w:val="24"/>
          <w:szCs w:val="21"/>
          <w:highlight w:val="none"/>
        </w:rPr>
        <w:t>FAS与门禁系统联动硬件设备配置要求</w:t>
      </w:r>
      <w:bookmarkEnd w:id="262"/>
    </w:p>
    <w:p w14:paraId="56D12F98">
      <w:pPr>
        <w:pStyle w:val="142"/>
        <w:ind w:firstLine="420"/>
        <w:rPr>
          <w:i w:val="0"/>
          <w:iCs w:val="0"/>
          <w:color w:val="auto"/>
          <w:sz w:val="21"/>
          <w:szCs w:val="15"/>
          <w:highlight w:val="none"/>
        </w:rPr>
      </w:pPr>
      <w:r>
        <w:rPr>
          <w:rFonts w:hint="eastAsia"/>
          <w:i w:val="0"/>
          <w:iCs w:val="0"/>
          <w:color w:val="auto"/>
          <w:sz w:val="21"/>
          <w:szCs w:val="15"/>
          <w:highlight w:val="none"/>
        </w:rPr>
        <w:t>语音告警装置主要配置如下：</w:t>
      </w:r>
    </w:p>
    <w:p w14:paraId="56D12F99">
      <w:pPr>
        <w:pStyle w:val="142"/>
        <w:ind w:firstLine="420"/>
        <w:rPr>
          <w:i w:val="0"/>
          <w:iCs w:val="0"/>
          <w:color w:val="auto"/>
          <w:sz w:val="21"/>
          <w:szCs w:val="15"/>
          <w:highlight w:val="none"/>
        </w:rPr>
      </w:pPr>
      <w:r>
        <w:rPr>
          <w:rFonts w:hint="eastAsia"/>
          <w:i w:val="0"/>
          <w:iCs w:val="0"/>
          <w:color w:val="auto"/>
          <w:sz w:val="21"/>
          <w:szCs w:val="15"/>
          <w:highlight w:val="none"/>
        </w:rPr>
        <w:t>（1）供电电压：DC 6V-30V；</w:t>
      </w:r>
    </w:p>
    <w:p w14:paraId="56D12F9A">
      <w:pPr>
        <w:pStyle w:val="142"/>
        <w:ind w:firstLine="420"/>
        <w:rPr>
          <w:i w:val="0"/>
          <w:iCs w:val="0"/>
          <w:color w:val="auto"/>
          <w:sz w:val="21"/>
          <w:szCs w:val="15"/>
          <w:highlight w:val="none"/>
        </w:rPr>
      </w:pPr>
      <w:r>
        <w:rPr>
          <w:rFonts w:hint="eastAsia"/>
          <w:i w:val="0"/>
          <w:iCs w:val="0"/>
          <w:color w:val="auto"/>
          <w:sz w:val="21"/>
          <w:szCs w:val="15"/>
          <w:highlight w:val="none"/>
        </w:rPr>
        <w:t>（2）工作电流：≤1000mA；</w:t>
      </w:r>
    </w:p>
    <w:p w14:paraId="56D12F9B">
      <w:pPr>
        <w:pStyle w:val="142"/>
        <w:ind w:firstLine="420"/>
        <w:rPr>
          <w:i w:val="0"/>
          <w:iCs w:val="0"/>
          <w:color w:val="auto"/>
          <w:sz w:val="21"/>
          <w:szCs w:val="15"/>
          <w:highlight w:val="none"/>
        </w:rPr>
      </w:pPr>
      <w:r>
        <w:rPr>
          <w:rFonts w:hint="eastAsia"/>
          <w:i w:val="0"/>
          <w:iCs w:val="0"/>
          <w:color w:val="auto"/>
          <w:sz w:val="21"/>
          <w:szCs w:val="15"/>
          <w:highlight w:val="none"/>
        </w:rPr>
        <w:t>（3）工作温度：-20℃-70℃；</w:t>
      </w:r>
    </w:p>
    <w:p w14:paraId="56D12F9C">
      <w:pPr>
        <w:pStyle w:val="142"/>
        <w:ind w:firstLine="420"/>
        <w:rPr>
          <w:i w:val="0"/>
          <w:iCs w:val="0"/>
          <w:color w:val="auto"/>
          <w:sz w:val="21"/>
          <w:szCs w:val="15"/>
          <w:highlight w:val="none"/>
        </w:rPr>
      </w:pPr>
      <w:r>
        <w:rPr>
          <w:rFonts w:hint="eastAsia"/>
          <w:i w:val="0"/>
          <w:iCs w:val="0"/>
          <w:color w:val="auto"/>
          <w:sz w:val="21"/>
          <w:szCs w:val="15"/>
          <w:highlight w:val="none"/>
        </w:rPr>
        <w:t>（4）文件格式：Mp3格式(比特率≤192Kbps)。</w:t>
      </w:r>
    </w:p>
    <w:p w14:paraId="56D12F9D">
      <w:pPr>
        <w:pStyle w:val="4"/>
        <w:rPr>
          <w:i w:val="0"/>
          <w:iCs w:val="0"/>
          <w:color w:val="auto"/>
          <w:sz w:val="24"/>
          <w:szCs w:val="21"/>
          <w:highlight w:val="none"/>
        </w:rPr>
      </w:pPr>
      <w:bookmarkStart w:id="263" w:name="_Toc22558"/>
      <w:r>
        <w:rPr>
          <w:rFonts w:hint="eastAsia"/>
          <w:i w:val="0"/>
          <w:iCs w:val="0"/>
          <w:color w:val="auto"/>
          <w:sz w:val="24"/>
          <w:szCs w:val="21"/>
          <w:highlight w:val="none"/>
        </w:rPr>
        <w:t>司机行为分析系统硬件配置要求</w:t>
      </w:r>
      <w:bookmarkEnd w:id="263"/>
    </w:p>
    <w:p w14:paraId="56D12F9E">
      <w:pPr>
        <w:pStyle w:val="5"/>
        <w:ind w:left="0"/>
        <w:rPr>
          <w:i w:val="0"/>
          <w:iCs w:val="0"/>
          <w:color w:val="auto"/>
          <w:sz w:val="22"/>
          <w:szCs w:val="22"/>
          <w:highlight w:val="none"/>
          <w:lang w:val="en-US"/>
        </w:rPr>
      </w:pPr>
      <w:bookmarkStart w:id="264" w:name="_Toc23470"/>
      <w:r>
        <w:rPr>
          <w:rFonts w:hint="eastAsia"/>
          <w:i w:val="0"/>
          <w:iCs w:val="0"/>
          <w:color w:val="auto"/>
          <w:sz w:val="22"/>
          <w:szCs w:val="22"/>
          <w:highlight w:val="none"/>
          <w:lang w:val="en-US"/>
        </w:rPr>
        <w:t>语音告警装置</w:t>
      </w:r>
      <w:bookmarkEnd w:id="264"/>
    </w:p>
    <w:p w14:paraId="56D12F9F">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同11.3</w:t>
      </w:r>
      <w:r>
        <w:rPr>
          <w:rFonts w:hint="eastAsia"/>
          <w:i w:val="0"/>
          <w:iCs w:val="0"/>
          <w:color w:val="auto"/>
          <w:sz w:val="21"/>
          <w:szCs w:val="15"/>
          <w:highlight w:val="none"/>
        </w:rPr>
        <w:t>语音告警装置</w:t>
      </w:r>
      <w:r>
        <w:rPr>
          <w:rFonts w:hint="eastAsia"/>
          <w:i w:val="0"/>
          <w:iCs w:val="0"/>
          <w:color w:val="auto"/>
          <w:sz w:val="21"/>
          <w:szCs w:val="15"/>
          <w:highlight w:val="none"/>
          <w:lang w:val="en-US"/>
        </w:rPr>
        <w:t>要求。</w:t>
      </w:r>
    </w:p>
    <w:p w14:paraId="56D12FA0">
      <w:pPr>
        <w:pStyle w:val="5"/>
        <w:ind w:left="0"/>
        <w:rPr>
          <w:i w:val="0"/>
          <w:iCs w:val="0"/>
          <w:color w:val="auto"/>
          <w:sz w:val="22"/>
          <w:szCs w:val="22"/>
          <w:highlight w:val="none"/>
          <w:lang w:val="en-US"/>
        </w:rPr>
      </w:pPr>
      <w:bookmarkStart w:id="265" w:name="_Toc25286"/>
      <w:r>
        <w:rPr>
          <w:rFonts w:hint="eastAsia"/>
          <w:i w:val="0"/>
          <w:iCs w:val="0"/>
          <w:color w:val="auto"/>
          <w:sz w:val="22"/>
          <w:szCs w:val="22"/>
          <w:highlight w:val="none"/>
          <w:lang w:val="en-US"/>
        </w:rPr>
        <w:t>交换机</w:t>
      </w:r>
      <w:bookmarkEnd w:id="265"/>
    </w:p>
    <w:p w14:paraId="56D12FA1">
      <w:pPr>
        <w:pStyle w:val="142"/>
        <w:ind w:firstLine="420"/>
        <w:rPr>
          <w:i w:val="0"/>
          <w:iCs w:val="0"/>
          <w:color w:val="auto"/>
          <w:sz w:val="21"/>
          <w:szCs w:val="15"/>
          <w:highlight w:val="none"/>
          <w:lang w:val="en-US"/>
        </w:rPr>
      </w:pPr>
      <w:r>
        <w:rPr>
          <w:i w:val="0"/>
          <w:iCs w:val="0"/>
          <w:color w:val="auto"/>
          <w:sz w:val="21"/>
          <w:szCs w:val="15"/>
          <w:highlight w:val="none"/>
          <w:lang w:val="en-US"/>
        </w:rPr>
        <w:t>8口千兆小型企业级非网管型交换机，8个标准RJ45接口，即插即用，无风扇设计。</w:t>
      </w:r>
    </w:p>
    <w:p w14:paraId="56D12FA2">
      <w:pPr>
        <w:pStyle w:val="5"/>
        <w:ind w:left="0"/>
        <w:rPr>
          <w:i w:val="0"/>
          <w:iCs w:val="0"/>
          <w:color w:val="auto"/>
          <w:sz w:val="21"/>
          <w:szCs w:val="15"/>
          <w:highlight w:val="none"/>
          <w:lang w:val="en-US"/>
        </w:rPr>
      </w:pPr>
      <w:bookmarkStart w:id="266" w:name="_Toc30423"/>
      <w:r>
        <w:rPr>
          <w:rFonts w:hint="eastAsia"/>
          <w:i w:val="0"/>
          <w:iCs w:val="0"/>
          <w:color w:val="auto"/>
          <w:sz w:val="21"/>
          <w:szCs w:val="15"/>
          <w:highlight w:val="none"/>
          <w:lang w:val="en-US"/>
        </w:rPr>
        <w:t>PDU</w:t>
      </w:r>
      <w:bookmarkEnd w:id="266"/>
    </w:p>
    <w:p w14:paraId="56D12FA3">
      <w:pPr>
        <w:pStyle w:val="142"/>
        <w:ind w:firstLine="420"/>
        <w:rPr>
          <w:i w:val="0"/>
          <w:iCs w:val="0"/>
          <w:color w:val="auto"/>
          <w:sz w:val="21"/>
          <w:szCs w:val="15"/>
          <w:highlight w:val="none"/>
          <w:lang w:val="en-US"/>
        </w:rPr>
      </w:pPr>
      <w:r>
        <w:rPr>
          <w:i w:val="0"/>
          <w:iCs w:val="0"/>
          <w:color w:val="auto"/>
          <w:sz w:val="21"/>
          <w:szCs w:val="15"/>
          <w:highlight w:val="none"/>
          <w:lang w:val="en-US"/>
        </w:rPr>
        <w:t>工业级，8联单回路，额定电流10A，额定电压250Vac</w:t>
      </w:r>
      <w:r>
        <w:rPr>
          <w:rFonts w:hint="eastAsia"/>
          <w:i w:val="0"/>
          <w:iCs w:val="0"/>
          <w:color w:val="auto"/>
          <w:sz w:val="21"/>
          <w:szCs w:val="15"/>
          <w:highlight w:val="none"/>
          <w:lang w:val="en-US"/>
        </w:rPr>
        <w:t>，</w:t>
      </w:r>
      <w:r>
        <w:rPr>
          <w:i w:val="0"/>
          <w:iCs w:val="0"/>
          <w:color w:val="auto"/>
          <w:sz w:val="21"/>
          <w:szCs w:val="15"/>
          <w:highlight w:val="none"/>
          <w:lang w:val="en-US"/>
        </w:rPr>
        <w:t>最大功率2500W</w:t>
      </w:r>
      <w:r>
        <w:rPr>
          <w:rFonts w:hint="eastAsia"/>
          <w:i w:val="0"/>
          <w:iCs w:val="0"/>
          <w:color w:val="auto"/>
          <w:sz w:val="21"/>
          <w:szCs w:val="15"/>
          <w:highlight w:val="none"/>
          <w:lang w:val="en-US"/>
        </w:rPr>
        <w:t>。</w:t>
      </w:r>
    </w:p>
    <w:p w14:paraId="56D12FA4">
      <w:pPr>
        <w:pStyle w:val="4"/>
        <w:rPr>
          <w:i w:val="0"/>
          <w:iCs w:val="0"/>
          <w:color w:val="auto"/>
          <w:sz w:val="24"/>
          <w:szCs w:val="21"/>
          <w:highlight w:val="none"/>
        </w:rPr>
      </w:pPr>
      <w:bookmarkStart w:id="267" w:name="_Toc25226"/>
      <w:r>
        <w:rPr>
          <w:rFonts w:hint="eastAsia"/>
          <w:i w:val="0"/>
          <w:iCs w:val="0"/>
          <w:color w:val="auto"/>
          <w:sz w:val="24"/>
          <w:szCs w:val="21"/>
          <w:highlight w:val="none"/>
        </w:rPr>
        <w:t>人脸门禁系统硬件设备性能要求</w:t>
      </w:r>
      <w:bookmarkEnd w:id="267"/>
    </w:p>
    <w:p w14:paraId="56D12FA5">
      <w:pPr>
        <w:pStyle w:val="5"/>
        <w:ind w:left="0"/>
        <w:rPr>
          <w:i w:val="0"/>
          <w:iCs w:val="0"/>
          <w:color w:val="auto"/>
          <w:sz w:val="22"/>
          <w:szCs w:val="22"/>
          <w:highlight w:val="none"/>
        </w:rPr>
      </w:pPr>
      <w:bookmarkStart w:id="268" w:name="_Toc200964758"/>
      <w:bookmarkStart w:id="269" w:name="_Toc31723"/>
      <w:r>
        <w:rPr>
          <w:rFonts w:hint="eastAsia"/>
          <w:i w:val="0"/>
          <w:iCs w:val="0"/>
          <w:color w:val="auto"/>
          <w:sz w:val="22"/>
          <w:szCs w:val="22"/>
          <w:highlight w:val="none"/>
        </w:rPr>
        <w:t>人脸读卡器</w:t>
      </w:r>
      <w:bookmarkEnd w:id="268"/>
      <w:r>
        <w:rPr>
          <w:rFonts w:hint="eastAsia"/>
          <w:i w:val="0"/>
          <w:iCs w:val="0"/>
          <w:color w:val="auto"/>
          <w:sz w:val="22"/>
          <w:szCs w:val="22"/>
          <w:highlight w:val="none"/>
          <w:lang w:val="en-US"/>
        </w:rPr>
        <w:t>性能要求</w:t>
      </w:r>
      <w:bookmarkEnd w:id="269"/>
    </w:p>
    <w:p w14:paraId="56D12FA6">
      <w:pPr>
        <w:pStyle w:val="142"/>
        <w:ind w:firstLine="420"/>
        <w:rPr>
          <w:i w:val="0"/>
          <w:iCs w:val="0"/>
          <w:color w:val="auto"/>
          <w:sz w:val="21"/>
          <w:szCs w:val="15"/>
          <w:highlight w:val="none"/>
        </w:rPr>
      </w:pPr>
      <w:r>
        <w:rPr>
          <w:rFonts w:hint="eastAsia"/>
          <w:i w:val="0"/>
          <w:iCs w:val="0"/>
          <w:color w:val="auto"/>
          <w:sz w:val="21"/>
          <w:szCs w:val="15"/>
          <w:highlight w:val="none"/>
          <w:lang w:val="en-US"/>
        </w:rPr>
        <w:t>人脸门禁读卡器</w:t>
      </w:r>
      <w:r>
        <w:rPr>
          <w:rFonts w:hint="eastAsia"/>
          <w:i w:val="0"/>
          <w:iCs w:val="0"/>
          <w:color w:val="auto"/>
          <w:sz w:val="21"/>
          <w:szCs w:val="15"/>
          <w:highlight w:val="none"/>
        </w:rPr>
        <w:t>需支持人脸、刷卡等多种验证方式。设备应满足以下功能要求：</w:t>
      </w:r>
    </w:p>
    <w:p w14:paraId="56D12FA7">
      <w:pPr>
        <w:pStyle w:val="142"/>
        <w:ind w:firstLine="420"/>
        <w:rPr>
          <w:i w:val="0"/>
          <w:iCs w:val="0"/>
          <w:color w:val="auto"/>
          <w:sz w:val="21"/>
          <w:szCs w:val="15"/>
          <w:highlight w:val="none"/>
        </w:rPr>
      </w:pPr>
      <w:bookmarkStart w:id="270" w:name="OLE_LINK8"/>
      <w:r>
        <w:rPr>
          <w:rFonts w:hint="eastAsia"/>
          <w:i w:val="0"/>
          <w:iCs w:val="0"/>
          <w:color w:val="auto"/>
          <w:sz w:val="21"/>
          <w:szCs w:val="15"/>
          <w:highlight w:val="none"/>
        </w:rPr>
        <w:t>支持7*24小时不间断运行；支持人脸识别功能；人脸容量：≥50000张；识别时间&lt;1秒；识别距离：0.3~1.5m；显示屏8 英寸，1280*800 像素；视频采集200W 宽动态双目摄像头；人员靠近自动唤醒，唤醒距离为1-3米范围内可调节；内置补光灯，适应光线不足的环境，支持补光灯亮度调节；支持IE设置参数配置、添加管理名单、设备升级、用户权限管理等；工作电压：DC12V±5%，具备稳压、短路及过载保护措施；安装方式：壁挂；支持LED灯指示和声音提示，指示门禁的各种状态，包括：开锁、闭锁、刷卡门禁通过、刷卡门禁拒绝、开门超时报警、非法强行侵入、非法尝试报警等</w:t>
      </w:r>
      <w:bookmarkEnd w:id="270"/>
      <w:r>
        <w:rPr>
          <w:rFonts w:hint="eastAsia"/>
          <w:i w:val="0"/>
          <w:iCs w:val="0"/>
          <w:color w:val="auto"/>
          <w:sz w:val="21"/>
          <w:szCs w:val="15"/>
          <w:highlight w:val="none"/>
        </w:rPr>
        <w:t>。</w:t>
      </w:r>
      <w:bookmarkStart w:id="271" w:name="_Toc200964759"/>
      <w:r>
        <w:rPr>
          <w:rFonts w:hint="eastAsia"/>
          <w:i w:val="0"/>
          <w:iCs w:val="0"/>
          <w:color w:val="auto"/>
          <w:sz w:val="21"/>
          <w:szCs w:val="15"/>
          <w:highlight w:val="none"/>
        </w:rPr>
        <w:t xml:space="preserve"> </w:t>
      </w:r>
      <w:bookmarkEnd w:id="271"/>
    </w:p>
    <w:p w14:paraId="56D12FA8">
      <w:pPr>
        <w:pStyle w:val="5"/>
        <w:ind w:left="0"/>
        <w:rPr>
          <w:i w:val="0"/>
          <w:iCs w:val="0"/>
          <w:color w:val="auto"/>
          <w:sz w:val="22"/>
          <w:szCs w:val="22"/>
          <w:highlight w:val="none"/>
        </w:rPr>
      </w:pPr>
      <w:bookmarkStart w:id="272" w:name="_Toc24011"/>
      <w:bookmarkStart w:id="273" w:name="_Toc200964760"/>
      <w:r>
        <w:rPr>
          <w:rFonts w:hint="eastAsia"/>
          <w:i w:val="0"/>
          <w:iCs w:val="0"/>
          <w:color w:val="auto"/>
          <w:sz w:val="22"/>
          <w:szCs w:val="22"/>
          <w:highlight w:val="none"/>
        </w:rPr>
        <w:t>人脸门禁面板接入交换机</w:t>
      </w:r>
      <w:bookmarkEnd w:id="272"/>
      <w:bookmarkEnd w:id="273"/>
    </w:p>
    <w:p w14:paraId="56D12FA9">
      <w:pPr>
        <w:pStyle w:val="142"/>
        <w:ind w:firstLine="420"/>
        <w:rPr>
          <w:i w:val="0"/>
          <w:iCs w:val="0"/>
          <w:color w:val="auto"/>
          <w:sz w:val="21"/>
          <w:szCs w:val="15"/>
          <w:highlight w:val="none"/>
        </w:rPr>
      </w:pPr>
      <w:bookmarkStart w:id="274" w:name="OLE_LINK7"/>
      <w:bookmarkStart w:id="275" w:name="OLE_LINK9"/>
      <w:r>
        <w:rPr>
          <w:rFonts w:hint="eastAsia"/>
          <w:i w:val="0"/>
          <w:iCs w:val="0"/>
          <w:color w:val="auto"/>
          <w:sz w:val="21"/>
          <w:szCs w:val="15"/>
          <w:highlight w:val="none"/>
        </w:rPr>
        <w:t>设备主要技术参数如下：</w:t>
      </w:r>
    </w:p>
    <w:p w14:paraId="56D12FAA">
      <w:pPr>
        <w:pStyle w:val="142"/>
        <w:ind w:firstLine="420"/>
        <w:rPr>
          <w:i w:val="0"/>
          <w:iCs w:val="0"/>
          <w:color w:val="auto"/>
          <w:sz w:val="21"/>
          <w:szCs w:val="15"/>
          <w:highlight w:val="none"/>
        </w:rPr>
      </w:pPr>
      <w:bookmarkStart w:id="276" w:name="OLE_LINK15"/>
      <w:r>
        <w:rPr>
          <w:rFonts w:hint="eastAsia"/>
          <w:i w:val="0"/>
          <w:iCs w:val="0"/>
          <w:color w:val="auto"/>
          <w:sz w:val="21"/>
          <w:szCs w:val="15"/>
          <w:highlight w:val="none"/>
        </w:rPr>
        <w:t>端口：</w:t>
      </w:r>
      <w:r>
        <w:rPr>
          <w:rFonts w:hint="eastAsia"/>
          <w:i w:val="0"/>
          <w:iCs w:val="0"/>
          <w:color w:val="auto"/>
          <w:sz w:val="21"/>
          <w:szCs w:val="15"/>
          <w:highlight w:val="none"/>
          <w:lang w:val="en-US"/>
        </w:rPr>
        <w:t>不小于</w:t>
      </w:r>
      <w:r>
        <w:rPr>
          <w:rFonts w:hint="eastAsia"/>
          <w:i w:val="0"/>
          <w:iCs w:val="0"/>
          <w:color w:val="auto"/>
          <w:sz w:val="21"/>
          <w:szCs w:val="15"/>
          <w:highlight w:val="none"/>
        </w:rPr>
        <w:t>8个百兆RJ45电口；</w:t>
      </w:r>
    </w:p>
    <w:p w14:paraId="56D12FAB">
      <w:pPr>
        <w:pStyle w:val="142"/>
        <w:ind w:firstLine="420"/>
        <w:rPr>
          <w:i w:val="0"/>
          <w:iCs w:val="0"/>
          <w:color w:val="auto"/>
          <w:sz w:val="21"/>
          <w:szCs w:val="15"/>
          <w:highlight w:val="none"/>
        </w:rPr>
      </w:pPr>
      <w:r>
        <w:rPr>
          <w:rFonts w:hint="eastAsia"/>
          <w:i w:val="0"/>
          <w:iCs w:val="0"/>
          <w:color w:val="auto"/>
          <w:sz w:val="21"/>
          <w:szCs w:val="15"/>
          <w:highlight w:val="none"/>
        </w:rPr>
        <w:t>防护等级：不低于IP30；</w:t>
      </w:r>
    </w:p>
    <w:p w14:paraId="56D12FAC">
      <w:pPr>
        <w:pStyle w:val="142"/>
        <w:ind w:firstLine="420"/>
        <w:rPr>
          <w:i w:val="0"/>
          <w:iCs w:val="0"/>
          <w:color w:val="auto"/>
          <w:sz w:val="21"/>
          <w:szCs w:val="15"/>
          <w:highlight w:val="none"/>
        </w:rPr>
      </w:pPr>
      <w:r>
        <w:rPr>
          <w:rFonts w:hint="eastAsia"/>
          <w:i w:val="0"/>
          <w:iCs w:val="0"/>
          <w:color w:val="auto"/>
          <w:sz w:val="21"/>
          <w:szCs w:val="15"/>
          <w:highlight w:val="none"/>
        </w:rPr>
        <w:t>散热方式：自然冷却,无风扇</w:t>
      </w:r>
    </w:p>
    <w:p w14:paraId="56D12FAD">
      <w:pPr>
        <w:pStyle w:val="142"/>
        <w:ind w:firstLine="420"/>
        <w:rPr>
          <w:i w:val="0"/>
          <w:iCs w:val="0"/>
          <w:color w:val="auto"/>
          <w:sz w:val="21"/>
          <w:szCs w:val="15"/>
          <w:highlight w:val="none"/>
        </w:rPr>
      </w:pPr>
      <w:r>
        <w:rPr>
          <w:rFonts w:hint="eastAsia"/>
          <w:i w:val="0"/>
          <w:iCs w:val="0"/>
          <w:color w:val="auto"/>
          <w:sz w:val="21"/>
          <w:szCs w:val="15"/>
          <w:highlight w:val="none"/>
        </w:rPr>
        <w:t>安装方式：DIN卡轨式或壁挂式</w:t>
      </w:r>
    </w:p>
    <w:p w14:paraId="56D12FAE">
      <w:pPr>
        <w:pStyle w:val="142"/>
        <w:ind w:firstLine="420"/>
        <w:rPr>
          <w:i w:val="0"/>
          <w:iCs w:val="0"/>
          <w:color w:val="auto"/>
          <w:sz w:val="21"/>
          <w:szCs w:val="15"/>
          <w:highlight w:val="none"/>
        </w:rPr>
      </w:pPr>
      <w:r>
        <w:rPr>
          <w:rFonts w:hint="eastAsia"/>
          <w:i w:val="0"/>
          <w:iCs w:val="0"/>
          <w:color w:val="auto"/>
          <w:sz w:val="21"/>
          <w:szCs w:val="15"/>
          <w:highlight w:val="none"/>
        </w:rPr>
        <w:t>工作温度：-10 - 60℃</w:t>
      </w:r>
    </w:p>
    <w:p w14:paraId="56D12FAF">
      <w:pPr>
        <w:pStyle w:val="142"/>
        <w:ind w:firstLine="420"/>
        <w:rPr>
          <w:i w:val="0"/>
          <w:iCs w:val="0"/>
          <w:color w:val="auto"/>
          <w:sz w:val="21"/>
          <w:szCs w:val="15"/>
          <w:highlight w:val="none"/>
        </w:rPr>
      </w:pPr>
      <w:r>
        <w:rPr>
          <w:rFonts w:hint="eastAsia"/>
          <w:i w:val="0"/>
          <w:iCs w:val="0"/>
          <w:color w:val="auto"/>
          <w:sz w:val="21"/>
          <w:szCs w:val="15"/>
          <w:highlight w:val="none"/>
        </w:rPr>
        <w:t>相对湿度：5～95%无凝露</w:t>
      </w:r>
      <w:bookmarkEnd w:id="274"/>
      <w:bookmarkEnd w:id="276"/>
    </w:p>
    <w:p w14:paraId="56D12FB0">
      <w:pPr>
        <w:pStyle w:val="5"/>
        <w:ind w:left="0"/>
        <w:rPr>
          <w:i w:val="0"/>
          <w:iCs w:val="0"/>
          <w:color w:val="auto"/>
          <w:sz w:val="22"/>
          <w:szCs w:val="22"/>
          <w:highlight w:val="none"/>
        </w:rPr>
      </w:pPr>
      <w:bookmarkStart w:id="277" w:name="_Toc200964761"/>
      <w:bookmarkStart w:id="278" w:name="_Toc9172"/>
      <w:r>
        <w:rPr>
          <w:rFonts w:hint="eastAsia"/>
          <w:i w:val="0"/>
          <w:iCs w:val="0"/>
          <w:color w:val="auto"/>
          <w:sz w:val="22"/>
          <w:szCs w:val="22"/>
          <w:highlight w:val="none"/>
        </w:rPr>
        <w:t>就地控制器</w:t>
      </w:r>
      <w:bookmarkEnd w:id="277"/>
      <w:bookmarkEnd w:id="278"/>
    </w:p>
    <w:p w14:paraId="56D12FB1">
      <w:pPr>
        <w:pStyle w:val="142"/>
        <w:ind w:firstLine="420"/>
        <w:rPr>
          <w:i w:val="0"/>
          <w:iCs w:val="0"/>
          <w:color w:val="auto"/>
          <w:sz w:val="21"/>
          <w:szCs w:val="15"/>
          <w:highlight w:val="none"/>
        </w:rPr>
      </w:pPr>
      <w:r>
        <w:rPr>
          <w:rFonts w:hint="eastAsia"/>
          <w:i w:val="0"/>
          <w:iCs w:val="0"/>
          <w:color w:val="auto"/>
          <w:sz w:val="21"/>
          <w:szCs w:val="15"/>
          <w:highlight w:val="none"/>
        </w:rPr>
        <w:t>设备主要技术参数如下：</w:t>
      </w:r>
    </w:p>
    <w:p w14:paraId="56D12FB2">
      <w:pPr>
        <w:pStyle w:val="142"/>
        <w:ind w:firstLine="420"/>
        <w:rPr>
          <w:i w:val="0"/>
          <w:iCs w:val="0"/>
          <w:color w:val="auto"/>
          <w:sz w:val="21"/>
          <w:szCs w:val="15"/>
          <w:highlight w:val="none"/>
        </w:rPr>
      </w:pPr>
      <w:r>
        <w:rPr>
          <w:rFonts w:hint="eastAsia"/>
          <w:i w:val="0"/>
          <w:iCs w:val="0"/>
          <w:color w:val="auto"/>
          <w:sz w:val="21"/>
          <w:szCs w:val="15"/>
          <w:highlight w:val="none"/>
        </w:rPr>
        <w:t>（1）可与目前</w:t>
      </w:r>
      <w:r>
        <w:rPr>
          <w:rFonts w:hint="eastAsia"/>
          <w:i w:val="0"/>
          <w:iCs w:val="0"/>
          <w:color w:val="auto"/>
          <w:sz w:val="21"/>
          <w:szCs w:val="15"/>
          <w:highlight w:val="none"/>
          <w:lang w:val="en-US"/>
        </w:rPr>
        <w:t>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轨道交通6号线门禁系统兼容；</w:t>
      </w:r>
    </w:p>
    <w:p w14:paraId="56D12FB3">
      <w:pPr>
        <w:pStyle w:val="142"/>
        <w:ind w:firstLine="420"/>
        <w:rPr>
          <w:i w:val="0"/>
          <w:iCs w:val="0"/>
          <w:color w:val="auto"/>
          <w:sz w:val="21"/>
          <w:szCs w:val="15"/>
          <w:highlight w:val="none"/>
        </w:rPr>
      </w:pPr>
      <w:r>
        <w:rPr>
          <w:rFonts w:hint="eastAsia"/>
          <w:i w:val="0"/>
          <w:iCs w:val="0"/>
          <w:color w:val="auto"/>
          <w:sz w:val="21"/>
          <w:szCs w:val="15"/>
          <w:highlight w:val="none"/>
        </w:rPr>
        <w:t>（2）可接受实时同步时钟信号，时钟误差为秒级；</w:t>
      </w:r>
    </w:p>
    <w:p w14:paraId="56D12FB4">
      <w:pPr>
        <w:pStyle w:val="142"/>
        <w:ind w:firstLine="420"/>
        <w:rPr>
          <w:i w:val="0"/>
          <w:iCs w:val="0"/>
          <w:color w:val="auto"/>
          <w:sz w:val="21"/>
          <w:szCs w:val="15"/>
          <w:highlight w:val="none"/>
        </w:rPr>
      </w:pPr>
      <w:r>
        <w:rPr>
          <w:rFonts w:hint="eastAsia"/>
          <w:i w:val="0"/>
          <w:iCs w:val="0"/>
          <w:color w:val="auto"/>
          <w:sz w:val="21"/>
          <w:szCs w:val="15"/>
          <w:highlight w:val="none"/>
        </w:rPr>
        <w:t>（3）可提供 4‐8 个继电器输出，可工作在脉冲触发、连续触发、常开、常闭等多种控制方式；</w:t>
      </w:r>
    </w:p>
    <w:p w14:paraId="56D12FB5">
      <w:pPr>
        <w:pStyle w:val="142"/>
        <w:ind w:firstLine="420"/>
        <w:rPr>
          <w:i w:val="0"/>
          <w:iCs w:val="0"/>
          <w:color w:val="auto"/>
          <w:sz w:val="21"/>
          <w:szCs w:val="15"/>
          <w:highlight w:val="none"/>
        </w:rPr>
      </w:pPr>
      <w:r>
        <w:rPr>
          <w:rFonts w:hint="eastAsia"/>
          <w:i w:val="0"/>
          <w:iCs w:val="0"/>
          <w:color w:val="auto"/>
          <w:sz w:val="21"/>
          <w:szCs w:val="15"/>
          <w:highlight w:val="none"/>
        </w:rPr>
        <w:t>（4）可提供 8‐16 个无源输入点，具有 4 态输入检测（正常、报警、线路短路、线路开路），输入点可工作在瞬时报警、延时报警、输入状态保持延时 3 种状态；</w:t>
      </w:r>
    </w:p>
    <w:p w14:paraId="56D12FB6">
      <w:pPr>
        <w:pStyle w:val="142"/>
        <w:ind w:firstLine="420"/>
        <w:rPr>
          <w:i w:val="0"/>
          <w:iCs w:val="0"/>
          <w:color w:val="auto"/>
          <w:sz w:val="21"/>
          <w:szCs w:val="15"/>
          <w:highlight w:val="none"/>
        </w:rPr>
      </w:pPr>
      <w:r>
        <w:rPr>
          <w:rFonts w:hint="eastAsia"/>
          <w:i w:val="0"/>
          <w:iCs w:val="0"/>
          <w:color w:val="auto"/>
          <w:sz w:val="21"/>
          <w:szCs w:val="15"/>
          <w:highlight w:val="none"/>
        </w:rPr>
        <w:t>（5）电源范围为 170～280VAC，应具有过电流和过电压保护；</w:t>
      </w:r>
    </w:p>
    <w:p w14:paraId="56D12FB7">
      <w:pPr>
        <w:pStyle w:val="142"/>
        <w:ind w:firstLine="420"/>
        <w:rPr>
          <w:i w:val="0"/>
          <w:iCs w:val="0"/>
          <w:color w:val="auto"/>
          <w:sz w:val="21"/>
          <w:szCs w:val="15"/>
          <w:highlight w:val="none"/>
        </w:rPr>
      </w:pPr>
      <w:r>
        <w:rPr>
          <w:rFonts w:hint="eastAsia"/>
          <w:i w:val="0"/>
          <w:iCs w:val="0"/>
          <w:color w:val="auto"/>
          <w:sz w:val="21"/>
          <w:szCs w:val="15"/>
          <w:highlight w:val="none"/>
        </w:rPr>
        <w:t>（6）就地控制器要求有电源开关，方便检修；</w:t>
      </w:r>
    </w:p>
    <w:p w14:paraId="56D12FB8">
      <w:pPr>
        <w:pStyle w:val="142"/>
        <w:ind w:firstLine="420"/>
        <w:rPr>
          <w:i w:val="0"/>
          <w:iCs w:val="0"/>
          <w:color w:val="auto"/>
          <w:sz w:val="21"/>
          <w:szCs w:val="15"/>
          <w:highlight w:val="none"/>
        </w:rPr>
      </w:pPr>
      <w:r>
        <w:rPr>
          <w:rFonts w:hint="eastAsia"/>
          <w:i w:val="0"/>
          <w:iCs w:val="0"/>
          <w:color w:val="auto"/>
          <w:sz w:val="21"/>
          <w:szCs w:val="15"/>
          <w:highlight w:val="none"/>
        </w:rPr>
        <w:t>（7）每个就地控制器可控制 2 个门禁点，还应冗余至少 2 个输入点和 1 个输出点，用于连接其它输入输出应用；</w:t>
      </w:r>
    </w:p>
    <w:p w14:paraId="56D12FB9">
      <w:pPr>
        <w:pStyle w:val="142"/>
        <w:ind w:firstLine="420"/>
        <w:rPr>
          <w:i w:val="0"/>
          <w:iCs w:val="0"/>
          <w:color w:val="auto"/>
          <w:sz w:val="21"/>
          <w:szCs w:val="15"/>
          <w:highlight w:val="none"/>
        </w:rPr>
      </w:pPr>
      <w:r>
        <w:rPr>
          <w:rFonts w:hint="eastAsia"/>
          <w:i w:val="0"/>
          <w:iCs w:val="0"/>
          <w:color w:val="auto"/>
          <w:sz w:val="21"/>
          <w:szCs w:val="15"/>
          <w:highlight w:val="none"/>
        </w:rPr>
        <w:t>（8）内部电源在交流和直流侧都应具有短路保护措施，防止交流电源和负载短路造成设备损坏。接线应采用螺丝紧固端子，确保接线牢固可靠；</w:t>
      </w:r>
    </w:p>
    <w:p w14:paraId="56D12FBA">
      <w:pPr>
        <w:pStyle w:val="142"/>
        <w:ind w:firstLine="420"/>
        <w:rPr>
          <w:i w:val="0"/>
          <w:iCs w:val="0"/>
          <w:color w:val="auto"/>
          <w:sz w:val="21"/>
          <w:szCs w:val="15"/>
          <w:highlight w:val="none"/>
        </w:rPr>
      </w:pPr>
      <w:r>
        <w:rPr>
          <w:rFonts w:hint="eastAsia"/>
          <w:i w:val="0"/>
          <w:iCs w:val="0"/>
          <w:color w:val="auto"/>
          <w:sz w:val="21"/>
          <w:szCs w:val="15"/>
          <w:highlight w:val="none"/>
        </w:rPr>
        <w:t>（9）就地控制器离门信号传输距离应不小于100m，主控制器与就地控制器之间通信传输距离应不小于1200m；</w:t>
      </w:r>
    </w:p>
    <w:p w14:paraId="56D12FBB">
      <w:pPr>
        <w:pStyle w:val="142"/>
        <w:ind w:firstLine="420"/>
        <w:rPr>
          <w:i w:val="0"/>
          <w:iCs w:val="0"/>
          <w:color w:val="auto"/>
          <w:sz w:val="21"/>
          <w:szCs w:val="15"/>
          <w:highlight w:val="none"/>
        </w:rPr>
      </w:pPr>
      <w:r>
        <w:rPr>
          <w:rFonts w:hint="eastAsia"/>
          <w:i w:val="0"/>
          <w:iCs w:val="0"/>
          <w:color w:val="auto"/>
          <w:sz w:val="21"/>
          <w:szCs w:val="15"/>
          <w:highlight w:val="none"/>
        </w:rPr>
        <w:t>（1</w:t>
      </w:r>
      <w:r>
        <w:rPr>
          <w:rFonts w:hint="eastAsia"/>
          <w:i w:val="0"/>
          <w:iCs w:val="0"/>
          <w:color w:val="auto"/>
          <w:sz w:val="21"/>
          <w:szCs w:val="15"/>
          <w:highlight w:val="none"/>
          <w:lang w:val="en-US"/>
        </w:rPr>
        <w:t>0</w:t>
      </w:r>
      <w:r>
        <w:rPr>
          <w:rFonts w:hint="eastAsia"/>
          <w:i w:val="0"/>
          <w:iCs w:val="0"/>
          <w:color w:val="auto"/>
          <w:sz w:val="21"/>
          <w:szCs w:val="15"/>
          <w:highlight w:val="none"/>
        </w:rPr>
        <w:t>）在每个就地控制器上加一个总线隔离模块（或采取其他措施），防止出现回路某处门禁点短路，引起整个回路的瘫痪的情况发生；</w:t>
      </w:r>
    </w:p>
    <w:p w14:paraId="56D12FBC">
      <w:pPr>
        <w:pStyle w:val="142"/>
        <w:ind w:firstLine="420"/>
        <w:rPr>
          <w:i w:val="0"/>
          <w:iCs w:val="0"/>
          <w:color w:val="auto"/>
          <w:sz w:val="21"/>
          <w:szCs w:val="15"/>
          <w:highlight w:val="none"/>
        </w:rPr>
      </w:pPr>
      <w:r>
        <w:rPr>
          <w:rFonts w:hint="eastAsia"/>
          <w:i w:val="0"/>
          <w:iCs w:val="0"/>
          <w:color w:val="auto"/>
          <w:sz w:val="21"/>
          <w:szCs w:val="15"/>
          <w:highlight w:val="none"/>
        </w:rPr>
        <w:t>（1</w:t>
      </w:r>
      <w:r>
        <w:rPr>
          <w:rFonts w:hint="eastAsia"/>
          <w:i w:val="0"/>
          <w:iCs w:val="0"/>
          <w:color w:val="auto"/>
          <w:sz w:val="21"/>
          <w:szCs w:val="15"/>
          <w:highlight w:val="none"/>
          <w:lang w:val="en-US"/>
        </w:rPr>
        <w:t>1</w:t>
      </w:r>
      <w:r>
        <w:rPr>
          <w:rFonts w:hint="eastAsia"/>
          <w:i w:val="0"/>
          <w:iCs w:val="0"/>
          <w:color w:val="auto"/>
          <w:sz w:val="21"/>
          <w:szCs w:val="15"/>
          <w:highlight w:val="none"/>
        </w:rPr>
        <w:t>）保证每个门的读卡量至少30000张，并可以扩充至60000张；</w:t>
      </w:r>
    </w:p>
    <w:p w14:paraId="56D12FBD">
      <w:pPr>
        <w:pStyle w:val="142"/>
        <w:ind w:firstLine="420"/>
        <w:rPr>
          <w:i w:val="0"/>
          <w:iCs w:val="0"/>
          <w:color w:val="auto"/>
          <w:sz w:val="21"/>
          <w:szCs w:val="15"/>
          <w:highlight w:val="none"/>
        </w:rPr>
      </w:pPr>
      <w:r>
        <w:rPr>
          <w:rFonts w:hint="eastAsia"/>
          <w:i w:val="0"/>
          <w:iCs w:val="0"/>
          <w:color w:val="auto"/>
          <w:sz w:val="21"/>
          <w:szCs w:val="15"/>
          <w:highlight w:val="none"/>
        </w:rPr>
        <w:t>（1</w:t>
      </w:r>
      <w:r>
        <w:rPr>
          <w:rFonts w:hint="eastAsia"/>
          <w:i w:val="0"/>
          <w:iCs w:val="0"/>
          <w:color w:val="auto"/>
          <w:sz w:val="21"/>
          <w:szCs w:val="15"/>
          <w:highlight w:val="none"/>
          <w:lang w:val="en-US"/>
        </w:rPr>
        <w:t>2</w:t>
      </w:r>
      <w:r>
        <w:rPr>
          <w:rFonts w:hint="eastAsia"/>
          <w:i w:val="0"/>
          <w:iCs w:val="0"/>
          <w:color w:val="auto"/>
          <w:sz w:val="21"/>
          <w:szCs w:val="15"/>
          <w:highlight w:val="none"/>
        </w:rPr>
        <w:t>）事件缓存器：至少可以记录5000条；</w:t>
      </w:r>
    </w:p>
    <w:p w14:paraId="56D12FBE">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投标人应优先选用长沙</w:t>
      </w:r>
      <w:r>
        <w:rPr>
          <w:rFonts w:hint="eastAsia"/>
          <w:i w:val="0"/>
          <w:iCs w:val="0"/>
          <w:color w:val="auto"/>
          <w:sz w:val="21"/>
          <w:szCs w:val="15"/>
          <w:highlight w:val="none"/>
          <w:lang w:val="en-US" w:eastAsia="zh-CN"/>
        </w:rPr>
        <w:t>市</w:t>
      </w:r>
      <w:r>
        <w:rPr>
          <w:rFonts w:hint="eastAsia"/>
          <w:i w:val="0"/>
          <w:iCs w:val="0"/>
          <w:color w:val="auto"/>
          <w:sz w:val="21"/>
          <w:szCs w:val="15"/>
          <w:highlight w:val="none"/>
        </w:rPr>
        <w:t>轨道交通6号线</w:t>
      </w:r>
      <w:r>
        <w:rPr>
          <w:rFonts w:hint="eastAsia"/>
          <w:i w:val="0"/>
          <w:iCs w:val="0"/>
          <w:color w:val="auto"/>
          <w:sz w:val="21"/>
          <w:szCs w:val="15"/>
          <w:highlight w:val="none"/>
          <w:lang w:val="en-US"/>
        </w:rPr>
        <w:t>既有门禁系统同品牌同型号的产品，以降低后续运维成本。</w:t>
      </w:r>
    </w:p>
    <w:p w14:paraId="56D12FBF">
      <w:pPr>
        <w:pStyle w:val="5"/>
        <w:ind w:left="0"/>
        <w:rPr>
          <w:i w:val="0"/>
          <w:iCs w:val="0"/>
          <w:color w:val="auto"/>
          <w:sz w:val="22"/>
          <w:szCs w:val="22"/>
          <w:highlight w:val="none"/>
          <w:lang w:val="en-US"/>
        </w:rPr>
      </w:pPr>
      <w:bookmarkStart w:id="279" w:name="_Toc28072"/>
      <w:r>
        <w:rPr>
          <w:rFonts w:hint="eastAsia"/>
          <w:i w:val="0"/>
          <w:iCs w:val="0"/>
          <w:color w:val="auto"/>
          <w:sz w:val="22"/>
          <w:szCs w:val="22"/>
          <w:highlight w:val="none"/>
          <w:lang w:val="en-US"/>
        </w:rPr>
        <w:t>光电转换器</w:t>
      </w:r>
      <w:bookmarkEnd w:id="279"/>
    </w:p>
    <w:p w14:paraId="56D12FC0">
      <w:pPr>
        <w:pStyle w:val="142"/>
        <w:ind w:firstLine="420"/>
        <w:rPr>
          <w:i w:val="0"/>
          <w:iCs w:val="0"/>
          <w:color w:val="auto"/>
          <w:sz w:val="21"/>
          <w:szCs w:val="15"/>
          <w:highlight w:val="none"/>
        </w:rPr>
      </w:pPr>
      <w:r>
        <w:rPr>
          <w:rFonts w:hint="eastAsia"/>
          <w:i w:val="0"/>
          <w:iCs w:val="0"/>
          <w:color w:val="auto"/>
          <w:sz w:val="21"/>
          <w:szCs w:val="15"/>
          <w:highlight w:val="none"/>
        </w:rPr>
        <w:t>设备主要技术参数如下：</w:t>
      </w:r>
    </w:p>
    <w:p w14:paraId="56D12FC1">
      <w:pPr>
        <w:pStyle w:val="142"/>
        <w:ind w:firstLine="420"/>
        <w:rPr>
          <w:i w:val="0"/>
          <w:iCs w:val="0"/>
          <w:color w:val="auto"/>
          <w:sz w:val="21"/>
          <w:szCs w:val="15"/>
          <w:highlight w:val="none"/>
          <w:lang w:val="en-US"/>
        </w:rPr>
      </w:pPr>
      <w:r>
        <w:rPr>
          <w:i w:val="0"/>
          <w:iCs w:val="0"/>
          <w:color w:val="auto"/>
          <w:sz w:val="21"/>
          <w:szCs w:val="15"/>
          <w:highlight w:val="none"/>
          <w:lang w:val="en-US"/>
        </w:rPr>
        <w:t>1、光电转换器能提供10/100BaseT（X）和100BaseFX（SC/ST接头）之间的光电转换；</w:t>
      </w:r>
    </w:p>
    <w:p w14:paraId="56D12FC2">
      <w:pPr>
        <w:pStyle w:val="142"/>
        <w:ind w:firstLine="420"/>
        <w:rPr>
          <w:i w:val="0"/>
          <w:iCs w:val="0"/>
          <w:color w:val="auto"/>
          <w:sz w:val="21"/>
          <w:szCs w:val="15"/>
          <w:highlight w:val="none"/>
          <w:lang w:val="en-US"/>
        </w:rPr>
      </w:pPr>
      <w:r>
        <w:rPr>
          <w:i w:val="0"/>
          <w:iCs w:val="0"/>
          <w:color w:val="auto"/>
          <w:sz w:val="21"/>
          <w:szCs w:val="15"/>
          <w:highlight w:val="none"/>
          <w:lang w:val="en-US"/>
        </w:rPr>
        <w:t>2、工作温度：支持0℃～60℃；</w:t>
      </w:r>
    </w:p>
    <w:p w14:paraId="56D12FC3">
      <w:pPr>
        <w:pStyle w:val="142"/>
        <w:ind w:firstLine="420"/>
        <w:rPr>
          <w:i w:val="0"/>
          <w:iCs w:val="0"/>
          <w:color w:val="auto"/>
          <w:sz w:val="21"/>
          <w:szCs w:val="15"/>
          <w:highlight w:val="none"/>
          <w:lang w:val="en-US"/>
        </w:rPr>
      </w:pPr>
      <w:r>
        <w:rPr>
          <w:i w:val="0"/>
          <w:iCs w:val="0"/>
          <w:color w:val="auto"/>
          <w:sz w:val="21"/>
          <w:szCs w:val="15"/>
          <w:highlight w:val="none"/>
          <w:lang w:val="en-US"/>
        </w:rPr>
        <w:t>3、外壳防护等级不小于IP30；</w:t>
      </w:r>
    </w:p>
    <w:p w14:paraId="56D12FC4">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4</w:t>
      </w:r>
      <w:r>
        <w:rPr>
          <w:i w:val="0"/>
          <w:iCs w:val="0"/>
          <w:color w:val="auto"/>
          <w:sz w:val="21"/>
          <w:szCs w:val="15"/>
          <w:highlight w:val="none"/>
          <w:lang w:val="en-US"/>
        </w:rPr>
        <w:t>、自配交直流电源转换接头。</w:t>
      </w:r>
    </w:p>
    <w:bookmarkEnd w:id="275"/>
    <w:p w14:paraId="56D12FC5">
      <w:pPr>
        <w:pStyle w:val="4"/>
        <w:rPr>
          <w:i w:val="0"/>
          <w:iCs w:val="0"/>
          <w:color w:val="auto"/>
          <w:sz w:val="24"/>
          <w:szCs w:val="21"/>
          <w:highlight w:val="none"/>
        </w:rPr>
      </w:pPr>
      <w:bookmarkStart w:id="280" w:name="_Toc24465"/>
      <w:r>
        <w:rPr>
          <w:rFonts w:hint="eastAsia"/>
          <w:i w:val="0"/>
          <w:iCs w:val="0"/>
          <w:color w:val="auto"/>
          <w:sz w:val="24"/>
          <w:szCs w:val="21"/>
          <w:highlight w:val="none"/>
        </w:rPr>
        <w:t>智能钥匙柜硬件设备性能要求</w:t>
      </w:r>
      <w:bookmarkEnd w:id="280"/>
    </w:p>
    <w:p w14:paraId="56D12FC6">
      <w:pPr>
        <w:pStyle w:val="142"/>
        <w:ind w:firstLine="420"/>
        <w:rPr>
          <w:i w:val="0"/>
          <w:iCs w:val="0"/>
          <w:color w:val="auto"/>
          <w:sz w:val="21"/>
          <w:szCs w:val="15"/>
          <w:highlight w:val="none"/>
        </w:rPr>
      </w:pPr>
      <w:r>
        <w:rPr>
          <w:rFonts w:hint="eastAsia"/>
          <w:i w:val="0"/>
          <w:iCs w:val="0"/>
          <w:color w:val="auto"/>
          <w:sz w:val="21"/>
          <w:szCs w:val="15"/>
          <w:highlight w:val="none"/>
        </w:rPr>
        <w:t>设备主要技术参数如下：</w:t>
      </w:r>
    </w:p>
    <w:p w14:paraId="56D12FC7">
      <w:pPr>
        <w:pStyle w:val="142"/>
        <w:ind w:firstLine="420"/>
        <w:rPr>
          <w:i w:val="0"/>
          <w:iCs w:val="0"/>
          <w:color w:val="auto"/>
          <w:sz w:val="21"/>
          <w:szCs w:val="15"/>
          <w:highlight w:val="none"/>
        </w:rPr>
      </w:pPr>
      <w:r>
        <w:rPr>
          <w:rFonts w:hint="eastAsia"/>
          <w:i w:val="0"/>
          <w:iCs w:val="0"/>
          <w:color w:val="auto"/>
          <w:sz w:val="21"/>
          <w:szCs w:val="15"/>
          <w:highlight w:val="none"/>
          <w:lang w:val="en-US"/>
        </w:rPr>
        <w:t>1、</w:t>
      </w:r>
      <w:r>
        <w:rPr>
          <w:rFonts w:hint="eastAsia"/>
          <w:i w:val="0"/>
          <w:iCs w:val="0"/>
          <w:color w:val="auto"/>
          <w:sz w:val="21"/>
          <w:szCs w:val="15"/>
          <w:highlight w:val="none"/>
        </w:rPr>
        <w:t>单个匙柜管理钥匙数量不少于80个；</w:t>
      </w:r>
    </w:p>
    <w:p w14:paraId="56D12FC8">
      <w:pPr>
        <w:pStyle w:val="142"/>
        <w:ind w:firstLine="420"/>
        <w:rPr>
          <w:i w:val="0"/>
          <w:iCs w:val="0"/>
          <w:color w:val="auto"/>
          <w:sz w:val="21"/>
          <w:szCs w:val="15"/>
          <w:highlight w:val="none"/>
        </w:rPr>
      </w:pPr>
      <w:r>
        <w:rPr>
          <w:rFonts w:hint="eastAsia"/>
          <w:i w:val="0"/>
          <w:iCs w:val="0"/>
          <w:color w:val="auto"/>
          <w:sz w:val="21"/>
          <w:szCs w:val="15"/>
          <w:highlight w:val="none"/>
          <w:lang w:val="en-US"/>
        </w:rPr>
        <w:t>2、</w:t>
      </w:r>
      <w:r>
        <w:rPr>
          <w:rFonts w:hint="eastAsia"/>
          <w:i w:val="0"/>
          <w:iCs w:val="0"/>
          <w:color w:val="auto"/>
          <w:sz w:val="21"/>
          <w:szCs w:val="15"/>
          <w:highlight w:val="none"/>
        </w:rPr>
        <w:t>智能钥匙扣内置独有的智能芯片能对所保管的钥匙具有记忆功能；</w:t>
      </w:r>
    </w:p>
    <w:p w14:paraId="56D12FC9">
      <w:pPr>
        <w:pStyle w:val="142"/>
        <w:ind w:firstLine="420"/>
        <w:rPr>
          <w:i w:val="0"/>
          <w:iCs w:val="0"/>
          <w:color w:val="auto"/>
          <w:sz w:val="21"/>
          <w:szCs w:val="15"/>
          <w:highlight w:val="none"/>
        </w:rPr>
      </w:pPr>
      <w:r>
        <w:rPr>
          <w:rFonts w:hint="eastAsia"/>
          <w:i w:val="0"/>
          <w:iCs w:val="0"/>
          <w:color w:val="auto"/>
          <w:sz w:val="21"/>
          <w:szCs w:val="15"/>
          <w:highlight w:val="none"/>
          <w:lang w:val="en-US"/>
        </w:rPr>
        <w:t>3、</w:t>
      </w:r>
      <w:r>
        <w:rPr>
          <w:rFonts w:hint="eastAsia"/>
          <w:i w:val="0"/>
          <w:iCs w:val="0"/>
          <w:color w:val="auto"/>
          <w:sz w:val="21"/>
          <w:szCs w:val="15"/>
          <w:highlight w:val="none"/>
        </w:rPr>
        <w:t>安全电门锁: 只有授权用户才能打开，另备后备应急机械门锁；</w:t>
      </w:r>
    </w:p>
    <w:p w14:paraId="56D12FCA">
      <w:pPr>
        <w:pStyle w:val="142"/>
        <w:ind w:firstLine="420"/>
        <w:rPr>
          <w:i w:val="0"/>
          <w:iCs w:val="0"/>
          <w:color w:val="auto"/>
          <w:sz w:val="21"/>
          <w:szCs w:val="15"/>
          <w:highlight w:val="none"/>
        </w:rPr>
      </w:pPr>
      <w:r>
        <w:rPr>
          <w:rFonts w:hint="eastAsia"/>
          <w:i w:val="0"/>
          <w:iCs w:val="0"/>
          <w:color w:val="auto"/>
          <w:sz w:val="21"/>
          <w:szCs w:val="15"/>
          <w:highlight w:val="none"/>
          <w:lang w:val="en-US"/>
        </w:rPr>
        <w:t>4、</w:t>
      </w:r>
      <w:r>
        <w:rPr>
          <w:rFonts w:hint="eastAsia"/>
          <w:i w:val="0"/>
          <w:iCs w:val="0"/>
          <w:color w:val="auto"/>
          <w:sz w:val="21"/>
          <w:szCs w:val="15"/>
          <w:highlight w:val="none"/>
        </w:rPr>
        <w:t>内置带灯液晶显示屏可供夜间使用, 另备有字母及数字按钮，以做输入数据之用；</w:t>
      </w:r>
    </w:p>
    <w:p w14:paraId="56D12FCB">
      <w:pPr>
        <w:pStyle w:val="142"/>
        <w:ind w:firstLine="420"/>
        <w:rPr>
          <w:i w:val="0"/>
          <w:iCs w:val="0"/>
          <w:color w:val="auto"/>
          <w:sz w:val="21"/>
          <w:szCs w:val="15"/>
          <w:highlight w:val="none"/>
        </w:rPr>
      </w:pPr>
      <w:r>
        <w:rPr>
          <w:rFonts w:hint="eastAsia"/>
          <w:i w:val="0"/>
          <w:iCs w:val="0"/>
          <w:color w:val="auto"/>
          <w:sz w:val="21"/>
          <w:szCs w:val="15"/>
          <w:highlight w:val="none"/>
          <w:lang w:val="en-US"/>
        </w:rPr>
        <w:t>5、</w:t>
      </w:r>
      <w:r>
        <w:rPr>
          <w:rFonts w:hint="eastAsia"/>
          <w:i w:val="0"/>
          <w:iCs w:val="0"/>
          <w:color w:val="auto"/>
          <w:sz w:val="21"/>
          <w:szCs w:val="15"/>
          <w:highlight w:val="none"/>
        </w:rPr>
        <w:t>每根钥匙均被磁力锁锁上, 只有授权用户才能取出；</w:t>
      </w:r>
    </w:p>
    <w:p w14:paraId="56D12FCC">
      <w:pPr>
        <w:pStyle w:val="142"/>
        <w:ind w:firstLine="420"/>
        <w:rPr>
          <w:i w:val="0"/>
          <w:iCs w:val="0"/>
          <w:color w:val="auto"/>
          <w:sz w:val="21"/>
          <w:szCs w:val="15"/>
          <w:highlight w:val="none"/>
        </w:rPr>
      </w:pPr>
      <w:r>
        <w:rPr>
          <w:rFonts w:hint="eastAsia"/>
          <w:i w:val="0"/>
          <w:iCs w:val="0"/>
          <w:color w:val="auto"/>
          <w:sz w:val="21"/>
          <w:szCs w:val="15"/>
          <w:highlight w:val="none"/>
          <w:lang w:val="en-US"/>
        </w:rPr>
        <w:t>6、</w:t>
      </w:r>
      <w:r>
        <w:rPr>
          <w:rFonts w:hint="eastAsia"/>
          <w:i w:val="0"/>
          <w:iCs w:val="0"/>
          <w:color w:val="auto"/>
          <w:sz w:val="21"/>
          <w:szCs w:val="15"/>
          <w:highlight w:val="none"/>
        </w:rPr>
        <w:t>提供RS232接口或RS485接口或以太网接口, 可供连接打印机/指纹辨识或计算机或交换机；</w:t>
      </w:r>
    </w:p>
    <w:p w14:paraId="56D12FCD">
      <w:pPr>
        <w:pStyle w:val="142"/>
        <w:ind w:firstLine="420"/>
        <w:rPr>
          <w:i w:val="0"/>
          <w:iCs w:val="0"/>
          <w:color w:val="auto"/>
          <w:sz w:val="21"/>
          <w:szCs w:val="15"/>
          <w:highlight w:val="none"/>
        </w:rPr>
      </w:pPr>
      <w:r>
        <w:rPr>
          <w:rFonts w:hint="eastAsia"/>
          <w:i w:val="0"/>
          <w:iCs w:val="0"/>
          <w:color w:val="auto"/>
          <w:sz w:val="21"/>
          <w:szCs w:val="15"/>
          <w:highlight w:val="none"/>
          <w:lang w:val="en-US"/>
        </w:rPr>
        <w:t>7、</w:t>
      </w:r>
      <w:r>
        <w:rPr>
          <w:rFonts w:hint="eastAsia"/>
          <w:i w:val="0"/>
          <w:iCs w:val="0"/>
          <w:color w:val="auto"/>
          <w:sz w:val="21"/>
          <w:szCs w:val="15"/>
          <w:highlight w:val="none"/>
        </w:rPr>
        <w:t>箱体内外均可接驳数据线；支持通过TCP/IP可以远程管理和控制钥匙管理系统</w:t>
      </w:r>
    </w:p>
    <w:p w14:paraId="56D12FCE">
      <w:pPr>
        <w:pStyle w:val="142"/>
        <w:ind w:firstLine="420"/>
        <w:rPr>
          <w:i w:val="0"/>
          <w:iCs w:val="0"/>
          <w:color w:val="auto"/>
          <w:sz w:val="21"/>
          <w:szCs w:val="15"/>
          <w:highlight w:val="none"/>
        </w:rPr>
      </w:pPr>
      <w:r>
        <w:rPr>
          <w:rFonts w:hint="eastAsia"/>
          <w:i w:val="0"/>
          <w:iCs w:val="0"/>
          <w:color w:val="auto"/>
          <w:sz w:val="21"/>
          <w:szCs w:val="15"/>
          <w:highlight w:val="none"/>
          <w:lang w:val="en-US"/>
        </w:rPr>
        <w:t>8、</w:t>
      </w:r>
      <w:r>
        <w:rPr>
          <w:rFonts w:hint="eastAsia"/>
          <w:i w:val="0"/>
          <w:iCs w:val="0"/>
          <w:color w:val="auto"/>
          <w:sz w:val="21"/>
          <w:szCs w:val="15"/>
          <w:highlight w:val="none"/>
        </w:rPr>
        <w:t>交还钥匙时, 可随意放回任何空位置, 不会影响系统对钥匙的识别，以做到重要钥匙不用固定位置存放, 安全性更高；</w:t>
      </w:r>
    </w:p>
    <w:p w14:paraId="56D12FCF">
      <w:pPr>
        <w:pStyle w:val="142"/>
        <w:ind w:firstLine="420"/>
        <w:rPr>
          <w:i w:val="0"/>
          <w:iCs w:val="0"/>
          <w:color w:val="auto"/>
          <w:sz w:val="21"/>
          <w:szCs w:val="15"/>
          <w:highlight w:val="none"/>
        </w:rPr>
      </w:pPr>
      <w:r>
        <w:rPr>
          <w:rFonts w:hint="eastAsia"/>
          <w:i w:val="0"/>
          <w:iCs w:val="0"/>
          <w:color w:val="auto"/>
          <w:sz w:val="21"/>
          <w:szCs w:val="15"/>
          <w:highlight w:val="none"/>
          <w:lang w:val="en-US"/>
        </w:rPr>
        <w:t>9、</w:t>
      </w:r>
      <w:r>
        <w:rPr>
          <w:rFonts w:hint="eastAsia"/>
          <w:i w:val="0"/>
          <w:iCs w:val="0"/>
          <w:color w:val="auto"/>
          <w:sz w:val="21"/>
          <w:szCs w:val="15"/>
          <w:highlight w:val="none"/>
        </w:rPr>
        <w:t>提供警示: 当钥匙逾期未还, 锁匙被强行取出, 门未关妥, 错误输入或插入</w:t>
      </w:r>
      <w:r>
        <w:rPr>
          <w:rFonts w:hint="eastAsia"/>
          <w:i w:val="0"/>
          <w:iCs w:val="0"/>
          <w:color w:val="auto"/>
          <w:sz w:val="21"/>
          <w:szCs w:val="15"/>
          <w:highlight w:val="none"/>
          <w:lang w:val="en-US" w:eastAsia="zh-CN"/>
        </w:rPr>
        <w:t>无效钥匙</w:t>
      </w:r>
      <w:r>
        <w:rPr>
          <w:rFonts w:hint="eastAsia"/>
          <w:i w:val="0"/>
          <w:iCs w:val="0"/>
          <w:color w:val="auto"/>
          <w:sz w:val="21"/>
          <w:szCs w:val="15"/>
          <w:highlight w:val="none"/>
        </w:rPr>
        <w:t>时, 系统会发出警报，对于某些特定的警报内容，用户可以自行选择开启或关闭；</w:t>
      </w:r>
    </w:p>
    <w:p w14:paraId="56D12FD0">
      <w:pPr>
        <w:pStyle w:val="142"/>
        <w:ind w:firstLine="420"/>
        <w:rPr>
          <w:i w:val="0"/>
          <w:iCs w:val="0"/>
          <w:color w:val="auto"/>
          <w:sz w:val="21"/>
          <w:szCs w:val="15"/>
          <w:highlight w:val="none"/>
        </w:rPr>
      </w:pPr>
      <w:r>
        <w:rPr>
          <w:rFonts w:hint="eastAsia"/>
          <w:i w:val="0"/>
          <w:iCs w:val="0"/>
          <w:color w:val="auto"/>
          <w:sz w:val="21"/>
          <w:szCs w:val="15"/>
          <w:highlight w:val="none"/>
          <w:lang w:val="en-US"/>
        </w:rPr>
        <w:t>10、</w:t>
      </w:r>
      <w:r>
        <w:rPr>
          <w:rFonts w:hint="eastAsia"/>
          <w:i w:val="0"/>
          <w:iCs w:val="0"/>
          <w:color w:val="auto"/>
          <w:sz w:val="21"/>
          <w:szCs w:val="15"/>
          <w:highlight w:val="none"/>
        </w:rPr>
        <w:t xml:space="preserve">系统具备紧急情况处理方式，分为正常使用以及设备故障的应急办法，以保证在紧急情况下可以提取所有的钥匙； </w:t>
      </w:r>
    </w:p>
    <w:p w14:paraId="56D12FD1">
      <w:pPr>
        <w:pStyle w:val="142"/>
        <w:ind w:firstLine="420"/>
        <w:rPr>
          <w:i w:val="0"/>
          <w:iCs w:val="0"/>
          <w:color w:val="auto"/>
          <w:sz w:val="21"/>
          <w:szCs w:val="15"/>
          <w:highlight w:val="none"/>
        </w:rPr>
      </w:pPr>
      <w:r>
        <w:rPr>
          <w:rFonts w:hint="eastAsia"/>
          <w:i w:val="0"/>
          <w:iCs w:val="0"/>
          <w:color w:val="auto"/>
          <w:sz w:val="21"/>
          <w:szCs w:val="15"/>
          <w:highlight w:val="none"/>
          <w:lang w:val="en-US"/>
        </w:rPr>
        <w:t>11、</w:t>
      </w:r>
      <w:r>
        <w:rPr>
          <w:rFonts w:hint="eastAsia"/>
          <w:i w:val="0"/>
          <w:iCs w:val="0"/>
          <w:color w:val="auto"/>
          <w:sz w:val="21"/>
          <w:szCs w:val="15"/>
          <w:highlight w:val="none"/>
        </w:rPr>
        <w:t>系统自动记录所有的操作信息，主机可储存不少于8000个记录，</w:t>
      </w:r>
      <w:r>
        <w:rPr>
          <w:rFonts w:hint="eastAsia"/>
          <w:i w:val="0"/>
          <w:iCs w:val="0"/>
          <w:color w:val="auto"/>
          <w:sz w:val="21"/>
          <w:szCs w:val="15"/>
          <w:highlight w:val="none"/>
          <w:lang w:val="en-US"/>
        </w:rPr>
        <w:t>支持数据自动上传</w:t>
      </w:r>
      <w:r>
        <w:rPr>
          <w:rFonts w:hint="eastAsia"/>
          <w:i w:val="0"/>
          <w:iCs w:val="0"/>
          <w:color w:val="auto"/>
          <w:sz w:val="21"/>
          <w:szCs w:val="15"/>
          <w:highlight w:val="none"/>
        </w:rPr>
        <w:t>。</w:t>
      </w:r>
    </w:p>
    <w:p w14:paraId="56D12FD2">
      <w:pPr>
        <w:pStyle w:val="4"/>
        <w:rPr>
          <w:i w:val="0"/>
          <w:iCs w:val="0"/>
          <w:color w:val="auto"/>
          <w:sz w:val="24"/>
          <w:szCs w:val="21"/>
          <w:highlight w:val="none"/>
        </w:rPr>
      </w:pPr>
      <w:bookmarkStart w:id="281" w:name="_Toc29214"/>
      <w:r>
        <w:rPr>
          <w:rFonts w:hint="eastAsia"/>
          <w:i w:val="0"/>
          <w:iCs w:val="0"/>
          <w:color w:val="auto"/>
          <w:sz w:val="24"/>
          <w:szCs w:val="21"/>
          <w:highlight w:val="none"/>
        </w:rPr>
        <w:t>智能运维主要硬件设备技术要求</w:t>
      </w:r>
      <w:bookmarkEnd w:id="281"/>
    </w:p>
    <w:p w14:paraId="56D12FD3">
      <w:pPr>
        <w:pStyle w:val="5"/>
        <w:ind w:left="0"/>
        <w:rPr>
          <w:i w:val="0"/>
          <w:iCs w:val="0"/>
          <w:color w:val="auto"/>
          <w:sz w:val="22"/>
          <w:szCs w:val="22"/>
          <w:highlight w:val="none"/>
        </w:rPr>
      </w:pPr>
      <w:bookmarkStart w:id="282" w:name="_Toc15952"/>
      <w:r>
        <w:rPr>
          <w:rFonts w:hint="eastAsia"/>
          <w:i w:val="0"/>
          <w:iCs w:val="0"/>
          <w:color w:val="auto"/>
          <w:sz w:val="22"/>
          <w:szCs w:val="22"/>
          <w:highlight w:val="none"/>
        </w:rPr>
        <w:t>电扶梯智能运维</w:t>
      </w:r>
      <w:bookmarkEnd w:id="282"/>
    </w:p>
    <w:p w14:paraId="56D12FD4">
      <w:pPr>
        <w:pStyle w:val="6"/>
        <w:ind w:left="0"/>
        <w:rPr>
          <w:i w:val="0"/>
          <w:iCs w:val="0"/>
          <w:color w:val="auto"/>
          <w:sz w:val="21"/>
          <w:szCs w:val="21"/>
          <w:highlight w:val="none"/>
        </w:rPr>
      </w:pPr>
      <w:r>
        <w:rPr>
          <w:rFonts w:hint="eastAsia"/>
          <w:i w:val="0"/>
          <w:iCs w:val="0"/>
          <w:color w:val="auto"/>
          <w:sz w:val="21"/>
          <w:szCs w:val="21"/>
          <w:highlight w:val="none"/>
        </w:rPr>
        <w:t>数据采集箱</w:t>
      </w:r>
    </w:p>
    <w:p w14:paraId="56D12FD5">
      <w:pPr>
        <w:pStyle w:val="142"/>
        <w:ind w:firstLine="420"/>
        <w:rPr>
          <w:i w:val="0"/>
          <w:iCs w:val="0"/>
          <w:color w:val="auto"/>
          <w:sz w:val="21"/>
          <w:szCs w:val="15"/>
          <w:highlight w:val="none"/>
        </w:rPr>
      </w:pPr>
      <w:r>
        <w:rPr>
          <w:rFonts w:hint="eastAsia"/>
          <w:i w:val="0"/>
          <w:iCs w:val="0"/>
          <w:color w:val="auto"/>
          <w:sz w:val="21"/>
          <w:szCs w:val="15"/>
          <w:highlight w:val="none"/>
        </w:rPr>
        <w:t>配置不少于16通道振动+14通道模拟量采集结点（模拟量测量范围：4~20mA）。</w:t>
      </w:r>
    </w:p>
    <w:p w14:paraId="56D12FD6">
      <w:pPr>
        <w:pStyle w:val="6"/>
        <w:ind w:left="0"/>
        <w:rPr>
          <w:i w:val="0"/>
          <w:iCs w:val="0"/>
          <w:color w:val="auto"/>
          <w:sz w:val="21"/>
          <w:szCs w:val="15"/>
          <w:highlight w:val="none"/>
        </w:rPr>
      </w:pPr>
      <w:r>
        <w:rPr>
          <w:rFonts w:hint="eastAsia"/>
          <w:i w:val="0"/>
          <w:iCs w:val="0"/>
          <w:color w:val="auto"/>
          <w:sz w:val="21"/>
          <w:szCs w:val="15"/>
          <w:highlight w:val="none"/>
        </w:rPr>
        <w:t>单轴压电式传感器</w:t>
      </w:r>
    </w:p>
    <w:p w14:paraId="56D12FD7">
      <w:pPr>
        <w:pStyle w:val="142"/>
        <w:ind w:firstLine="420"/>
        <w:rPr>
          <w:i w:val="0"/>
          <w:iCs w:val="0"/>
          <w:color w:val="auto"/>
          <w:sz w:val="21"/>
          <w:szCs w:val="15"/>
          <w:highlight w:val="none"/>
        </w:rPr>
      </w:pPr>
      <w:r>
        <w:rPr>
          <w:rFonts w:hint="eastAsia"/>
          <w:i w:val="0"/>
          <w:iCs w:val="0"/>
          <w:color w:val="auto"/>
          <w:sz w:val="21"/>
          <w:szCs w:val="15"/>
          <w:highlight w:val="none"/>
        </w:rPr>
        <w:t>加速度灵敏度：300mv/g （±10%）；</w:t>
      </w:r>
    </w:p>
    <w:p w14:paraId="56D12FD8">
      <w:pPr>
        <w:pStyle w:val="142"/>
        <w:ind w:firstLine="420"/>
        <w:rPr>
          <w:i w:val="0"/>
          <w:iCs w:val="0"/>
          <w:color w:val="auto"/>
          <w:sz w:val="21"/>
          <w:szCs w:val="15"/>
          <w:highlight w:val="none"/>
        </w:rPr>
      </w:pPr>
      <w:r>
        <w:rPr>
          <w:rFonts w:hint="eastAsia"/>
          <w:i w:val="0"/>
          <w:iCs w:val="0"/>
          <w:color w:val="auto"/>
          <w:sz w:val="21"/>
          <w:szCs w:val="15"/>
          <w:highlight w:val="none"/>
        </w:rPr>
        <w:t>频响范围：不小于0.1Hz-10KHz（±3dB）；</w:t>
      </w:r>
    </w:p>
    <w:p w14:paraId="56D12FD9">
      <w:pPr>
        <w:pStyle w:val="142"/>
        <w:ind w:firstLine="420"/>
        <w:rPr>
          <w:i w:val="0"/>
          <w:iCs w:val="0"/>
          <w:color w:val="auto"/>
          <w:sz w:val="21"/>
          <w:szCs w:val="15"/>
          <w:highlight w:val="none"/>
        </w:rPr>
      </w:pPr>
      <w:r>
        <w:rPr>
          <w:rFonts w:hint="eastAsia"/>
          <w:i w:val="0"/>
          <w:iCs w:val="0"/>
          <w:color w:val="auto"/>
          <w:sz w:val="21"/>
          <w:szCs w:val="15"/>
          <w:highlight w:val="none"/>
        </w:rPr>
        <w:t>线性误差：≤±1% ；</w:t>
      </w:r>
    </w:p>
    <w:p w14:paraId="56D12FDA">
      <w:pPr>
        <w:pStyle w:val="142"/>
        <w:ind w:firstLine="420"/>
        <w:rPr>
          <w:i w:val="0"/>
          <w:iCs w:val="0"/>
          <w:color w:val="auto"/>
          <w:sz w:val="21"/>
          <w:szCs w:val="15"/>
          <w:highlight w:val="none"/>
        </w:rPr>
      </w:pPr>
      <w:r>
        <w:rPr>
          <w:rFonts w:hint="eastAsia"/>
          <w:i w:val="0"/>
          <w:iCs w:val="0"/>
          <w:color w:val="auto"/>
          <w:sz w:val="21"/>
          <w:szCs w:val="15"/>
          <w:highlight w:val="none"/>
        </w:rPr>
        <w:t>工作温度范围：不小于-</w:t>
      </w:r>
      <w:r>
        <w:rPr>
          <w:rFonts w:hint="eastAsia"/>
          <w:i w:val="0"/>
          <w:iCs w:val="0"/>
          <w:color w:val="auto"/>
          <w:sz w:val="21"/>
          <w:szCs w:val="15"/>
          <w:highlight w:val="none"/>
          <w:lang w:val="en-US"/>
        </w:rPr>
        <w:t>35</w:t>
      </w:r>
      <w:r>
        <w:rPr>
          <w:rFonts w:hint="eastAsia"/>
          <w:i w:val="0"/>
          <w:iCs w:val="0"/>
          <w:color w:val="auto"/>
          <w:sz w:val="21"/>
          <w:szCs w:val="15"/>
          <w:highlight w:val="none"/>
        </w:rPr>
        <w:t>-120°C；</w:t>
      </w:r>
    </w:p>
    <w:p w14:paraId="56D12FDB">
      <w:pPr>
        <w:pStyle w:val="142"/>
        <w:ind w:firstLine="420"/>
        <w:rPr>
          <w:i w:val="0"/>
          <w:iCs w:val="0"/>
          <w:color w:val="auto"/>
          <w:sz w:val="21"/>
          <w:szCs w:val="15"/>
          <w:highlight w:val="none"/>
        </w:rPr>
      </w:pPr>
      <w:r>
        <w:rPr>
          <w:rFonts w:hint="eastAsia"/>
          <w:i w:val="0"/>
          <w:iCs w:val="0"/>
          <w:color w:val="auto"/>
          <w:sz w:val="21"/>
          <w:szCs w:val="15"/>
          <w:highlight w:val="none"/>
        </w:rPr>
        <w:t>防护等级：不低于IP67 。</w:t>
      </w:r>
    </w:p>
    <w:p w14:paraId="56D12FDC">
      <w:pPr>
        <w:pStyle w:val="6"/>
        <w:ind w:left="0"/>
        <w:rPr>
          <w:i w:val="0"/>
          <w:iCs w:val="0"/>
          <w:color w:val="auto"/>
          <w:sz w:val="21"/>
          <w:szCs w:val="15"/>
          <w:highlight w:val="none"/>
        </w:rPr>
      </w:pPr>
      <w:r>
        <w:rPr>
          <w:rFonts w:hint="eastAsia"/>
          <w:i w:val="0"/>
          <w:iCs w:val="0"/>
          <w:color w:val="auto"/>
          <w:sz w:val="21"/>
          <w:szCs w:val="15"/>
          <w:highlight w:val="none"/>
        </w:rPr>
        <w:t xml:space="preserve">红外温度传感器 </w:t>
      </w:r>
    </w:p>
    <w:p w14:paraId="56D12FDD">
      <w:pPr>
        <w:pStyle w:val="142"/>
        <w:ind w:firstLine="420"/>
        <w:rPr>
          <w:i w:val="0"/>
          <w:iCs w:val="0"/>
          <w:color w:val="auto"/>
          <w:sz w:val="21"/>
          <w:szCs w:val="15"/>
          <w:highlight w:val="none"/>
        </w:rPr>
      </w:pPr>
      <w:r>
        <w:rPr>
          <w:rFonts w:hint="eastAsia"/>
          <w:i w:val="0"/>
          <w:iCs w:val="0"/>
          <w:color w:val="auto"/>
          <w:sz w:val="21"/>
          <w:szCs w:val="15"/>
          <w:highlight w:val="none"/>
        </w:rPr>
        <w:t>测温精度: 0.2°C；防护等级：IP65。</w:t>
      </w:r>
    </w:p>
    <w:p w14:paraId="56D12FDE">
      <w:pPr>
        <w:pStyle w:val="6"/>
        <w:ind w:left="0"/>
        <w:rPr>
          <w:i w:val="0"/>
          <w:iCs w:val="0"/>
          <w:color w:val="auto"/>
          <w:sz w:val="21"/>
          <w:szCs w:val="15"/>
          <w:highlight w:val="none"/>
        </w:rPr>
      </w:pPr>
      <w:r>
        <w:rPr>
          <w:rFonts w:hint="eastAsia"/>
          <w:i w:val="0"/>
          <w:iCs w:val="0"/>
          <w:color w:val="auto"/>
          <w:sz w:val="21"/>
          <w:szCs w:val="15"/>
          <w:highlight w:val="none"/>
        </w:rPr>
        <w:t>汇聚交换机</w:t>
      </w:r>
    </w:p>
    <w:p w14:paraId="56D12FDF">
      <w:pPr>
        <w:pStyle w:val="142"/>
        <w:ind w:firstLine="420"/>
        <w:rPr>
          <w:i w:val="0"/>
          <w:iCs w:val="0"/>
          <w:color w:val="auto"/>
          <w:sz w:val="21"/>
          <w:szCs w:val="15"/>
          <w:highlight w:val="none"/>
        </w:rPr>
      </w:pPr>
      <w:r>
        <w:rPr>
          <w:rFonts w:hint="eastAsia"/>
          <w:i w:val="0"/>
          <w:iCs w:val="0"/>
          <w:color w:val="auto"/>
          <w:sz w:val="21"/>
          <w:szCs w:val="15"/>
          <w:highlight w:val="none"/>
        </w:rPr>
        <w:t>采用三层光纤以太网交换机，应具有三层路由功能；要求有足够的通道容量，能够实现主备交换机无扰动切换；</w:t>
      </w:r>
    </w:p>
    <w:p w14:paraId="56D12FE0">
      <w:pPr>
        <w:pStyle w:val="142"/>
        <w:ind w:firstLine="420"/>
        <w:rPr>
          <w:i w:val="0"/>
          <w:iCs w:val="0"/>
          <w:color w:val="auto"/>
          <w:sz w:val="21"/>
          <w:szCs w:val="15"/>
          <w:highlight w:val="none"/>
        </w:rPr>
      </w:pPr>
      <w:r>
        <w:rPr>
          <w:rFonts w:hint="eastAsia"/>
          <w:i w:val="0"/>
          <w:iCs w:val="0"/>
          <w:color w:val="auto"/>
          <w:sz w:val="21"/>
          <w:szCs w:val="15"/>
          <w:highlight w:val="none"/>
        </w:rPr>
        <w:t>所选用交换机满足工业现场的一般要求；例如双电源供电、模块化设计、无风扇散热；</w:t>
      </w:r>
    </w:p>
    <w:p w14:paraId="56D12FE1">
      <w:pPr>
        <w:pStyle w:val="142"/>
        <w:ind w:firstLine="420"/>
        <w:rPr>
          <w:i w:val="0"/>
          <w:iCs w:val="0"/>
          <w:color w:val="auto"/>
          <w:sz w:val="21"/>
          <w:szCs w:val="15"/>
          <w:highlight w:val="none"/>
        </w:rPr>
      </w:pPr>
      <w:r>
        <w:rPr>
          <w:rFonts w:hint="eastAsia"/>
          <w:i w:val="0"/>
          <w:iCs w:val="0"/>
          <w:color w:val="auto"/>
          <w:sz w:val="21"/>
          <w:szCs w:val="15"/>
          <w:highlight w:val="none"/>
        </w:rPr>
        <w:t>满足相关工业认证，例如 IEC防震动、EMC防干扰等认证；</w:t>
      </w:r>
    </w:p>
    <w:p w14:paraId="56D12FE2">
      <w:pPr>
        <w:pStyle w:val="142"/>
        <w:ind w:firstLine="420"/>
        <w:rPr>
          <w:i w:val="0"/>
          <w:iCs w:val="0"/>
          <w:color w:val="auto"/>
          <w:sz w:val="21"/>
          <w:szCs w:val="15"/>
          <w:highlight w:val="none"/>
        </w:rPr>
      </w:pPr>
      <w:r>
        <w:rPr>
          <w:rFonts w:hint="eastAsia"/>
          <w:i w:val="0"/>
          <w:iCs w:val="0"/>
          <w:color w:val="auto"/>
          <w:sz w:val="21"/>
          <w:szCs w:val="15"/>
          <w:highlight w:val="none"/>
        </w:rPr>
        <w:t>每套交换机至少提供24个10/100/1000Base-T RJ45，2个100/1000Base-X SFP，1个10G SFP+扩展槽；交换机的背板处理能力应不小于64GB。</w:t>
      </w:r>
    </w:p>
    <w:p w14:paraId="56D12FE3">
      <w:pPr>
        <w:pStyle w:val="5"/>
        <w:ind w:left="0"/>
        <w:rPr>
          <w:i w:val="0"/>
          <w:iCs w:val="0"/>
          <w:color w:val="auto"/>
          <w:sz w:val="22"/>
          <w:szCs w:val="22"/>
          <w:highlight w:val="none"/>
        </w:rPr>
      </w:pPr>
      <w:bookmarkStart w:id="283" w:name="_Toc22557"/>
      <w:r>
        <w:rPr>
          <w:rFonts w:hint="eastAsia"/>
          <w:i w:val="0"/>
          <w:iCs w:val="0"/>
          <w:color w:val="auto"/>
          <w:sz w:val="22"/>
          <w:szCs w:val="22"/>
          <w:highlight w:val="none"/>
        </w:rPr>
        <w:t>供电智能运维</w:t>
      </w:r>
      <w:bookmarkEnd w:id="283"/>
    </w:p>
    <w:p w14:paraId="56D12FE4">
      <w:pPr>
        <w:pStyle w:val="6"/>
        <w:ind w:left="0"/>
        <w:rPr>
          <w:i w:val="0"/>
          <w:iCs w:val="0"/>
          <w:color w:val="auto"/>
          <w:sz w:val="21"/>
          <w:szCs w:val="15"/>
          <w:highlight w:val="none"/>
        </w:rPr>
      </w:pPr>
      <w:r>
        <w:rPr>
          <w:rFonts w:hint="eastAsia"/>
          <w:i w:val="0"/>
          <w:iCs w:val="0"/>
          <w:color w:val="auto"/>
          <w:sz w:val="21"/>
          <w:szCs w:val="15"/>
          <w:highlight w:val="none"/>
        </w:rPr>
        <w:t>前端通信处理机</w:t>
      </w:r>
    </w:p>
    <w:p w14:paraId="56D12FE5">
      <w:pPr>
        <w:pStyle w:val="142"/>
        <w:ind w:firstLine="420"/>
        <w:rPr>
          <w:i w:val="0"/>
          <w:iCs w:val="0"/>
          <w:color w:val="auto"/>
          <w:sz w:val="21"/>
          <w:szCs w:val="15"/>
          <w:highlight w:val="none"/>
        </w:rPr>
      </w:pPr>
      <w:r>
        <w:rPr>
          <w:rFonts w:hint="eastAsia"/>
          <w:i w:val="0"/>
          <w:iCs w:val="0"/>
          <w:color w:val="auto"/>
          <w:sz w:val="21"/>
          <w:szCs w:val="15"/>
          <w:highlight w:val="none"/>
        </w:rPr>
        <w:t>应采用工业级成熟品牌产品，要求通过国家相关权威机构的工业环境测试试验，满足电磁兼容要求，模块化结构；</w:t>
      </w:r>
    </w:p>
    <w:p w14:paraId="56D12FE6">
      <w:pPr>
        <w:pStyle w:val="142"/>
        <w:ind w:firstLine="420"/>
        <w:rPr>
          <w:i w:val="0"/>
          <w:iCs w:val="0"/>
          <w:color w:val="auto"/>
          <w:sz w:val="21"/>
          <w:szCs w:val="15"/>
          <w:highlight w:val="none"/>
        </w:rPr>
      </w:pPr>
      <w:r>
        <w:rPr>
          <w:rFonts w:hint="eastAsia"/>
          <w:i w:val="0"/>
          <w:iCs w:val="0"/>
          <w:color w:val="auto"/>
          <w:sz w:val="21"/>
          <w:szCs w:val="15"/>
          <w:highlight w:val="none"/>
        </w:rPr>
        <w:t>应采用主频不低于2.0GHz 的高性能CPU，内存不少于4GB；</w:t>
      </w:r>
    </w:p>
    <w:p w14:paraId="56D12FE7">
      <w:pPr>
        <w:pStyle w:val="142"/>
        <w:ind w:firstLine="420"/>
        <w:rPr>
          <w:i w:val="0"/>
          <w:iCs w:val="0"/>
          <w:color w:val="auto"/>
          <w:sz w:val="21"/>
          <w:szCs w:val="15"/>
          <w:highlight w:val="none"/>
        </w:rPr>
      </w:pPr>
      <w:r>
        <w:rPr>
          <w:rFonts w:hint="eastAsia"/>
          <w:i w:val="0"/>
          <w:iCs w:val="0"/>
          <w:color w:val="auto"/>
          <w:sz w:val="21"/>
          <w:szCs w:val="15"/>
          <w:highlight w:val="none"/>
        </w:rPr>
        <w:t>应有支持多种协议转换、支持多种接口的模块；</w:t>
      </w:r>
    </w:p>
    <w:p w14:paraId="56D12FE8">
      <w:pPr>
        <w:pStyle w:val="142"/>
        <w:ind w:firstLine="420"/>
        <w:rPr>
          <w:i w:val="0"/>
          <w:iCs w:val="0"/>
          <w:color w:val="auto"/>
          <w:sz w:val="21"/>
          <w:szCs w:val="15"/>
          <w:highlight w:val="none"/>
        </w:rPr>
      </w:pPr>
      <w:r>
        <w:rPr>
          <w:rFonts w:hint="eastAsia"/>
          <w:i w:val="0"/>
          <w:iCs w:val="0"/>
          <w:color w:val="auto"/>
          <w:sz w:val="21"/>
          <w:szCs w:val="15"/>
          <w:highlight w:val="none"/>
        </w:rPr>
        <w:t>应提供至少3个10/100/1000Mbps以太网接口；</w:t>
      </w:r>
    </w:p>
    <w:p w14:paraId="56D12FE9">
      <w:pPr>
        <w:pStyle w:val="142"/>
        <w:ind w:firstLine="420"/>
        <w:rPr>
          <w:i w:val="0"/>
          <w:iCs w:val="0"/>
          <w:color w:val="auto"/>
          <w:sz w:val="21"/>
          <w:szCs w:val="15"/>
          <w:highlight w:val="none"/>
        </w:rPr>
      </w:pPr>
      <w:r>
        <w:rPr>
          <w:rFonts w:hint="eastAsia"/>
          <w:i w:val="0"/>
          <w:iCs w:val="0"/>
          <w:color w:val="auto"/>
          <w:sz w:val="21"/>
          <w:szCs w:val="15"/>
          <w:highlight w:val="none"/>
        </w:rPr>
        <w:t>应配置</w:t>
      </w:r>
      <w:r>
        <w:rPr>
          <w:rFonts w:hint="eastAsia"/>
          <w:i w:val="0"/>
          <w:iCs w:val="0"/>
          <w:color w:val="auto"/>
          <w:sz w:val="21"/>
          <w:szCs w:val="15"/>
          <w:highlight w:val="none"/>
          <w:lang w:val="en-US"/>
        </w:rPr>
        <w:t>不少于24个</w:t>
      </w:r>
      <w:r>
        <w:rPr>
          <w:rFonts w:hint="eastAsia"/>
          <w:i w:val="0"/>
          <w:iCs w:val="0"/>
          <w:color w:val="auto"/>
          <w:sz w:val="21"/>
          <w:szCs w:val="15"/>
          <w:highlight w:val="none"/>
        </w:rPr>
        <w:t>串口（RS232/422/485）通信模块；</w:t>
      </w:r>
    </w:p>
    <w:p w14:paraId="56D12FEA">
      <w:pPr>
        <w:pStyle w:val="142"/>
        <w:ind w:firstLine="420"/>
        <w:rPr>
          <w:i w:val="0"/>
          <w:iCs w:val="0"/>
          <w:color w:val="auto"/>
          <w:sz w:val="21"/>
          <w:szCs w:val="15"/>
          <w:highlight w:val="none"/>
        </w:rPr>
      </w:pPr>
      <w:r>
        <w:rPr>
          <w:rFonts w:hint="eastAsia"/>
          <w:i w:val="0"/>
          <w:iCs w:val="0"/>
          <w:color w:val="auto"/>
          <w:sz w:val="21"/>
          <w:szCs w:val="15"/>
          <w:highlight w:val="none"/>
        </w:rPr>
        <w:t>各功能模块应具有自诊断功能，单点故障时不应影响系统功能。</w:t>
      </w:r>
    </w:p>
    <w:p w14:paraId="56D12FEB">
      <w:pPr>
        <w:pStyle w:val="6"/>
        <w:ind w:left="0"/>
        <w:rPr>
          <w:i w:val="0"/>
          <w:iCs w:val="0"/>
          <w:color w:val="auto"/>
          <w:sz w:val="21"/>
          <w:szCs w:val="15"/>
          <w:highlight w:val="none"/>
        </w:rPr>
      </w:pPr>
      <w:r>
        <w:rPr>
          <w:rFonts w:hint="eastAsia"/>
          <w:i w:val="0"/>
          <w:iCs w:val="0"/>
          <w:color w:val="auto"/>
          <w:sz w:val="21"/>
          <w:szCs w:val="15"/>
          <w:highlight w:val="none"/>
        </w:rPr>
        <w:t>工业交换机</w:t>
      </w:r>
    </w:p>
    <w:p w14:paraId="56D12FEC">
      <w:pPr>
        <w:pStyle w:val="142"/>
        <w:ind w:firstLine="420"/>
        <w:rPr>
          <w:i w:val="0"/>
          <w:iCs w:val="0"/>
          <w:color w:val="auto"/>
          <w:sz w:val="21"/>
          <w:szCs w:val="15"/>
          <w:highlight w:val="none"/>
        </w:rPr>
      </w:pPr>
      <w:r>
        <w:rPr>
          <w:rFonts w:hint="eastAsia"/>
          <w:i w:val="0"/>
          <w:iCs w:val="0"/>
          <w:color w:val="auto"/>
          <w:sz w:val="21"/>
          <w:szCs w:val="15"/>
          <w:highlight w:val="none"/>
        </w:rPr>
        <w:t>8口千兆工业级二层交换机，8个标准RJ45接口，即插即用，无风扇设计。</w:t>
      </w:r>
    </w:p>
    <w:p w14:paraId="56D12FED">
      <w:pPr>
        <w:pStyle w:val="4"/>
        <w:rPr>
          <w:i w:val="0"/>
          <w:iCs w:val="0"/>
          <w:color w:val="auto"/>
          <w:sz w:val="24"/>
          <w:szCs w:val="21"/>
          <w:highlight w:val="none"/>
        </w:rPr>
      </w:pPr>
      <w:bookmarkStart w:id="284" w:name="_Toc12732"/>
      <w:r>
        <w:rPr>
          <w:rFonts w:hint="eastAsia"/>
          <w:i w:val="0"/>
          <w:iCs w:val="0"/>
          <w:color w:val="auto"/>
          <w:sz w:val="24"/>
          <w:szCs w:val="21"/>
          <w:highlight w:val="none"/>
        </w:rPr>
        <w:t>智慧公寓管理系统硬件设备技术要求</w:t>
      </w:r>
      <w:bookmarkEnd w:id="284"/>
    </w:p>
    <w:p w14:paraId="56D12FEE">
      <w:pPr>
        <w:pStyle w:val="5"/>
        <w:ind w:left="0"/>
        <w:rPr>
          <w:i w:val="0"/>
          <w:iCs w:val="0"/>
          <w:color w:val="auto"/>
          <w:sz w:val="22"/>
          <w:szCs w:val="22"/>
          <w:highlight w:val="none"/>
        </w:rPr>
      </w:pPr>
      <w:bookmarkStart w:id="285" w:name="_Toc2360"/>
      <w:bookmarkStart w:id="286" w:name="_Toc200964822"/>
      <w:r>
        <w:rPr>
          <w:rFonts w:hint="eastAsia"/>
          <w:i w:val="0"/>
          <w:iCs w:val="0"/>
          <w:color w:val="auto"/>
          <w:sz w:val="22"/>
          <w:szCs w:val="22"/>
          <w:highlight w:val="none"/>
        </w:rPr>
        <w:t>管理工作站</w:t>
      </w:r>
      <w:bookmarkEnd w:id="285"/>
      <w:bookmarkEnd w:id="286"/>
    </w:p>
    <w:p w14:paraId="56D12FEF">
      <w:pPr>
        <w:pStyle w:val="142"/>
        <w:ind w:firstLine="420"/>
        <w:rPr>
          <w:i w:val="0"/>
          <w:iCs w:val="0"/>
          <w:color w:val="auto"/>
          <w:sz w:val="21"/>
          <w:szCs w:val="15"/>
          <w:highlight w:val="none"/>
        </w:rPr>
      </w:pPr>
      <w:r>
        <w:rPr>
          <w:rFonts w:hint="eastAsia"/>
          <w:i w:val="0"/>
          <w:iCs w:val="0"/>
          <w:color w:val="auto"/>
          <w:sz w:val="21"/>
          <w:szCs w:val="15"/>
          <w:highlight w:val="none"/>
        </w:rPr>
        <w:t>设备甲供。</w:t>
      </w:r>
    </w:p>
    <w:p w14:paraId="56D12FF0">
      <w:pPr>
        <w:pStyle w:val="5"/>
        <w:ind w:left="0"/>
        <w:rPr>
          <w:i w:val="0"/>
          <w:iCs w:val="0"/>
          <w:color w:val="auto"/>
          <w:sz w:val="22"/>
          <w:szCs w:val="22"/>
          <w:highlight w:val="none"/>
        </w:rPr>
      </w:pPr>
      <w:bookmarkStart w:id="287" w:name="_Toc2409"/>
      <w:bookmarkStart w:id="288" w:name="_Toc200964823"/>
      <w:r>
        <w:rPr>
          <w:rFonts w:hint="eastAsia"/>
          <w:i w:val="0"/>
          <w:iCs w:val="0"/>
          <w:color w:val="auto"/>
          <w:sz w:val="22"/>
          <w:szCs w:val="22"/>
          <w:highlight w:val="none"/>
        </w:rPr>
        <w:t>公寓管理显示大屏</w:t>
      </w:r>
      <w:bookmarkEnd w:id="287"/>
      <w:bookmarkEnd w:id="288"/>
    </w:p>
    <w:p w14:paraId="56D12FF1">
      <w:pPr>
        <w:pStyle w:val="142"/>
        <w:ind w:firstLine="420"/>
        <w:rPr>
          <w:i w:val="0"/>
          <w:iCs w:val="0"/>
          <w:color w:val="auto"/>
          <w:sz w:val="21"/>
          <w:szCs w:val="15"/>
          <w:highlight w:val="none"/>
        </w:rPr>
      </w:pPr>
      <w:r>
        <w:rPr>
          <w:rFonts w:hint="eastAsia"/>
          <w:i w:val="0"/>
          <w:iCs w:val="0"/>
          <w:color w:val="auto"/>
          <w:sz w:val="21"/>
          <w:szCs w:val="15"/>
          <w:highlight w:val="none"/>
        </w:rPr>
        <w:t>设备主要技术</w:t>
      </w:r>
      <w:r>
        <w:rPr>
          <w:rFonts w:hint="eastAsia"/>
          <w:i w:val="0"/>
          <w:iCs w:val="0"/>
          <w:color w:val="auto"/>
          <w:sz w:val="21"/>
          <w:szCs w:val="15"/>
          <w:highlight w:val="none"/>
          <w:lang w:val="en-US"/>
        </w:rPr>
        <w:t>不低于以下</w:t>
      </w:r>
      <w:r>
        <w:rPr>
          <w:rFonts w:hint="eastAsia"/>
          <w:i w:val="0"/>
          <w:iCs w:val="0"/>
          <w:color w:val="auto"/>
          <w:sz w:val="21"/>
          <w:szCs w:val="15"/>
          <w:highlight w:val="none"/>
        </w:rPr>
        <w:t>要求：</w:t>
      </w:r>
      <w:bookmarkStart w:id="289" w:name="OLE_LINK1"/>
    </w:p>
    <w:p w14:paraId="56D12FF2">
      <w:pPr>
        <w:pStyle w:val="142"/>
        <w:ind w:firstLine="420"/>
        <w:rPr>
          <w:i w:val="0"/>
          <w:iCs w:val="0"/>
          <w:color w:val="auto"/>
          <w:sz w:val="21"/>
          <w:szCs w:val="15"/>
          <w:highlight w:val="none"/>
        </w:rPr>
      </w:pPr>
      <w:r>
        <w:rPr>
          <w:rFonts w:hint="eastAsia"/>
          <w:i w:val="0"/>
          <w:iCs w:val="0"/>
          <w:color w:val="auto"/>
          <w:sz w:val="21"/>
          <w:szCs w:val="15"/>
          <w:highlight w:val="none"/>
        </w:rPr>
        <w:t>尺寸42—5</w:t>
      </w:r>
      <w:r>
        <w:rPr>
          <w:i w:val="0"/>
          <w:iCs w:val="0"/>
          <w:color w:val="auto"/>
          <w:sz w:val="21"/>
          <w:szCs w:val="15"/>
          <w:highlight w:val="none"/>
        </w:rPr>
        <w:t>0</w:t>
      </w:r>
      <w:r>
        <w:rPr>
          <w:rFonts w:hint="eastAsia"/>
          <w:i w:val="0"/>
          <w:iCs w:val="0"/>
          <w:color w:val="auto"/>
          <w:sz w:val="21"/>
          <w:szCs w:val="15"/>
          <w:highlight w:val="none"/>
        </w:rPr>
        <w:t>寸；分辨率：</w:t>
      </w:r>
      <w:r>
        <w:rPr>
          <w:rFonts w:hint="eastAsia"/>
          <w:i w:val="0"/>
          <w:iCs w:val="0"/>
          <w:color w:val="auto"/>
          <w:sz w:val="21"/>
          <w:szCs w:val="15"/>
          <w:highlight w:val="none"/>
          <w:lang w:val="en-US"/>
        </w:rPr>
        <w:t>不低于</w:t>
      </w:r>
      <w:r>
        <w:rPr>
          <w:rFonts w:hint="eastAsia"/>
          <w:i w:val="0"/>
          <w:iCs w:val="0"/>
          <w:color w:val="auto"/>
          <w:sz w:val="21"/>
          <w:szCs w:val="15"/>
          <w:highlight w:val="none"/>
        </w:rPr>
        <w:t>1920*1080；四核2G+32G；接口：支持H</w:t>
      </w:r>
      <w:r>
        <w:rPr>
          <w:i w:val="0"/>
          <w:iCs w:val="0"/>
          <w:color w:val="auto"/>
          <w:sz w:val="21"/>
          <w:szCs w:val="15"/>
          <w:highlight w:val="none"/>
        </w:rPr>
        <w:t>DMI 1.4</w:t>
      </w:r>
      <w:r>
        <w:rPr>
          <w:rFonts w:hint="eastAsia"/>
          <w:i w:val="0"/>
          <w:iCs w:val="0"/>
          <w:color w:val="auto"/>
          <w:sz w:val="21"/>
          <w:szCs w:val="15"/>
          <w:highlight w:val="none"/>
        </w:rPr>
        <w:t>以上；</w:t>
      </w:r>
      <w:bookmarkEnd w:id="289"/>
    </w:p>
    <w:p w14:paraId="56D12FF3">
      <w:pPr>
        <w:pStyle w:val="5"/>
        <w:ind w:left="0"/>
        <w:rPr>
          <w:i w:val="0"/>
          <w:iCs w:val="0"/>
          <w:color w:val="auto"/>
          <w:sz w:val="22"/>
          <w:szCs w:val="22"/>
          <w:highlight w:val="none"/>
        </w:rPr>
      </w:pPr>
      <w:bookmarkStart w:id="290" w:name="_Toc200964824"/>
      <w:bookmarkStart w:id="291" w:name="_Toc6618"/>
      <w:r>
        <w:rPr>
          <w:rFonts w:hint="eastAsia"/>
          <w:i w:val="0"/>
          <w:iCs w:val="0"/>
          <w:color w:val="auto"/>
          <w:sz w:val="22"/>
          <w:szCs w:val="22"/>
          <w:highlight w:val="none"/>
        </w:rPr>
        <w:t>智能开关控制器</w:t>
      </w:r>
      <w:bookmarkEnd w:id="290"/>
      <w:bookmarkEnd w:id="291"/>
    </w:p>
    <w:p w14:paraId="56D12FF4">
      <w:pPr>
        <w:pStyle w:val="142"/>
        <w:ind w:firstLine="420"/>
        <w:rPr>
          <w:i w:val="0"/>
          <w:iCs w:val="0"/>
          <w:color w:val="auto"/>
          <w:sz w:val="21"/>
          <w:szCs w:val="15"/>
          <w:highlight w:val="none"/>
          <w:lang w:val="en-US"/>
        </w:rPr>
      </w:pPr>
      <w:r>
        <w:rPr>
          <w:rFonts w:hint="eastAsia"/>
          <w:i w:val="0"/>
          <w:iCs w:val="0"/>
          <w:color w:val="auto"/>
          <w:sz w:val="21"/>
          <w:szCs w:val="15"/>
          <w:highlight w:val="none"/>
        </w:rPr>
        <w:t>支持网络标准 IEEE 802.11n，IEEE 802.11g，IEEE 802.11b；</w:t>
      </w:r>
      <w:bookmarkStart w:id="292" w:name="OLE_LINK11"/>
      <w:r>
        <w:rPr>
          <w:rFonts w:hint="eastAsia"/>
          <w:i w:val="0"/>
          <w:iCs w:val="0"/>
          <w:color w:val="auto"/>
          <w:sz w:val="21"/>
          <w:szCs w:val="15"/>
          <w:highlight w:val="none"/>
        </w:rPr>
        <w:t>最高传输速率≥450Mbps</w:t>
      </w:r>
      <w:bookmarkEnd w:id="292"/>
      <w:r>
        <w:rPr>
          <w:rFonts w:hint="eastAsia"/>
          <w:i w:val="0"/>
          <w:iCs w:val="0"/>
          <w:color w:val="auto"/>
          <w:sz w:val="21"/>
          <w:szCs w:val="15"/>
          <w:highlight w:val="none"/>
        </w:rPr>
        <w:t>；天线类型内置天线；状态指示灯，一盏智能信号灯；工作电压DC5V ，工作电流：120ma。</w:t>
      </w:r>
      <w:r>
        <w:rPr>
          <w:rFonts w:hint="eastAsia"/>
          <w:i w:val="0"/>
          <w:iCs w:val="0"/>
          <w:color w:val="auto"/>
          <w:sz w:val="21"/>
          <w:szCs w:val="15"/>
          <w:highlight w:val="none"/>
          <w:lang w:val="en-US"/>
        </w:rPr>
        <w:t>具备远程语音唤醒功能。</w:t>
      </w:r>
    </w:p>
    <w:p w14:paraId="56D12FF5">
      <w:pPr>
        <w:pStyle w:val="5"/>
        <w:ind w:left="0"/>
        <w:rPr>
          <w:i w:val="0"/>
          <w:iCs w:val="0"/>
          <w:color w:val="auto"/>
          <w:sz w:val="22"/>
          <w:szCs w:val="22"/>
          <w:highlight w:val="none"/>
        </w:rPr>
      </w:pPr>
      <w:bookmarkStart w:id="293" w:name="_Toc200964825"/>
      <w:bookmarkStart w:id="294" w:name="_Toc1710"/>
      <w:r>
        <w:rPr>
          <w:rFonts w:hint="eastAsia"/>
          <w:i w:val="0"/>
          <w:iCs w:val="0"/>
          <w:color w:val="auto"/>
          <w:sz w:val="22"/>
          <w:szCs w:val="22"/>
          <w:highlight w:val="none"/>
        </w:rPr>
        <w:t>智能电子门锁</w:t>
      </w:r>
      <w:bookmarkEnd w:id="293"/>
      <w:bookmarkEnd w:id="294"/>
    </w:p>
    <w:p w14:paraId="56D12FF6">
      <w:pPr>
        <w:pStyle w:val="142"/>
        <w:ind w:firstLine="420"/>
        <w:rPr>
          <w:i w:val="0"/>
          <w:iCs w:val="0"/>
          <w:color w:val="auto"/>
          <w:sz w:val="21"/>
          <w:szCs w:val="15"/>
          <w:highlight w:val="none"/>
        </w:rPr>
      </w:pPr>
      <w:bookmarkStart w:id="295" w:name="OLE_LINK2"/>
      <w:r>
        <w:rPr>
          <w:rFonts w:hint="eastAsia"/>
          <w:i w:val="0"/>
          <w:iCs w:val="0"/>
          <w:color w:val="auto"/>
          <w:sz w:val="21"/>
          <w:szCs w:val="15"/>
          <w:highlight w:val="none"/>
        </w:rPr>
        <w:t>读写方式：非接触式；读卡距离：0-4厘米；读写时间：&lt;0.</w:t>
      </w:r>
      <w:r>
        <w:rPr>
          <w:rFonts w:hint="eastAsia"/>
          <w:i w:val="0"/>
          <w:iCs w:val="0"/>
          <w:color w:val="auto"/>
          <w:sz w:val="21"/>
          <w:szCs w:val="15"/>
          <w:highlight w:val="none"/>
          <w:lang w:val="en-US"/>
        </w:rPr>
        <w:t>1</w:t>
      </w:r>
      <w:r>
        <w:rPr>
          <w:rFonts w:hint="eastAsia"/>
          <w:i w:val="0"/>
          <w:iCs w:val="0"/>
          <w:color w:val="auto"/>
          <w:sz w:val="21"/>
          <w:szCs w:val="15"/>
          <w:highlight w:val="none"/>
        </w:rPr>
        <w:t>秒 ；工作温度：-25-- +65°C；开门时间：按动把手开门一次有效，若不开门6秒内自动上锁；开锁记录：门锁内可储存最新的800条；授权方式：软件管理下传白名单，白名单人数不超过10人；通讯方式：无线通讯；电源使用4节5号电池，应包含在出厂配置</w:t>
      </w:r>
      <w:bookmarkEnd w:id="295"/>
      <w:r>
        <w:rPr>
          <w:rFonts w:hint="eastAsia"/>
          <w:i w:val="0"/>
          <w:iCs w:val="0"/>
          <w:color w:val="auto"/>
          <w:sz w:val="21"/>
          <w:szCs w:val="15"/>
          <w:highlight w:val="none"/>
        </w:rPr>
        <w:t>中。</w:t>
      </w:r>
    </w:p>
    <w:p w14:paraId="56D12FF7">
      <w:pPr>
        <w:pStyle w:val="5"/>
        <w:ind w:left="0"/>
        <w:rPr>
          <w:i w:val="0"/>
          <w:iCs w:val="0"/>
          <w:color w:val="auto"/>
          <w:sz w:val="22"/>
          <w:szCs w:val="22"/>
          <w:highlight w:val="none"/>
        </w:rPr>
      </w:pPr>
      <w:bookmarkStart w:id="296" w:name="_Toc12840"/>
      <w:bookmarkStart w:id="297" w:name="_Toc200964826"/>
      <w:r>
        <w:rPr>
          <w:rFonts w:hint="eastAsia"/>
          <w:i w:val="0"/>
          <w:iCs w:val="0"/>
          <w:color w:val="auto"/>
          <w:sz w:val="22"/>
          <w:szCs w:val="22"/>
          <w:highlight w:val="none"/>
        </w:rPr>
        <w:t>WiFi路由器</w:t>
      </w:r>
      <w:bookmarkEnd w:id="296"/>
      <w:bookmarkEnd w:id="297"/>
    </w:p>
    <w:p w14:paraId="56D12FF8">
      <w:pPr>
        <w:pStyle w:val="142"/>
        <w:ind w:firstLine="420"/>
        <w:rPr>
          <w:i w:val="0"/>
          <w:iCs w:val="0"/>
          <w:color w:val="auto"/>
          <w:sz w:val="21"/>
          <w:szCs w:val="15"/>
          <w:highlight w:val="none"/>
        </w:rPr>
      </w:pPr>
      <w:r>
        <w:rPr>
          <w:rFonts w:hint="eastAsia"/>
          <w:i w:val="0"/>
          <w:iCs w:val="0"/>
          <w:color w:val="auto"/>
          <w:sz w:val="21"/>
          <w:szCs w:val="15"/>
          <w:highlight w:val="none"/>
          <w:lang w:val="en-US"/>
        </w:rPr>
        <w:t>采用</w:t>
      </w:r>
      <w:r>
        <w:rPr>
          <w:rFonts w:hint="eastAsia"/>
          <w:i w:val="0"/>
          <w:iCs w:val="0"/>
          <w:color w:val="auto"/>
          <w:sz w:val="21"/>
          <w:szCs w:val="15"/>
          <w:highlight w:val="none"/>
        </w:rPr>
        <w:t>企业级无线路由器；支持网络标准 IEEE802.11b，IEEE802.11g，IEEE802.11n，IEEE802.3，IEEE802.3u；网络协议 TCP/IP协议；最高传输速率 ≥300Mbps；2.4GHz传输速率 ≥300Mbps；5GHz传输速率 ≥867Mbps；网络接口 1个10/100M RJ45 WAN端口。</w:t>
      </w:r>
    </w:p>
    <w:p w14:paraId="56D12FF9">
      <w:pPr>
        <w:pStyle w:val="5"/>
        <w:ind w:left="0"/>
        <w:rPr>
          <w:i w:val="0"/>
          <w:iCs w:val="0"/>
          <w:color w:val="auto"/>
          <w:sz w:val="22"/>
          <w:szCs w:val="22"/>
          <w:highlight w:val="none"/>
        </w:rPr>
      </w:pPr>
      <w:bookmarkStart w:id="298" w:name="_Toc13446"/>
      <w:bookmarkStart w:id="299" w:name="_Toc200964827"/>
      <w:r>
        <w:rPr>
          <w:rFonts w:hint="eastAsia"/>
          <w:i w:val="0"/>
          <w:iCs w:val="0"/>
          <w:color w:val="auto"/>
          <w:sz w:val="22"/>
          <w:szCs w:val="22"/>
          <w:highlight w:val="none"/>
        </w:rPr>
        <w:t>WiFi中继器</w:t>
      </w:r>
      <w:bookmarkEnd w:id="298"/>
      <w:bookmarkEnd w:id="299"/>
    </w:p>
    <w:p w14:paraId="56D12FFA">
      <w:pPr>
        <w:pStyle w:val="142"/>
        <w:ind w:firstLine="420"/>
        <w:rPr>
          <w:i w:val="0"/>
          <w:iCs w:val="0"/>
          <w:color w:val="auto"/>
          <w:sz w:val="21"/>
          <w:szCs w:val="15"/>
          <w:highlight w:val="none"/>
        </w:rPr>
      </w:pPr>
      <w:bookmarkStart w:id="300" w:name="OLE_LINK3"/>
      <w:r>
        <w:rPr>
          <w:rFonts w:hint="eastAsia"/>
          <w:i w:val="0"/>
          <w:iCs w:val="0"/>
          <w:color w:val="auto"/>
          <w:sz w:val="21"/>
          <w:szCs w:val="15"/>
          <w:highlight w:val="none"/>
        </w:rPr>
        <w:t>支持网络标准 IEEE 802.11n，IEEE 802.11g，IEEE 802.11b；最高传输速率≥450Mbps；天线类型外置天线；状态指示灯</w:t>
      </w:r>
      <w:bookmarkEnd w:id="300"/>
      <w:r>
        <w:rPr>
          <w:rFonts w:hint="eastAsia"/>
          <w:i w:val="0"/>
          <w:iCs w:val="0"/>
          <w:color w:val="auto"/>
          <w:sz w:val="21"/>
          <w:szCs w:val="15"/>
          <w:highlight w:val="none"/>
        </w:rPr>
        <w:t>。</w:t>
      </w:r>
    </w:p>
    <w:p w14:paraId="56D12FFB">
      <w:pPr>
        <w:pStyle w:val="5"/>
        <w:ind w:left="0"/>
        <w:rPr>
          <w:i w:val="0"/>
          <w:iCs w:val="0"/>
          <w:color w:val="auto"/>
          <w:sz w:val="22"/>
          <w:szCs w:val="22"/>
          <w:highlight w:val="none"/>
        </w:rPr>
      </w:pPr>
      <w:bookmarkStart w:id="301" w:name="_Toc20219"/>
      <w:bookmarkStart w:id="302" w:name="_Toc200964828"/>
      <w:r>
        <w:rPr>
          <w:rFonts w:hint="eastAsia"/>
          <w:i w:val="0"/>
          <w:iCs w:val="0"/>
          <w:color w:val="auto"/>
          <w:sz w:val="22"/>
          <w:szCs w:val="22"/>
          <w:highlight w:val="none"/>
        </w:rPr>
        <w:t>WiFi读卡器</w:t>
      </w:r>
      <w:bookmarkEnd w:id="301"/>
      <w:bookmarkEnd w:id="302"/>
    </w:p>
    <w:p w14:paraId="56D12FFC">
      <w:pPr>
        <w:pStyle w:val="142"/>
        <w:ind w:firstLine="420"/>
        <w:rPr>
          <w:i w:val="0"/>
          <w:iCs w:val="0"/>
          <w:color w:val="auto"/>
          <w:sz w:val="21"/>
          <w:szCs w:val="15"/>
          <w:highlight w:val="none"/>
        </w:rPr>
      </w:pPr>
      <w:bookmarkStart w:id="303" w:name="OLE_LINK4"/>
      <w:r>
        <w:rPr>
          <w:rFonts w:hint="eastAsia"/>
          <w:i w:val="0"/>
          <w:iCs w:val="0"/>
          <w:color w:val="auto"/>
          <w:sz w:val="21"/>
          <w:szCs w:val="15"/>
          <w:highlight w:val="none"/>
        </w:rPr>
        <w:t>支持网络标准：支持IEEE 802.11n，IEEE 802.11g，IEEE 802.11b；最高传输速率：≥450Mbps；天线类型：继电信号：一路，电源：DC12V</w:t>
      </w:r>
      <w:bookmarkEnd w:id="303"/>
      <w:r>
        <w:rPr>
          <w:rFonts w:hint="eastAsia"/>
          <w:i w:val="0"/>
          <w:iCs w:val="0"/>
          <w:color w:val="auto"/>
          <w:sz w:val="21"/>
          <w:szCs w:val="15"/>
          <w:highlight w:val="none"/>
        </w:rPr>
        <w:t>。</w:t>
      </w:r>
    </w:p>
    <w:p w14:paraId="56D12FFD">
      <w:pPr>
        <w:pStyle w:val="5"/>
        <w:ind w:left="0"/>
        <w:rPr>
          <w:i w:val="0"/>
          <w:iCs w:val="0"/>
          <w:color w:val="auto"/>
          <w:sz w:val="22"/>
          <w:szCs w:val="22"/>
          <w:highlight w:val="none"/>
        </w:rPr>
      </w:pPr>
      <w:bookmarkStart w:id="304" w:name="_Toc19232"/>
      <w:bookmarkStart w:id="305" w:name="_Toc200964829"/>
      <w:r>
        <w:rPr>
          <w:rFonts w:hint="eastAsia"/>
          <w:i w:val="0"/>
          <w:iCs w:val="0"/>
          <w:color w:val="auto"/>
          <w:sz w:val="22"/>
          <w:szCs w:val="22"/>
          <w:highlight w:val="none"/>
        </w:rPr>
        <w:t>KVM视频发射器/接收器</w:t>
      </w:r>
      <w:bookmarkEnd w:id="304"/>
      <w:bookmarkEnd w:id="305"/>
    </w:p>
    <w:p w14:paraId="56D12FFE">
      <w:pPr>
        <w:pStyle w:val="142"/>
        <w:ind w:firstLine="420"/>
        <w:rPr>
          <w:i w:val="0"/>
          <w:iCs w:val="0"/>
          <w:color w:val="auto"/>
          <w:sz w:val="21"/>
          <w:szCs w:val="15"/>
          <w:highlight w:val="none"/>
        </w:rPr>
      </w:pPr>
      <w:bookmarkStart w:id="306" w:name="OLE_LINK5"/>
      <w:r>
        <w:rPr>
          <w:rFonts w:hint="eastAsia"/>
          <w:i w:val="0"/>
          <w:iCs w:val="0"/>
          <w:color w:val="auto"/>
          <w:sz w:val="21"/>
          <w:szCs w:val="15"/>
          <w:highlight w:val="none"/>
        </w:rPr>
        <w:t>支持协议：包括但不限于HDMI 1.4; HDCP 1.2；HDMI接口带宽：总带宽≥10.2Gbps；视频接口：HDMI-A 接口；标准RJ45接口；电源：DC5V 2A；最大功耗 3W；工作温度：-5℃ ~ +70℃；工作湿度：5% ~ 90%</w:t>
      </w:r>
      <w:bookmarkEnd w:id="306"/>
      <w:r>
        <w:rPr>
          <w:rFonts w:hint="eastAsia"/>
          <w:i w:val="0"/>
          <w:iCs w:val="0"/>
          <w:color w:val="auto"/>
          <w:sz w:val="21"/>
          <w:szCs w:val="15"/>
          <w:highlight w:val="none"/>
        </w:rPr>
        <w:t>。</w:t>
      </w:r>
    </w:p>
    <w:p w14:paraId="56D12FFF">
      <w:pPr>
        <w:pStyle w:val="5"/>
        <w:ind w:left="0"/>
        <w:rPr>
          <w:i w:val="0"/>
          <w:iCs w:val="0"/>
          <w:color w:val="auto"/>
          <w:sz w:val="22"/>
          <w:szCs w:val="22"/>
          <w:highlight w:val="none"/>
        </w:rPr>
      </w:pPr>
      <w:bookmarkStart w:id="307" w:name="_Toc9107"/>
      <w:bookmarkStart w:id="308" w:name="_Toc200964830"/>
      <w:r>
        <w:rPr>
          <w:rFonts w:hint="eastAsia"/>
          <w:i w:val="0"/>
          <w:iCs w:val="0"/>
          <w:color w:val="auto"/>
          <w:sz w:val="22"/>
          <w:szCs w:val="22"/>
          <w:highlight w:val="none"/>
        </w:rPr>
        <w:t>梯控装置</w:t>
      </w:r>
      <w:bookmarkEnd w:id="307"/>
      <w:bookmarkEnd w:id="308"/>
    </w:p>
    <w:p w14:paraId="56D13000">
      <w:pPr>
        <w:pStyle w:val="142"/>
        <w:ind w:firstLine="420"/>
        <w:rPr>
          <w:i w:val="0"/>
          <w:iCs w:val="0"/>
          <w:color w:val="auto"/>
          <w:sz w:val="21"/>
          <w:szCs w:val="15"/>
          <w:highlight w:val="none"/>
        </w:rPr>
      </w:pPr>
      <w:r>
        <w:rPr>
          <w:rFonts w:hint="eastAsia"/>
          <w:i w:val="0"/>
          <w:iCs w:val="0"/>
          <w:color w:val="auto"/>
          <w:sz w:val="21"/>
          <w:szCs w:val="15"/>
          <w:highlight w:val="none"/>
        </w:rPr>
        <w:t>设备主要技术</w:t>
      </w:r>
      <w:r>
        <w:rPr>
          <w:rFonts w:hint="eastAsia"/>
          <w:i w:val="0"/>
          <w:iCs w:val="0"/>
          <w:color w:val="auto"/>
          <w:sz w:val="21"/>
          <w:szCs w:val="15"/>
          <w:highlight w:val="none"/>
          <w:lang w:val="en-US"/>
        </w:rPr>
        <w:t>不低于以下</w:t>
      </w:r>
      <w:r>
        <w:rPr>
          <w:rFonts w:hint="eastAsia"/>
          <w:i w:val="0"/>
          <w:iCs w:val="0"/>
          <w:color w:val="auto"/>
          <w:sz w:val="21"/>
          <w:szCs w:val="15"/>
          <w:highlight w:val="none"/>
        </w:rPr>
        <w:t>要求：</w:t>
      </w:r>
    </w:p>
    <w:p w14:paraId="56D13001">
      <w:pPr>
        <w:pStyle w:val="142"/>
        <w:ind w:firstLine="420"/>
        <w:rPr>
          <w:i w:val="0"/>
          <w:iCs w:val="0"/>
          <w:color w:val="auto"/>
          <w:sz w:val="21"/>
          <w:szCs w:val="15"/>
          <w:highlight w:val="none"/>
        </w:rPr>
      </w:pPr>
      <w:r>
        <w:rPr>
          <w:rFonts w:hint="eastAsia"/>
          <w:i w:val="0"/>
          <w:iCs w:val="0"/>
          <w:color w:val="auto"/>
          <w:sz w:val="21"/>
          <w:szCs w:val="15"/>
          <w:highlight w:val="none"/>
          <w:lang w:val="en-US"/>
        </w:rPr>
        <w:t>1、</w:t>
      </w:r>
      <w:r>
        <w:rPr>
          <w:rFonts w:hint="eastAsia"/>
          <w:i w:val="0"/>
          <w:iCs w:val="0"/>
          <w:color w:val="auto"/>
          <w:sz w:val="21"/>
          <w:szCs w:val="15"/>
          <w:highlight w:val="none"/>
        </w:rPr>
        <w:t>可读取长沙</w:t>
      </w:r>
      <w:r>
        <w:rPr>
          <w:rFonts w:hint="eastAsia"/>
          <w:i w:val="0"/>
          <w:iCs w:val="0"/>
          <w:color w:val="auto"/>
          <w:sz w:val="21"/>
          <w:szCs w:val="15"/>
          <w:highlight w:val="none"/>
          <w:lang w:val="en-US"/>
        </w:rPr>
        <w:t>穗城</w:t>
      </w:r>
      <w:r>
        <w:rPr>
          <w:rFonts w:hint="eastAsia"/>
          <w:i w:val="0"/>
          <w:iCs w:val="0"/>
          <w:color w:val="auto"/>
          <w:sz w:val="21"/>
          <w:szCs w:val="15"/>
          <w:highlight w:val="none"/>
        </w:rPr>
        <w:t>轨道交通</w:t>
      </w:r>
      <w:r>
        <w:rPr>
          <w:rFonts w:hint="eastAsia"/>
          <w:i w:val="0"/>
          <w:iCs w:val="0"/>
          <w:color w:val="auto"/>
          <w:sz w:val="21"/>
          <w:szCs w:val="15"/>
          <w:highlight w:val="none"/>
          <w:lang w:val="en-US" w:eastAsia="zh-CN"/>
        </w:rPr>
        <w:t>有限公司</w:t>
      </w:r>
      <w:r>
        <w:rPr>
          <w:rFonts w:hint="eastAsia"/>
          <w:i w:val="0"/>
          <w:iCs w:val="0"/>
          <w:color w:val="auto"/>
          <w:sz w:val="21"/>
          <w:szCs w:val="15"/>
          <w:highlight w:val="none"/>
        </w:rPr>
        <w:t>员工卡；</w:t>
      </w:r>
    </w:p>
    <w:p w14:paraId="56D13002">
      <w:pPr>
        <w:pStyle w:val="142"/>
        <w:ind w:firstLine="420"/>
        <w:rPr>
          <w:i w:val="0"/>
          <w:iCs w:val="0"/>
          <w:color w:val="auto"/>
          <w:sz w:val="21"/>
          <w:szCs w:val="15"/>
          <w:highlight w:val="none"/>
        </w:rPr>
      </w:pPr>
      <w:r>
        <w:rPr>
          <w:rFonts w:hint="eastAsia"/>
          <w:i w:val="0"/>
          <w:iCs w:val="0"/>
          <w:color w:val="auto"/>
          <w:sz w:val="21"/>
          <w:szCs w:val="15"/>
          <w:highlight w:val="none"/>
          <w:lang w:val="en-US"/>
        </w:rPr>
        <w:t>2、</w:t>
      </w:r>
      <w:r>
        <w:rPr>
          <w:rFonts w:hint="eastAsia"/>
          <w:i w:val="0"/>
          <w:iCs w:val="0"/>
          <w:color w:val="auto"/>
          <w:sz w:val="21"/>
          <w:szCs w:val="15"/>
          <w:highlight w:val="none"/>
        </w:rPr>
        <w:t>可输出电梯控制信号，控制电梯上行停到指定楼层开门；</w:t>
      </w:r>
    </w:p>
    <w:p w14:paraId="56D13003">
      <w:pPr>
        <w:pStyle w:val="142"/>
        <w:ind w:firstLine="420"/>
        <w:rPr>
          <w:i w:val="0"/>
          <w:iCs w:val="0"/>
          <w:color w:val="auto"/>
          <w:sz w:val="21"/>
          <w:szCs w:val="15"/>
          <w:highlight w:val="none"/>
        </w:rPr>
      </w:pPr>
      <w:r>
        <w:rPr>
          <w:rFonts w:hint="eastAsia"/>
          <w:i w:val="0"/>
          <w:iCs w:val="0"/>
          <w:color w:val="auto"/>
          <w:sz w:val="21"/>
          <w:szCs w:val="15"/>
          <w:highlight w:val="none"/>
          <w:lang w:val="en-US"/>
        </w:rPr>
        <w:t>3、</w:t>
      </w:r>
      <w:r>
        <w:rPr>
          <w:rFonts w:hint="eastAsia"/>
          <w:i w:val="0"/>
          <w:iCs w:val="0"/>
          <w:color w:val="auto"/>
          <w:sz w:val="21"/>
          <w:szCs w:val="15"/>
          <w:highlight w:val="none"/>
        </w:rPr>
        <w:t>采用全读取方式，即对卡的物理编码和逻辑编码均可以识别，具备防止NFC复制功能；</w:t>
      </w:r>
    </w:p>
    <w:p w14:paraId="56D13004">
      <w:pPr>
        <w:pStyle w:val="142"/>
        <w:ind w:firstLine="420"/>
        <w:rPr>
          <w:i w:val="0"/>
          <w:iCs w:val="0"/>
          <w:color w:val="auto"/>
          <w:sz w:val="21"/>
          <w:szCs w:val="15"/>
          <w:highlight w:val="none"/>
        </w:rPr>
      </w:pPr>
      <w:r>
        <w:rPr>
          <w:rFonts w:hint="eastAsia"/>
          <w:i w:val="0"/>
          <w:iCs w:val="0"/>
          <w:color w:val="auto"/>
          <w:sz w:val="21"/>
          <w:szCs w:val="15"/>
          <w:highlight w:val="none"/>
          <w:lang w:val="en-US"/>
        </w:rPr>
        <w:t>4、</w:t>
      </w:r>
      <w:r>
        <w:rPr>
          <w:rFonts w:hint="eastAsia"/>
          <w:i w:val="0"/>
          <w:iCs w:val="0"/>
          <w:color w:val="auto"/>
          <w:sz w:val="21"/>
          <w:szCs w:val="15"/>
          <w:highlight w:val="none"/>
        </w:rPr>
        <w:t>装置应是成熟可靠的，可适应24小时不间断运行；</w:t>
      </w:r>
    </w:p>
    <w:p w14:paraId="56D13005">
      <w:pPr>
        <w:pStyle w:val="142"/>
        <w:ind w:firstLine="420"/>
        <w:rPr>
          <w:i w:val="0"/>
          <w:iCs w:val="0"/>
          <w:color w:val="auto"/>
          <w:sz w:val="21"/>
          <w:szCs w:val="15"/>
          <w:highlight w:val="none"/>
        </w:rPr>
      </w:pPr>
      <w:r>
        <w:rPr>
          <w:rFonts w:hint="eastAsia"/>
          <w:i w:val="0"/>
          <w:iCs w:val="0"/>
          <w:color w:val="auto"/>
          <w:sz w:val="21"/>
          <w:szCs w:val="15"/>
          <w:highlight w:val="none"/>
          <w:lang w:val="en-US"/>
        </w:rPr>
        <w:t>5、</w:t>
      </w:r>
      <w:r>
        <w:rPr>
          <w:rFonts w:hint="eastAsia"/>
          <w:i w:val="0"/>
          <w:iCs w:val="0"/>
          <w:color w:val="auto"/>
          <w:sz w:val="21"/>
          <w:szCs w:val="15"/>
          <w:highlight w:val="none"/>
        </w:rPr>
        <w:t>读写时间≤300ms；读写距离0~100mm；工作电压≤DC12V±5%，应有一定的稳压、短路及过载保护措施；</w:t>
      </w:r>
    </w:p>
    <w:p w14:paraId="56D13006">
      <w:pPr>
        <w:pStyle w:val="142"/>
        <w:ind w:firstLine="420"/>
        <w:rPr>
          <w:i w:val="0"/>
          <w:iCs w:val="0"/>
          <w:color w:val="auto"/>
          <w:sz w:val="21"/>
          <w:szCs w:val="15"/>
          <w:highlight w:val="none"/>
        </w:rPr>
      </w:pPr>
      <w:r>
        <w:rPr>
          <w:rFonts w:hint="eastAsia"/>
          <w:i w:val="0"/>
          <w:iCs w:val="0"/>
          <w:color w:val="auto"/>
          <w:sz w:val="21"/>
          <w:szCs w:val="15"/>
          <w:highlight w:val="none"/>
          <w:lang w:val="en-US"/>
        </w:rPr>
        <w:t>6、</w:t>
      </w:r>
      <w:r>
        <w:rPr>
          <w:rFonts w:hint="eastAsia"/>
          <w:i w:val="0"/>
          <w:iCs w:val="0"/>
          <w:color w:val="auto"/>
          <w:sz w:val="21"/>
          <w:szCs w:val="15"/>
          <w:highlight w:val="none"/>
        </w:rPr>
        <w:t>应具有较强的防电磁能力，其他电子设备的常规使用应不会对梯控装置造成影响，其电磁兼容性应符合相关标准的要求；</w:t>
      </w:r>
    </w:p>
    <w:p w14:paraId="56D13007">
      <w:pPr>
        <w:pStyle w:val="142"/>
        <w:ind w:firstLine="420"/>
        <w:rPr>
          <w:i w:val="0"/>
          <w:iCs w:val="0"/>
          <w:color w:val="auto"/>
          <w:sz w:val="21"/>
          <w:szCs w:val="15"/>
          <w:highlight w:val="none"/>
        </w:rPr>
      </w:pPr>
      <w:r>
        <w:rPr>
          <w:rFonts w:hint="eastAsia"/>
          <w:i w:val="0"/>
          <w:iCs w:val="0"/>
          <w:color w:val="auto"/>
          <w:sz w:val="21"/>
          <w:szCs w:val="15"/>
          <w:highlight w:val="none"/>
          <w:lang w:val="en-US"/>
        </w:rPr>
        <w:t>7、</w:t>
      </w:r>
      <w:r>
        <w:rPr>
          <w:rFonts w:hint="eastAsia"/>
          <w:i w:val="0"/>
          <w:iCs w:val="0"/>
          <w:color w:val="auto"/>
          <w:sz w:val="21"/>
          <w:szCs w:val="15"/>
          <w:highlight w:val="none"/>
        </w:rPr>
        <w:t>外壳具有防水、防潮能力，空气湿度在99%下不影响读写的正常使用；</w:t>
      </w:r>
    </w:p>
    <w:p w14:paraId="56D13008">
      <w:pPr>
        <w:pStyle w:val="142"/>
        <w:ind w:firstLine="420"/>
        <w:rPr>
          <w:i w:val="0"/>
          <w:iCs w:val="0"/>
          <w:color w:val="auto"/>
          <w:sz w:val="21"/>
          <w:szCs w:val="15"/>
          <w:highlight w:val="none"/>
        </w:rPr>
      </w:pPr>
      <w:r>
        <w:rPr>
          <w:rFonts w:hint="eastAsia"/>
          <w:i w:val="0"/>
          <w:iCs w:val="0"/>
          <w:color w:val="auto"/>
          <w:sz w:val="21"/>
          <w:szCs w:val="15"/>
          <w:highlight w:val="none"/>
          <w:lang w:val="en-US"/>
        </w:rPr>
        <w:t>8、</w:t>
      </w:r>
      <w:r>
        <w:rPr>
          <w:rFonts w:hint="eastAsia"/>
          <w:i w:val="0"/>
          <w:iCs w:val="0"/>
          <w:color w:val="auto"/>
          <w:sz w:val="21"/>
          <w:szCs w:val="15"/>
          <w:highlight w:val="none"/>
        </w:rPr>
        <w:t>梯控装置应便于安装、操作和维护；</w:t>
      </w:r>
    </w:p>
    <w:p w14:paraId="56D13009">
      <w:pPr>
        <w:pStyle w:val="142"/>
        <w:ind w:firstLine="420"/>
        <w:rPr>
          <w:i w:val="0"/>
          <w:iCs w:val="0"/>
          <w:color w:val="auto"/>
          <w:sz w:val="21"/>
          <w:szCs w:val="15"/>
          <w:highlight w:val="none"/>
        </w:rPr>
      </w:pPr>
      <w:r>
        <w:rPr>
          <w:rFonts w:hint="eastAsia"/>
          <w:i w:val="0"/>
          <w:iCs w:val="0"/>
          <w:color w:val="auto"/>
          <w:sz w:val="21"/>
          <w:szCs w:val="15"/>
          <w:highlight w:val="none"/>
          <w:lang w:val="en-US"/>
        </w:rPr>
        <w:t>9、</w:t>
      </w:r>
      <w:r>
        <w:rPr>
          <w:rFonts w:hint="eastAsia"/>
          <w:i w:val="0"/>
          <w:iCs w:val="0"/>
          <w:color w:val="auto"/>
          <w:sz w:val="21"/>
          <w:szCs w:val="15"/>
          <w:highlight w:val="none"/>
        </w:rPr>
        <w:t>应具有反向电压保护功能。</w:t>
      </w:r>
    </w:p>
    <w:p w14:paraId="56D1300A">
      <w:pPr>
        <w:pStyle w:val="5"/>
        <w:ind w:left="0"/>
        <w:rPr>
          <w:i w:val="0"/>
          <w:iCs w:val="0"/>
          <w:color w:val="auto"/>
          <w:sz w:val="22"/>
          <w:szCs w:val="22"/>
          <w:highlight w:val="none"/>
        </w:rPr>
      </w:pPr>
      <w:bookmarkStart w:id="309" w:name="_Toc25928"/>
      <w:bookmarkStart w:id="310" w:name="_Toc200964831"/>
      <w:r>
        <w:rPr>
          <w:rFonts w:hint="eastAsia"/>
          <w:i w:val="0"/>
          <w:iCs w:val="0"/>
          <w:color w:val="auto"/>
          <w:sz w:val="22"/>
          <w:szCs w:val="22"/>
          <w:highlight w:val="none"/>
        </w:rPr>
        <w:t>核心交换机</w:t>
      </w:r>
      <w:bookmarkEnd w:id="309"/>
      <w:bookmarkEnd w:id="310"/>
    </w:p>
    <w:p w14:paraId="56D1300B">
      <w:pPr>
        <w:pStyle w:val="142"/>
        <w:ind w:firstLine="420"/>
        <w:rPr>
          <w:i w:val="0"/>
          <w:iCs w:val="0"/>
          <w:color w:val="auto"/>
          <w:sz w:val="21"/>
          <w:szCs w:val="15"/>
          <w:highlight w:val="none"/>
        </w:rPr>
      </w:pPr>
      <w:r>
        <w:rPr>
          <w:rFonts w:hint="eastAsia"/>
          <w:i w:val="0"/>
          <w:iCs w:val="0"/>
          <w:color w:val="auto"/>
          <w:sz w:val="21"/>
          <w:szCs w:val="15"/>
          <w:highlight w:val="none"/>
        </w:rPr>
        <w:t>12口千兆小型企业级交换机，标准RJ45接口，即插即用，无风扇设计。</w:t>
      </w:r>
    </w:p>
    <w:p w14:paraId="56D1300C">
      <w:pPr>
        <w:pStyle w:val="5"/>
        <w:ind w:left="0"/>
        <w:rPr>
          <w:i w:val="0"/>
          <w:iCs w:val="0"/>
          <w:color w:val="auto"/>
          <w:sz w:val="22"/>
          <w:szCs w:val="22"/>
          <w:highlight w:val="none"/>
        </w:rPr>
      </w:pPr>
      <w:bookmarkStart w:id="311" w:name="_Toc27119"/>
      <w:bookmarkStart w:id="312" w:name="_Toc200964832"/>
      <w:r>
        <w:rPr>
          <w:rFonts w:hint="eastAsia"/>
          <w:i w:val="0"/>
          <w:iCs w:val="0"/>
          <w:color w:val="auto"/>
          <w:sz w:val="22"/>
          <w:szCs w:val="22"/>
          <w:highlight w:val="none"/>
        </w:rPr>
        <w:t>汇聚交换机</w:t>
      </w:r>
      <w:bookmarkEnd w:id="311"/>
      <w:bookmarkEnd w:id="312"/>
    </w:p>
    <w:p w14:paraId="56D1300D">
      <w:pPr>
        <w:pStyle w:val="142"/>
        <w:ind w:firstLine="420"/>
        <w:rPr>
          <w:i w:val="0"/>
          <w:iCs w:val="0"/>
          <w:color w:val="auto"/>
          <w:sz w:val="21"/>
          <w:szCs w:val="15"/>
          <w:highlight w:val="none"/>
        </w:rPr>
      </w:pPr>
      <w:r>
        <w:rPr>
          <w:rFonts w:hint="eastAsia"/>
          <w:i w:val="0"/>
          <w:iCs w:val="0"/>
          <w:color w:val="auto"/>
          <w:sz w:val="21"/>
          <w:szCs w:val="15"/>
          <w:highlight w:val="none"/>
        </w:rPr>
        <w:t>6口非网管型交换机，标准RJ45接口；防护等级：不低于IP30；散热方式：自然冷却,无风扇；工作温度：-10 - 60℃；相对湿度：5～95%无凝露。</w:t>
      </w:r>
    </w:p>
    <w:p w14:paraId="56D1300E">
      <w:pPr>
        <w:pStyle w:val="5"/>
        <w:ind w:left="0"/>
        <w:rPr>
          <w:i w:val="0"/>
          <w:iCs w:val="0"/>
          <w:color w:val="auto"/>
          <w:sz w:val="22"/>
          <w:szCs w:val="22"/>
          <w:highlight w:val="none"/>
        </w:rPr>
      </w:pPr>
      <w:bookmarkStart w:id="313" w:name="_Toc200964833"/>
      <w:bookmarkStart w:id="314" w:name="_Toc15830"/>
      <w:r>
        <w:rPr>
          <w:rFonts w:hint="eastAsia"/>
          <w:i w:val="0"/>
          <w:iCs w:val="0"/>
          <w:color w:val="auto"/>
          <w:sz w:val="22"/>
          <w:szCs w:val="22"/>
          <w:highlight w:val="none"/>
        </w:rPr>
        <w:t>PDU</w:t>
      </w:r>
      <w:bookmarkEnd w:id="313"/>
      <w:bookmarkEnd w:id="314"/>
    </w:p>
    <w:p w14:paraId="56D1300F">
      <w:pPr>
        <w:pStyle w:val="142"/>
        <w:ind w:firstLine="420"/>
        <w:rPr>
          <w:i w:val="0"/>
          <w:iCs w:val="0"/>
          <w:color w:val="auto"/>
          <w:sz w:val="21"/>
          <w:szCs w:val="15"/>
          <w:highlight w:val="none"/>
        </w:rPr>
      </w:pPr>
      <w:r>
        <w:rPr>
          <w:rFonts w:hint="eastAsia"/>
          <w:i w:val="0"/>
          <w:iCs w:val="0"/>
          <w:color w:val="auto"/>
          <w:sz w:val="21"/>
          <w:szCs w:val="15"/>
          <w:highlight w:val="none"/>
        </w:rPr>
        <w:t>工业级，8联单回路，额定电流16A，额定电压250Vac,最大功率4000W。</w:t>
      </w:r>
    </w:p>
    <w:p w14:paraId="56D13010">
      <w:pPr>
        <w:pStyle w:val="4"/>
        <w:rPr>
          <w:i w:val="0"/>
          <w:iCs w:val="0"/>
          <w:color w:val="auto"/>
          <w:sz w:val="24"/>
          <w:szCs w:val="21"/>
          <w:highlight w:val="none"/>
        </w:rPr>
      </w:pPr>
      <w:bookmarkStart w:id="315" w:name="_Toc7929"/>
      <w:r>
        <w:rPr>
          <w:rFonts w:hint="eastAsia"/>
          <w:i w:val="0"/>
          <w:iCs w:val="0"/>
          <w:color w:val="auto"/>
          <w:sz w:val="24"/>
          <w:szCs w:val="21"/>
          <w:highlight w:val="none"/>
        </w:rPr>
        <w:t>维修作业管理系统设备技术要求</w:t>
      </w:r>
      <w:bookmarkEnd w:id="315"/>
    </w:p>
    <w:p w14:paraId="56D13011">
      <w:pPr>
        <w:pStyle w:val="5"/>
        <w:ind w:left="0"/>
        <w:rPr>
          <w:i w:val="0"/>
          <w:iCs w:val="0"/>
          <w:color w:val="auto"/>
          <w:sz w:val="22"/>
          <w:szCs w:val="22"/>
          <w:highlight w:val="none"/>
        </w:rPr>
      </w:pPr>
      <w:bookmarkStart w:id="316" w:name="_Toc7613"/>
      <w:r>
        <w:rPr>
          <w:rFonts w:hint="eastAsia"/>
          <w:i w:val="0"/>
          <w:iCs w:val="0"/>
          <w:color w:val="auto"/>
          <w:sz w:val="22"/>
          <w:szCs w:val="22"/>
          <w:highlight w:val="none"/>
        </w:rPr>
        <w:t>蓝牙信标</w:t>
      </w:r>
      <w:bookmarkEnd w:id="316"/>
    </w:p>
    <w:p w14:paraId="56D13012">
      <w:pPr>
        <w:pStyle w:val="142"/>
        <w:ind w:firstLine="420"/>
        <w:rPr>
          <w:i w:val="0"/>
          <w:iCs w:val="0"/>
          <w:color w:val="auto"/>
          <w:sz w:val="21"/>
          <w:szCs w:val="15"/>
          <w:highlight w:val="none"/>
        </w:rPr>
      </w:pPr>
      <w:r>
        <w:rPr>
          <w:rFonts w:hint="eastAsia"/>
          <w:i w:val="0"/>
          <w:iCs w:val="0"/>
          <w:color w:val="auto"/>
          <w:sz w:val="21"/>
          <w:szCs w:val="15"/>
          <w:highlight w:val="none"/>
        </w:rPr>
        <w:t>蓝牙广播，发射蓝牙信号，配合蓝牙工牌使用，</w:t>
      </w:r>
      <w:r>
        <w:rPr>
          <w:rFonts w:hint="eastAsia"/>
          <w:i w:val="0"/>
          <w:iCs w:val="0"/>
          <w:color w:val="auto"/>
          <w:sz w:val="21"/>
          <w:szCs w:val="15"/>
          <w:highlight w:val="none"/>
          <w:lang w:val="en-US"/>
        </w:rPr>
        <w:t>覆盖范围在0.5米至10米范围内可调；</w:t>
      </w:r>
      <w:r>
        <w:rPr>
          <w:rFonts w:hint="eastAsia"/>
          <w:i w:val="0"/>
          <w:iCs w:val="0"/>
          <w:color w:val="auto"/>
          <w:sz w:val="21"/>
          <w:szCs w:val="15"/>
          <w:highlight w:val="none"/>
        </w:rPr>
        <w:t>工作温度 -10~50℃，</w:t>
      </w:r>
      <w:r>
        <w:rPr>
          <w:rFonts w:hint="eastAsia"/>
          <w:i w:val="0"/>
          <w:iCs w:val="0"/>
          <w:color w:val="auto"/>
          <w:sz w:val="21"/>
          <w:szCs w:val="15"/>
          <w:highlight w:val="none"/>
          <w:lang w:val="en-US"/>
        </w:rPr>
        <w:t>工作寿命不小于4年</w:t>
      </w:r>
      <w:r>
        <w:rPr>
          <w:rFonts w:hint="eastAsia"/>
          <w:i w:val="0"/>
          <w:iCs w:val="0"/>
          <w:color w:val="auto"/>
          <w:sz w:val="21"/>
          <w:szCs w:val="15"/>
          <w:highlight w:val="none"/>
        </w:rPr>
        <w:t>。</w:t>
      </w:r>
    </w:p>
    <w:p w14:paraId="56D13013">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投标人应在投标文件中详细描述蓝牙信标在不同环境或设备上的安装方式，并在设计联络阶段提交业主审查同意后实施。</w:t>
      </w:r>
    </w:p>
    <w:p w14:paraId="56D13014">
      <w:pPr>
        <w:pStyle w:val="5"/>
        <w:ind w:left="0"/>
        <w:rPr>
          <w:i w:val="0"/>
          <w:iCs w:val="0"/>
          <w:color w:val="auto"/>
          <w:sz w:val="22"/>
          <w:szCs w:val="22"/>
          <w:highlight w:val="none"/>
        </w:rPr>
      </w:pPr>
      <w:bookmarkStart w:id="317" w:name="_Toc20698"/>
      <w:r>
        <w:rPr>
          <w:rFonts w:hint="eastAsia"/>
          <w:i w:val="0"/>
          <w:iCs w:val="0"/>
          <w:color w:val="auto"/>
          <w:sz w:val="22"/>
          <w:szCs w:val="22"/>
          <w:highlight w:val="none"/>
        </w:rPr>
        <w:t>蓝牙工牌</w:t>
      </w:r>
      <w:bookmarkEnd w:id="317"/>
    </w:p>
    <w:p w14:paraId="56D13015">
      <w:pPr>
        <w:pStyle w:val="142"/>
        <w:ind w:firstLine="420"/>
        <w:rPr>
          <w:i w:val="0"/>
          <w:iCs w:val="0"/>
          <w:color w:val="auto"/>
          <w:sz w:val="21"/>
          <w:szCs w:val="15"/>
          <w:highlight w:val="none"/>
        </w:rPr>
      </w:pPr>
      <w:r>
        <w:rPr>
          <w:rFonts w:hint="eastAsia"/>
          <w:i w:val="0"/>
          <w:iCs w:val="0"/>
          <w:color w:val="auto"/>
          <w:sz w:val="21"/>
          <w:szCs w:val="15"/>
          <w:highlight w:val="none"/>
          <w:lang w:val="en-US"/>
        </w:rPr>
        <w:t>防护等级:IP65及以上；可充电；可链接</w:t>
      </w:r>
      <w:r>
        <w:rPr>
          <w:rFonts w:hint="eastAsia"/>
          <w:i w:val="0"/>
          <w:iCs w:val="0"/>
          <w:color w:val="auto"/>
          <w:sz w:val="21"/>
          <w:szCs w:val="15"/>
          <w:highlight w:val="none"/>
        </w:rPr>
        <w:t xml:space="preserve"> WiFi/以太网；LED 电源、连接服务器状态指示；工作温度 -10~50℃；工作湿度 5%~95%RH，无冷凝。</w:t>
      </w:r>
    </w:p>
    <w:p w14:paraId="56D13016">
      <w:pPr>
        <w:pStyle w:val="5"/>
        <w:ind w:left="0"/>
        <w:rPr>
          <w:i w:val="0"/>
          <w:iCs w:val="0"/>
          <w:color w:val="auto"/>
          <w:sz w:val="22"/>
          <w:szCs w:val="22"/>
          <w:highlight w:val="none"/>
        </w:rPr>
      </w:pPr>
      <w:bookmarkStart w:id="318" w:name="_Toc10102"/>
      <w:r>
        <w:rPr>
          <w:rFonts w:hint="eastAsia"/>
          <w:i w:val="0"/>
          <w:iCs w:val="0"/>
          <w:color w:val="auto"/>
          <w:sz w:val="22"/>
          <w:szCs w:val="22"/>
          <w:highlight w:val="none"/>
        </w:rPr>
        <w:t>基站</w:t>
      </w:r>
      <w:bookmarkEnd w:id="318"/>
    </w:p>
    <w:p w14:paraId="56D13017">
      <w:pPr>
        <w:pStyle w:val="142"/>
        <w:ind w:firstLine="420"/>
        <w:rPr>
          <w:i w:val="0"/>
          <w:iCs w:val="0"/>
          <w:color w:val="auto"/>
          <w:sz w:val="21"/>
          <w:szCs w:val="15"/>
          <w:highlight w:val="none"/>
        </w:rPr>
      </w:pPr>
      <w:r>
        <w:rPr>
          <w:rFonts w:hint="eastAsia"/>
          <w:i w:val="0"/>
          <w:iCs w:val="0"/>
          <w:color w:val="auto"/>
          <w:sz w:val="21"/>
          <w:szCs w:val="15"/>
          <w:highlight w:val="none"/>
        </w:rPr>
        <w:t>供电方式 DC 5V/1A, POE</w:t>
      </w:r>
      <w:r>
        <w:rPr>
          <w:rFonts w:hint="eastAsia"/>
          <w:i w:val="0"/>
          <w:iCs w:val="0"/>
          <w:color w:val="auto"/>
          <w:sz w:val="21"/>
          <w:szCs w:val="15"/>
          <w:highlight w:val="none"/>
          <w:lang w:val="en-US"/>
        </w:rPr>
        <w:t>供电</w:t>
      </w:r>
      <w:r>
        <w:rPr>
          <w:rFonts w:hint="eastAsia"/>
          <w:i w:val="0"/>
          <w:iCs w:val="0"/>
          <w:color w:val="auto"/>
          <w:sz w:val="21"/>
          <w:szCs w:val="15"/>
          <w:highlight w:val="none"/>
        </w:rPr>
        <w:t>；</w:t>
      </w:r>
    </w:p>
    <w:p w14:paraId="56D13018">
      <w:pPr>
        <w:pStyle w:val="142"/>
        <w:ind w:firstLine="420"/>
        <w:rPr>
          <w:i w:val="0"/>
          <w:iCs w:val="0"/>
          <w:color w:val="auto"/>
          <w:sz w:val="21"/>
          <w:szCs w:val="15"/>
          <w:highlight w:val="none"/>
        </w:rPr>
      </w:pPr>
      <w:r>
        <w:rPr>
          <w:rFonts w:hint="eastAsia"/>
          <w:i w:val="0"/>
          <w:iCs w:val="0"/>
          <w:color w:val="auto"/>
          <w:sz w:val="21"/>
          <w:szCs w:val="15"/>
          <w:highlight w:val="none"/>
        </w:rPr>
        <w:t>网络连接 WiFi/以太网；</w:t>
      </w:r>
    </w:p>
    <w:p w14:paraId="56D13019">
      <w:pPr>
        <w:pStyle w:val="142"/>
        <w:ind w:firstLine="420"/>
        <w:rPr>
          <w:i w:val="0"/>
          <w:iCs w:val="0"/>
          <w:color w:val="auto"/>
          <w:sz w:val="21"/>
          <w:szCs w:val="15"/>
          <w:highlight w:val="none"/>
        </w:rPr>
      </w:pPr>
      <w:r>
        <w:rPr>
          <w:rFonts w:hint="eastAsia"/>
          <w:i w:val="0"/>
          <w:iCs w:val="0"/>
          <w:color w:val="auto"/>
          <w:sz w:val="21"/>
          <w:szCs w:val="15"/>
          <w:highlight w:val="none"/>
        </w:rPr>
        <w:t>接口 1个10/100M RJ45，1个USB；</w:t>
      </w:r>
    </w:p>
    <w:p w14:paraId="56D1301A">
      <w:pPr>
        <w:pStyle w:val="142"/>
        <w:ind w:firstLine="420"/>
        <w:rPr>
          <w:i w:val="0"/>
          <w:iCs w:val="0"/>
          <w:color w:val="auto"/>
          <w:sz w:val="21"/>
          <w:szCs w:val="15"/>
          <w:highlight w:val="none"/>
        </w:rPr>
      </w:pPr>
      <w:r>
        <w:rPr>
          <w:rFonts w:hint="eastAsia"/>
          <w:i w:val="0"/>
          <w:iCs w:val="0"/>
          <w:color w:val="auto"/>
          <w:sz w:val="21"/>
          <w:szCs w:val="15"/>
          <w:highlight w:val="none"/>
        </w:rPr>
        <w:t>LED 电源、连接服务器状态指示；</w:t>
      </w:r>
    </w:p>
    <w:p w14:paraId="56D1301B">
      <w:pPr>
        <w:pStyle w:val="142"/>
        <w:ind w:firstLine="420"/>
        <w:rPr>
          <w:i w:val="0"/>
          <w:iCs w:val="0"/>
          <w:color w:val="auto"/>
          <w:sz w:val="21"/>
          <w:szCs w:val="15"/>
          <w:highlight w:val="none"/>
        </w:rPr>
      </w:pPr>
      <w:r>
        <w:rPr>
          <w:rFonts w:hint="eastAsia"/>
          <w:i w:val="0"/>
          <w:iCs w:val="0"/>
          <w:color w:val="auto"/>
          <w:sz w:val="21"/>
          <w:szCs w:val="15"/>
          <w:highlight w:val="none"/>
        </w:rPr>
        <w:t>工作温度 -10~50℃；</w:t>
      </w:r>
    </w:p>
    <w:p w14:paraId="56D1301C">
      <w:pPr>
        <w:pStyle w:val="142"/>
        <w:ind w:firstLine="420"/>
        <w:rPr>
          <w:i w:val="0"/>
          <w:iCs w:val="0"/>
          <w:color w:val="auto"/>
          <w:sz w:val="21"/>
          <w:szCs w:val="15"/>
          <w:highlight w:val="none"/>
        </w:rPr>
      </w:pPr>
      <w:r>
        <w:rPr>
          <w:rFonts w:hint="eastAsia"/>
          <w:i w:val="0"/>
          <w:iCs w:val="0"/>
          <w:color w:val="auto"/>
          <w:sz w:val="21"/>
          <w:szCs w:val="15"/>
          <w:highlight w:val="none"/>
        </w:rPr>
        <w:t>工作湿度 5%~95%RH，无冷凝。</w:t>
      </w:r>
    </w:p>
    <w:p w14:paraId="56D1301D">
      <w:pPr>
        <w:pStyle w:val="5"/>
        <w:ind w:left="0"/>
        <w:rPr>
          <w:i w:val="0"/>
          <w:iCs w:val="0"/>
          <w:color w:val="auto"/>
          <w:sz w:val="22"/>
          <w:szCs w:val="22"/>
          <w:highlight w:val="none"/>
        </w:rPr>
      </w:pPr>
      <w:bookmarkStart w:id="319" w:name="_Toc6457"/>
      <w:r>
        <w:rPr>
          <w:rFonts w:hint="eastAsia"/>
          <w:i w:val="0"/>
          <w:iCs w:val="0"/>
          <w:color w:val="auto"/>
          <w:sz w:val="22"/>
          <w:szCs w:val="22"/>
          <w:highlight w:val="none"/>
        </w:rPr>
        <w:t>交换机</w:t>
      </w:r>
      <w:bookmarkEnd w:id="319"/>
    </w:p>
    <w:p w14:paraId="56D1301E">
      <w:pPr>
        <w:pStyle w:val="142"/>
        <w:ind w:firstLine="420"/>
        <w:rPr>
          <w:i w:val="0"/>
          <w:iCs w:val="0"/>
          <w:color w:val="auto"/>
          <w:sz w:val="21"/>
          <w:szCs w:val="15"/>
          <w:highlight w:val="none"/>
        </w:rPr>
      </w:pPr>
      <w:r>
        <w:rPr>
          <w:rFonts w:hint="eastAsia"/>
          <w:i w:val="0"/>
          <w:iCs w:val="0"/>
          <w:color w:val="auto"/>
          <w:sz w:val="21"/>
          <w:szCs w:val="15"/>
          <w:highlight w:val="none"/>
        </w:rPr>
        <w:t>非网管型交换机，端口：</w:t>
      </w:r>
      <w:r>
        <w:rPr>
          <w:rFonts w:hint="eastAsia"/>
          <w:i w:val="0"/>
          <w:iCs w:val="0"/>
          <w:color w:val="auto"/>
          <w:sz w:val="21"/>
          <w:szCs w:val="15"/>
          <w:highlight w:val="none"/>
          <w:lang w:val="en-US"/>
        </w:rPr>
        <w:t>不小于</w:t>
      </w:r>
      <w:r>
        <w:rPr>
          <w:rFonts w:hint="eastAsia"/>
          <w:i w:val="0"/>
          <w:iCs w:val="0"/>
          <w:color w:val="auto"/>
          <w:sz w:val="21"/>
          <w:szCs w:val="15"/>
          <w:highlight w:val="none"/>
        </w:rPr>
        <w:t>6个百兆RJ45电口；</w:t>
      </w:r>
    </w:p>
    <w:p w14:paraId="56D1301F">
      <w:pPr>
        <w:pStyle w:val="142"/>
        <w:ind w:firstLine="420"/>
        <w:rPr>
          <w:i w:val="0"/>
          <w:iCs w:val="0"/>
          <w:color w:val="auto"/>
          <w:sz w:val="21"/>
          <w:szCs w:val="15"/>
          <w:highlight w:val="none"/>
        </w:rPr>
      </w:pPr>
      <w:r>
        <w:rPr>
          <w:rFonts w:hint="eastAsia"/>
          <w:i w:val="0"/>
          <w:iCs w:val="0"/>
          <w:color w:val="auto"/>
          <w:sz w:val="21"/>
          <w:szCs w:val="15"/>
          <w:highlight w:val="none"/>
        </w:rPr>
        <w:t>防护等级：不低于IP30；</w:t>
      </w:r>
    </w:p>
    <w:p w14:paraId="56D13020">
      <w:pPr>
        <w:pStyle w:val="142"/>
        <w:ind w:firstLine="420"/>
        <w:rPr>
          <w:i w:val="0"/>
          <w:iCs w:val="0"/>
          <w:color w:val="auto"/>
          <w:sz w:val="21"/>
          <w:szCs w:val="15"/>
          <w:highlight w:val="none"/>
        </w:rPr>
      </w:pPr>
      <w:r>
        <w:rPr>
          <w:rFonts w:hint="eastAsia"/>
          <w:i w:val="0"/>
          <w:iCs w:val="0"/>
          <w:color w:val="auto"/>
          <w:sz w:val="21"/>
          <w:szCs w:val="15"/>
          <w:highlight w:val="none"/>
        </w:rPr>
        <w:t>散热方式：自然冷却,无风扇</w:t>
      </w:r>
    </w:p>
    <w:p w14:paraId="56D13021">
      <w:pPr>
        <w:pStyle w:val="142"/>
        <w:ind w:firstLine="420"/>
        <w:rPr>
          <w:i w:val="0"/>
          <w:iCs w:val="0"/>
          <w:color w:val="auto"/>
          <w:sz w:val="21"/>
          <w:szCs w:val="15"/>
          <w:highlight w:val="none"/>
        </w:rPr>
      </w:pPr>
      <w:r>
        <w:rPr>
          <w:rFonts w:hint="eastAsia"/>
          <w:i w:val="0"/>
          <w:iCs w:val="0"/>
          <w:color w:val="auto"/>
          <w:sz w:val="21"/>
          <w:szCs w:val="15"/>
          <w:highlight w:val="none"/>
        </w:rPr>
        <w:t>工作温度：-10 - 60℃</w:t>
      </w:r>
    </w:p>
    <w:p w14:paraId="56D13022">
      <w:pPr>
        <w:pStyle w:val="142"/>
        <w:ind w:firstLine="420"/>
        <w:rPr>
          <w:i w:val="0"/>
          <w:iCs w:val="0"/>
          <w:color w:val="auto"/>
          <w:sz w:val="21"/>
          <w:szCs w:val="15"/>
          <w:highlight w:val="none"/>
        </w:rPr>
      </w:pPr>
      <w:r>
        <w:rPr>
          <w:rFonts w:hint="eastAsia"/>
          <w:i w:val="0"/>
          <w:iCs w:val="0"/>
          <w:color w:val="auto"/>
          <w:sz w:val="21"/>
          <w:szCs w:val="15"/>
          <w:highlight w:val="none"/>
        </w:rPr>
        <w:t>相对湿度：5～95%无凝露</w:t>
      </w:r>
    </w:p>
    <w:p w14:paraId="56D13023">
      <w:pPr>
        <w:pStyle w:val="4"/>
        <w:rPr>
          <w:i w:val="0"/>
          <w:iCs w:val="0"/>
          <w:color w:val="auto"/>
          <w:sz w:val="24"/>
          <w:szCs w:val="21"/>
          <w:highlight w:val="none"/>
        </w:rPr>
      </w:pPr>
      <w:bookmarkStart w:id="320" w:name="_Toc21207"/>
      <w:r>
        <w:rPr>
          <w:rFonts w:hint="eastAsia"/>
          <w:i w:val="0"/>
          <w:iCs w:val="0"/>
          <w:color w:val="auto"/>
          <w:sz w:val="24"/>
          <w:szCs w:val="21"/>
          <w:highlight w:val="none"/>
        </w:rPr>
        <w:t>云平台主要设备性能要求</w:t>
      </w:r>
      <w:bookmarkEnd w:id="320"/>
    </w:p>
    <w:p w14:paraId="56D13024">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投标人应保证所提供硬件与既有系统兼容，不因此影响既有系统运行。</w:t>
      </w:r>
    </w:p>
    <w:p w14:paraId="56D13025">
      <w:pPr>
        <w:pStyle w:val="142"/>
        <w:ind w:firstLine="420"/>
        <w:rPr>
          <w:i w:val="0"/>
          <w:iCs w:val="0"/>
          <w:color w:val="auto"/>
          <w:sz w:val="21"/>
          <w:szCs w:val="15"/>
          <w:highlight w:val="none"/>
          <w:lang w:val="en-US"/>
        </w:rPr>
      </w:pPr>
      <w:r>
        <w:rPr>
          <w:rFonts w:hint="eastAsia"/>
          <w:i w:val="0"/>
          <w:iCs w:val="0"/>
          <w:color w:val="auto"/>
          <w:sz w:val="21"/>
          <w:szCs w:val="15"/>
          <w:highlight w:val="none"/>
        </w:rPr>
        <w:t>投标人应</w:t>
      </w:r>
      <w:r>
        <w:rPr>
          <w:rFonts w:hint="eastAsia"/>
          <w:i w:val="0"/>
          <w:iCs w:val="0"/>
          <w:color w:val="auto"/>
          <w:sz w:val="21"/>
          <w:szCs w:val="15"/>
          <w:highlight w:val="none"/>
          <w:lang w:val="en-US"/>
        </w:rPr>
        <w:t>保证系统功能的实现，对</w:t>
      </w:r>
      <w:r>
        <w:rPr>
          <w:rFonts w:hint="eastAsia"/>
          <w:i w:val="0"/>
          <w:iCs w:val="0"/>
          <w:color w:val="auto"/>
          <w:sz w:val="21"/>
          <w:szCs w:val="15"/>
          <w:highlight w:val="none"/>
        </w:rPr>
        <w:t>所有可能发生的潜在费用进行综合评估，务必提供详细报价清单，相关费用纳入投标总报价。投标人如需增加设备才能满足相关功能时，应自行列入报价清单，计入投标总价，若因投标人因漏报、误报所造成的工程量增加的费用由投标人自行承担。</w:t>
      </w:r>
    </w:p>
    <w:p w14:paraId="56D13026">
      <w:pPr>
        <w:pStyle w:val="5"/>
        <w:ind w:left="0"/>
        <w:rPr>
          <w:i w:val="0"/>
          <w:iCs w:val="0"/>
          <w:color w:val="auto"/>
          <w:sz w:val="22"/>
          <w:szCs w:val="22"/>
          <w:highlight w:val="none"/>
          <w:lang w:val="en-US"/>
        </w:rPr>
      </w:pPr>
      <w:bookmarkStart w:id="321" w:name="_Toc27191"/>
      <w:r>
        <w:rPr>
          <w:rFonts w:hint="eastAsia"/>
          <w:i w:val="0"/>
          <w:iCs w:val="0"/>
          <w:color w:val="auto"/>
          <w:sz w:val="22"/>
          <w:szCs w:val="22"/>
          <w:highlight w:val="none"/>
          <w:lang w:val="en-US"/>
        </w:rPr>
        <w:t>核心交换机</w:t>
      </w:r>
      <w:bookmarkEnd w:id="321"/>
    </w:p>
    <w:p w14:paraId="56D13027">
      <w:pPr>
        <w:pStyle w:val="142"/>
        <w:ind w:firstLine="420"/>
        <w:rPr>
          <w:i w:val="0"/>
          <w:iCs w:val="0"/>
          <w:color w:val="auto"/>
          <w:sz w:val="21"/>
          <w:szCs w:val="15"/>
          <w:highlight w:val="none"/>
          <w:lang w:val="en-US"/>
        </w:rPr>
      </w:pPr>
      <w:r>
        <w:rPr>
          <w:i w:val="0"/>
          <w:iCs w:val="0"/>
          <w:color w:val="auto"/>
          <w:sz w:val="21"/>
          <w:szCs w:val="15"/>
          <w:highlight w:val="none"/>
          <w:lang w:val="en-US"/>
        </w:rPr>
        <w:t>1、交换容量≥</w:t>
      </w:r>
      <w:r>
        <w:rPr>
          <w:rFonts w:hint="eastAsia"/>
          <w:i w:val="0"/>
          <w:iCs w:val="0"/>
          <w:color w:val="auto"/>
          <w:sz w:val="21"/>
          <w:szCs w:val="15"/>
          <w:highlight w:val="none"/>
          <w:lang w:val="en-US"/>
        </w:rPr>
        <w:t>7</w:t>
      </w:r>
      <w:r>
        <w:rPr>
          <w:i w:val="0"/>
          <w:iCs w:val="0"/>
          <w:color w:val="auto"/>
          <w:sz w:val="21"/>
          <w:szCs w:val="15"/>
          <w:highlight w:val="none"/>
          <w:lang w:val="en-US"/>
        </w:rPr>
        <w:t>0Tbps，整机转发性能≥</w:t>
      </w:r>
      <w:r>
        <w:rPr>
          <w:rFonts w:hint="eastAsia"/>
          <w:i w:val="0"/>
          <w:iCs w:val="0"/>
          <w:color w:val="auto"/>
          <w:sz w:val="21"/>
          <w:szCs w:val="15"/>
          <w:highlight w:val="none"/>
          <w:lang w:val="en-US"/>
        </w:rPr>
        <w:t>80</w:t>
      </w:r>
      <w:r>
        <w:rPr>
          <w:i w:val="0"/>
          <w:iCs w:val="0"/>
          <w:color w:val="auto"/>
          <w:sz w:val="21"/>
          <w:szCs w:val="15"/>
          <w:highlight w:val="none"/>
          <w:lang w:val="en-US"/>
        </w:rPr>
        <w:t>00 Mpps</w:t>
      </w:r>
    </w:p>
    <w:p w14:paraId="56D13028">
      <w:pPr>
        <w:pStyle w:val="142"/>
        <w:ind w:firstLine="420"/>
        <w:rPr>
          <w:i w:val="0"/>
          <w:iCs w:val="0"/>
          <w:color w:val="auto"/>
          <w:sz w:val="21"/>
          <w:szCs w:val="15"/>
          <w:highlight w:val="none"/>
          <w:lang w:val="en-US"/>
        </w:rPr>
      </w:pPr>
      <w:r>
        <w:rPr>
          <w:i w:val="0"/>
          <w:iCs w:val="0"/>
          <w:color w:val="auto"/>
          <w:sz w:val="21"/>
          <w:szCs w:val="15"/>
          <w:highlight w:val="none"/>
          <w:lang w:val="en-US"/>
        </w:rPr>
        <w:t>2、采用CLOS多级交换架构，主控与交换网板物理分离；业务槽位数≥6个，独立交换网板数量≥1个 ，电源槽位数≥4个，支持冗余主控；</w:t>
      </w:r>
    </w:p>
    <w:p w14:paraId="56D13029">
      <w:pPr>
        <w:pStyle w:val="142"/>
        <w:ind w:firstLine="420"/>
        <w:rPr>
          <w:i w:val="0"/>
          <w:iCs w:val="0"/>
          <w:color w:val="auto"/>
          <w:sz w:val="21"/>
          <w:szCs w:val="15"/>
          <w:highlight w:val="none"/>
          <w:lang w:val="en-US"/>
        </w:rPr>
      </w:pPr>
      <w:r>
        <w:rPr>
          <w:i w:val="0"/>
          <w:iCs w:val="0"/>
          <w:color w:val="auto"/>
          <w:sz w:val="21"/>
          <w:szCs w:val="15"/>
          <w:highlight w:val="none"/>
          <w:lang w:val="en-US"/>
        </w:rPr>
        <w:t>3、支持静态路由、策略路由、等价路由、RIP v1/v2、OSPF、IS-IS和BGP等；支持IPv4和IPv6双协；支持RIPng、OSPFv3、IS-IS v6、BGP4+等；</w:t>
      </w:r>
    </w:p>
    <w:p w14:paraId="56D1302A">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4</w:t>
      </w:r>
      <w:r>
        <w:rPr>
          <w:i w:val="0"/>
          <w:iCs w:val="0"/>
          <w:color w:val="auto"/>
          <w:sz w:val="21"/>
          <w:szCs w:val="15"/>
          <w:highlight w:val="none"/>
          <w:lang w:val="en-US"/>
        </w:rPr>
        <w:t>、支持Web认证，支持MAC认证，支持AAA/Radius，支持SSHv1.5/SSHv2；</w:t>
      </w:r>
    </w:p>
    <w:p w14:paraId="56D1302B">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5</w:t>
      </w:r>
      <w:r>
        <w:rPr>
          <w:i w:val="0"/>
          <w:iCs w:val="0"/>
          <w:color w:val="auto"/>
          <w:sz w:val="21"/>
          <w:szCs w:val="15"/>
          <w:highlight w:val="none"/>
          <w:lang w:val="en-US"/>
        </w:rPr>
        <w:t>、本次实配主控数量≥2个，交流电源≥2个，满配交换网板；万兆SFP+光口≥48个，</w:t>
      </w:r>
      <w:r>
        <w:rPr>
          <w:rFonts w:hint="eastAsia"/>
          <w:i w:val="0"/>
          <w:iCs w:val="0"/>
          <w:color w:val="auto"/>
          <w:sz w:val="21"/>
          <w:szCs w:val="15"/>
          <w:highlight w:val="none"/>
          <w:lang w:val="en-US"/>
        </w:rPr>
        <w:t>4</w:t>
      </w:r>
      <w:r>
        <w:rPr>
          <w:i w:val="0"/>
          <w:iCs w:val="0"/>
          <w:color w:val="auto"/>
          <w:sz w:val="21"/>
          <w:szCs w:val="15"/>
          <w:highlight w:val="none"/>
          <w:lang w:val="en-US"/>
        </w:rPr>
        <w:t>0G QSFP+光口≥6个 ；配置24个万兆多模光模块 ，4个万兆单模光模块，2个40G多模光模块，1条5米40G虚拟化线缆</w:t>
      </w:r>
      <w:r>
        <w:rPr>
          <w:rFonts w:hint="eastAsia"/>
          <w:i w:val="0"/>
          <w:iCs w:val="0"/>
          <w:color w:val="auto"/>
          <w:sz w:val="21"/>
          <w:szCs w:val="15"/>
          <w:highlight w:val="none"/>
          <w:lang w:val="en-US"/>
        </w:rPr>
        <w:t>。</w:t>
      </w:r>
    </w:p>
    <w:p w14:paraId="56D1302C">
      <w:pPr>
        <w:pStyle w:val="5"/>
        <w:ind w:left="0"/>
        <w:rPr>
          <w:i w:val="0"/>
          <w:iCs w:val="0"/>
          <w:color w:val="auto"/>
          <w:sz w:val="22"/>
          <w:szCs w:val="22"/>
          <w:highlight w:val="none"/>
          <w:lang w:val="en-US"/>
        </w:rPr>
      </w:pPr>
      <w:bookmarkStart w:id="322" w:name="_Toc19544"/>
      <w:r>
        <w:rPr>
          <w:rFonts w:hint="eastAsia"/>
          <w:i w:val="0"/>
          <w:iCs w:val="0"/>
          <w:color w:val="auto"/>
          <w:sz w:val="22"/>
          <w:szCs w:val="22"/>
          <w:highlight w:val="none"/>
          <w:lang w:val="en-US"/>
        </w:rPr>
        <w:t>业务交换机</w:t>
      </w:r>
      <w:bookmarkEnd w:id="322"/>
    </w:p>
    <w:p w14:paraId="56D1302D">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w:t>
      </w:r>
      <w:r>
        <w:rPr>
          <w:i w:val="0"/>
          <w:iCs w:val="0"/>
          <w:color w:val="auto"/>
          <w:sz w:val="21"/>
          <w:szCs w:val="15"/>
          <w:highlight w:val="none"/>
          <w:lang w:val="en-US"/>
        </w:rPr>
        <w:t>交换容量≥4.3Tbps，包转发率≥1600Mpps；</w:t>
      </w:r>
    </w:p>
    <w:p w14:paraId="56D1302E">
      <w:pPr>
        <w:pStyle w:val="142"/>
        <w:ind w:firstLine="420"/>
        <w:rPr>
          <w:i w:val="0"/>
          <w:iCs w:val="0"/>
          <w:color w:val="auto"/>
          <w:sz w:val="21"/>
          <w:szCs w:val="15"/>
          <w:highlight w:val="none"/>
          <w:lang w:val="en-US"/>
        </w:rPr>
      </w:pPr>
      <w:r>
        <w:rPr>
          <w:i w:val="0"/>
          <w:iCs w:val="0"/>
          <w:color w:val="auto"/>
          <w:sz w:val="21"/>
          <w:szCs w:val="15"/>
          <w:highlight w:val="none"/>
          <w:lang w:val="en-US"/>
        </w:rPr>
        <w:t>2、固定1/10G SFP+端口≥48，固定</w:t>
      </w:r>
      <w:r>
        <w:rPr>
          <w:rFonts w:hint="eastAsia"/>
          <w:i w:val="0"/>
          <w:iCs w:val="0"/>
          <w:color w:val="auto"/>
          <w:sz w:val="21"/>
          <w:szCs w:val="15"/>
          <w:highlight w:val="none"/>
          <w:lang w:val="en-US"/>
        </w:rPr>
        <w:t>4</w:t>
      </w:r>
      <w:r>
        <w:rPr>
          <w:i w:val="0"/>
          <w:iCs w:val="0"/>
          <w:color w:val="auto"/>
          <w:sz w:val="21"/>
          <w:szCs w:val="15"/>
          <w:highlight w:val="none"/>
          <w:lang w:val="en-US"/>
        </w:rPr>
        <w:t xml:space="preserve">0G QSFP+端口≥6，千兆带外管理 ≥1；USB口≥1 用于管理和存储文件； </w:t>
      </w:r>
    </w:p>
    <w:p w14:paraId="56D1302F">
      <w:pPr>
        <w:pStyle w:val="142"/>
        <w:ind w:firstLine="420"/>
        <w:rPr>
          <w:i w:val="0"/>
          <w:iCs w:val="0"/>
          <w:color w:val="auto"/>
          <w:sz w:val="21"/>
          <w:szCs w:val="15"/>
          <w:highlight w:val="none"/>
          <w:lang w:val="en-US"/>
        </w:rPr>
      </w:pPr>
      <w:r>
        <w:rPr>
          <w:i w:val="0"/>
          <w:iCs w:val="0"/>
          <w:color w:val="auto"/>
          <w:sz w:val="21"/>
          <w:szCs w:val="15"/>
          <w:highlight w:val="none"/>
          <w:lang w:val="en-US"/>
        </w:rPr>
        <w:t>3、支持跨框链路聚合，要求配对设备有独立控制平面，非堆叠等多虚一技术实现；</w:t>
      </w:r>
    </w:p>
    <w:p w14:paraId="56D13030">
      <w:pPr>
        <w:pStyle w:val="142"/>
        <w:ind w:firstLine="420"/>
        <w:rPr>
          <w:i w:val="0"/>
          <w:iCs w:val="0"/>
          <w:color w:val="auto"/>
          <w:sz w:val="21"/>
          <w:szCs w:val="15"/>
          <w:highlight w:val="none"/>
          <w:lang w:val="en-US"/>
        </w:rPr>
      </w:pPr>
      <w:r>
        <w:rPr>
          <w:i w:val="0"/>
          <w:iCs w:val="0"/>
          <w:color w:val="auto"/>
          <w:sz w:val="21"/>
          <w:szCs w:val="15"/>
          <w:highlight w:val="none"/>
          <w:lang w:val="en-US"/>
        </w:rPr>
        <w:t>4、支持SDN，支持VXLAN；</w:t>
      </w:r>
    </w:p>
    <w:p w14:paraId="56D13031">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5</w:t>
      </w:r>
      <w:r>
        <w:rPr>
          <w:i w:val="0"/>
          <w:iCs w:val="0"/>
          <w:color w:val="auto"/>
          <w:sz w:val="21"/>
          <w:szCs w:val="15"/>
          <w:highlight w:val="none"/>
          <w:lang w:val="en-US"/>
        </w:rPr>
        <w:t>、配置2电源模块，2风扇模块，48个万兆多模光模块，2个40G多模光模块，1条40G虚拟化线缆带光模块</w:t>
      </w:r>
      <w:r>
        <w:rPr>
          <w:rFonts w:hint="eastAsia"/>
          <w:i w:val="0"/>
          <w:iCs w:val="0"/>
          <w:color w:val="auto"/>
          <w:sz w:val="21"/>
          <w:szCs w:val="15"/>
          <w:highlight w:val="none"/>
          <w:lang w:val="en-US"/>
        </w:rPr>
        <w:t>。</w:t>
      </w:r>
    </w:p>
    <w:p w14:paraId="56D13032">
      <w:pPr>
        <w:pStyle w:val="5"/>
        <w:ind w:left="0"/>
        <w:rPr>
          <w:i w:val="0"/>
          <w:iCs w:val="0"/>
          <w:color w:val="auto"/>
          <w:sz w:val="22"/>
          <w:szCs w:val="22"/>
          <w:highlight w:val="none"/>
          <w:lang w:val="en-US"/>
        </w:rPr>
      </w:pPr>
      <w:bookmarkStart w:id="323" w:name="_Toc18205"/>
      <w:r>
        <w:rPr>
          <w:rFonts w:hint="eastAsia"/>
          <w:i w:val="0"/>
          <w:iCs w:val="0"/>
          <w:color w:val="auto"/>
          <w:sz w:val="22"/>
          <w:szCs w:val="22"/>
          <w:highlight w:val="none"/>
          <w:lang w:val="en-US"/>
        </w:rPr>
        <w:t>云业务服务器</w:t>
      </w:r>
      <w:bookmarkEnd w:id="323"/>
    </w:p>
    <w:p w14:paraId="56D13033">
      <w:pPr>
        <w:pStyle w:val="142"/>
        <w:ind w:firstLine="420"/>
        <w:rPr>
          <w:i w:val="0"/>
          <w:iCs w:val="0"/>
          <w:color w:val="auto"/>
          <w:sz w:val="21"/>
          <w:szCs w:val="15"/>
          <w:highlight w:val="none"/>
          <w:lang w:val="en-US"/>
        </w:rPr>
      </w:pPr>
      <w:r>
        <w:rPr>
          <w:i w:val="0"/>
          <w:iCs w:val="0"/>
          <w:color w:val="auto"/>
          <w:sz w:val="21"/>
          <w:szCs w:val="15"/>
          <w:highlight w:val="none"/>
          <w:lang w:val="en-US"/>
        </w:rPr>
        <w:t>1.基本规格：2U机架式，含上架导轨；</w:t>
      </w:r>
    </w:p>
    <w:p w14:paraId="56D13034">
      <w:pPr>
        <w:pStyle w:val="142"/>
        <w:ind w:firstLine="420"/>
        <w:rPr>
          <w:i w:val="0"/>
          <w:iCs w:val="0"/>
          <w:color w:val="auto"/>
          <w:sz w:val="21"/>
          <w:szCs w:val="15"/>
          <w:highlight w:val="none"/>
          <w:lang w:val="en-US"/>
        </w:rPr>
      </w:pPr>
      <w:r>
        <w:rPr>
          <w:i w:val="0"/>
          <w:iCs w:val="0"/>
          <w:color w:val="auto"/>
          <w:sz w:val="21"/>
          <w:szCs w:val="15"/>
          <w:highlight w:val="none"/>
          <w:lang w:val="en-US"/>
        </w:rPr>
        <w:t>2.处理器：配置2颗Intel Xeon  Gold 6530（2.1GHz/32C/160MB）及以上规格处理器；</w:t>
      </w:r>
    </w:p>
    <w:p w14:paraId="56D13035">
      <w:pPr>
        <w:pStyle w:val="142"/>
        <w:ind w:firstLine="420"/>
        <w:rPr>
          <w:i w:val="0"/>
          <w:iCs w:val="0"/>
          <w:color w:val="auto"/>
          <w:sz w:val="21"/>
          <w:szCs w:val="15"/>
          <w:highlight w:val="none"/>
          <w:lang w:val="en-US"/>
        </w:rPr>
      </w:pPr>
      <w:r>
        <w:rPr>
          <w:i w:val="0"/>
          <w:iCs w:val="0"/>
          <w:color w:val="auto"/>
          <w:sz w:val="21"/>
          <w:szCs w:val="15"/>
          <w:highlight w:val="none"/>
          <w:lang w:val="en-US"/>
        </w:rPr>
        <w:t>3.内存：配置24*64GB 4800MHz DDR5内存，配置≥32个DDR5内存插槽，支持高级内存纠错、内存镜像、内存热备等高级功能；</w:t>
      </w:r>
    </w:p>
    <w:p w14:paraId="56D13036">
      <w:pPr>
        <w:pStyle w:val="142"/>
        <w:ind w:firstLine="420"/>
        <w:rPr>
          <w:i w:val="0"/>
          <w:iCs w:val="0"/>
          <w:color w:val="auto"/>
          <w:sz w:val="21"/>
          <w:szCs w:val="15"/>
          <w:highlight w:val="none"/>
          <w:lang w:val="en-US"/>
        </w:rPr>
      </w:pPr>
      <w:r>
        <w:rPr>
          <w:i w:val="0"/>
          <w:iCs w:val="0"/>
          <w:color w:val="auto"/>
          <w:sz w:val="21"/>
          <w:szCs w:val="15"/>
          <w:highlight w:val="none"/>
          <w:lang w:val="en-US"/>
        </w:rPr>
        <w:t>4.硬盘：配置2块960GB SSD硬盘，1块3.84T NVMe SSD硬盘；</w:t>
      </w:r>
    </w:p>
    <w:p w14:paraId="56D13037">
      <w:pPr>
        <w:pStyle w:val="142"/>
        <w:ind w:firstLine="420"/>
        <w:rPr>
          <w:i w:val="0"/>
          <w:iCs w:val="0"/>
          <w:color w:val="auto"/>
          <w:sz w:val="21"/>
          <w:szCs w:val="15"/>
          <w:highlight w:val="none"/>
          <w:lang w:val="en-US"/>
        </w:rPr>
      </w:pPr>
      <w:r>
        <w:rPr>
          <w:i w:val="0"/>
          <w:iCs w:val="0"/>
          <w:color w:val="auto"/>
          <w:sz w:val="21"/>
          <w:szCs w:val="15"/>
          <w:highlight w:val="none"/>
          <w:lang w:val="en-US"/>
        </w:rPr>
        <w:t>5.阵列卡：配置1块2G缓存高性能八通道RAID卡，支持raid0/1/5/50/6/60等主流磁盘阵列模式；</w:t>
      </w:r>
    </w:p>
    <w:p w14:paraId="56D13038">
      <w:pPr>
        <w:pStyle w:val="142"/>
        <w:ind w:firstLine="420"/>
        <w:rPr>
          <w:i w:val="0"/>
          <w:iCs w:val="0"/>
          <w:color w:val="auto"/>
          <w:sz w:val="21"/>
          <w:szCs w:val="15"/>
          <w:highlight w:val="none"/>
          <w:lang w:val="en-US"/>
        </w:rPr>
      </w:pPr>
      <w:r>
        <w:rPr>
          <w:i w:val="0"/>
          <w:iCs w:val="0"/>
          <w:color w:val="auto"/>
          <w:sz w:val="21"/>
          <w:szCs w:val="15"/>
          <w:highlight w:val="none"/>
          <w:lang w:val="en-US"/>
        </w:rPr>
        <w:t>6.网络：配置1块4端口千兆电口网卡，配置1块双端口万兆以太网卡（满配万兆多模光模块）；</w:t>
      </w:r>
    </w:p>
    <w:p w14:paraId="56D13039">
      <w:pPr>
        <w:pStyle w:val="142"/>
        <w:ind w:firstLine="420"/>
        <w:rPr>
          <w:i w:val="0"/>
          <w:iCs w:val="0"/>
          <w:color w:val="auto"/>
          <w:sz w:val="21"/>
          <w:szCs w:val="15"/>
          <w:highlight w:val="none"/>
          <w:lang w:val="en-US"/>
        </w:rPr>
      </w:pPr>
      <w:r>
        <w:rPr>
          <w:i w:val="0"/>
          <w:iCs w:val="0"/>
          <w:color w:val="auto"/>
          <w:sz w:val="21"/>
          <w:szCs w:val="15"/>
          <w:highlight w:val="none"/>
          <w:lang w:val="en-US"/>
        </w:rPr>
        <w:t>7.HBA卡：配置1块双口16G HBA卡（满配16G多模光模块）</w:t>
      </w:r>
      <w:r>
        <w:rPr>
          <w:rFonts w:hint="eastAsia"/>
          <w:i w:val="0"/>
          <w:iCs w:val="0"/>
          <w:color w:val="auto"/>
          <w:sz w:val="21"/>
          <w:szCs w:val="15"/>
          <w:highlight w:val="none"/>
          <w:lang w:val="en-US"/>
        </w:rPr>
        <w:t>或以上规格</w:t>
      </w:r>
      <w:r>
        <w:rPr>
          <w:i w:val="0"/>
          <w:iCs w:val="0"/>
          <w:color w:val="auto"/>
          <w:sz w:val="21"/>
          <w:szCs w:val="15"/>
          <w:highlight w:val="none"/>
          <w:lang w:val="en-US"/>
        </w:rPr>
        <w:t>；</w:t>
      </w:r>
    </w:p>
    <w:p w14:paraId="56D1303A">
      <w:pPr>
        <w:pStyle w:val="142"/>
        <w:ind w:firstLine="420"/>
        <w:rPr>
          <w:i w:val="0"/>
          <w:iCs w:val="0"/>
          <w:color w:val="auto"/>
          <w:sz w:val="21"/>
          <w:szCs w:val="15"/>
          <w:highlight w:val="none"/>
          <w:lang w:val="en-US"/>
        </w:rPr>
      </w:pPr>
      <w:r>
        <w:rPr>
          <w:i w:val="0"/>
          <w:iCs w:val="0"/>
          <w:color w:val="auto"/>
          <w:sz w:val="21"/>
          <w:szCs w:val="15"/>
          <w:highlight w:val="none"/>
          <w:lang w:val="en-US"/>
        </w:rPr>
        <w:t>8.管理：配置1个1Gb独立的远程管理控制端口</w:t>
      </w:r>
      <w:r>
        <w:rPr>
          <w:rFonts w:hint="eastAsia"/>
          <w:i w:val="0"/>
          <w:iCs w:val="0"/>
          <w:color w:val="auto"/>
          <w:sz w:val="21"/>
          <w:szCs w:val="15"/>
          <w:highlight w:val="none"/>
          <w:lang w:val="en-US"/>
        </w:rPr>
        <w:t>（含永久授权）</w:t>
      </w:r>
      <w:r>
        <w:rPr>
          <w:i w:val="0"/>
          <w:iCs w:val="0"/>
          <w:color w:val="auto"/>
          <w:sz w:val="21"/>
          <w:szCs w:val="15"/>
          <w:highlight w:val="none"/>
          <w:lang w:val="en-US"/>
        </w:rPr>
        <w:t>；配置虚拟KVM功能,可实现与操作系统无关的远程对服务器的完全控制，包括远程的开机、关机、重启、更新Firmware、虚拟光驱、虚拟文件夹等操作</w:t>
      </w:r>
      <w:r>
        <w:rPr>
          <w:rFonts w:hint="eastAsia"/>
          <w:i w:val="0"/>
          <w:iCs w:val="0"/>
          <w:color w:val="auto"/>
          <w:sz w:val="21"/>
          <w:szCs w:val="15"/>
          <w:highlight w:val="none"/>
          <w:lang w:val="en-US"/>
        </w:rPr>
        <w:t>；</w:t>
      </w:r>
    </w:p>
    <w:p w14:paraId="56D1303B">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9.电源：至少包含两个电源模块；</w:t>
      </w:r>
    </w:p>
    <w:p w14:paraId="56D1303C">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10.服务：2年原厂或原厂授权质保服务。</w:t>
      </w:r>
    </w:p>
    <w:p w14:paraId="56D1303D">
      <w:pPr>
        <w:pStyle w:val="5"/>
        <w:ind w:left="0"/>
        <w:rPr>
          <w:i w:val="0"/>
          <w:iCs w:val="0"/>
          <w:color w:val="auto"/>
          <w:sz w:val="22"/>
          <w:szCs w:val="22"/>
          <w:highlight w:val="none"/>
          <w:lang w:val="en-US"/>
        </w:rPr>
      </w:pPr>
      <w:bookmarkStart w:id="324" w:name="_Toc23746"/>
      <w:r>
        <w:rPr>
          <w:rFonts w:hint="eastAsia"/>
          <w:i w:val="0"/>
          <w:iCs w:val="0"/>
          <w:color w:val="auto"/>
          <w:sz w:val="22"/>
          <w:szCs w:val="22"/>
          <w:highlight w:val="none"/>
          <w:lang w:val="en-US"/>
        </w:rPr>
        <w:t>GPU服务器</w:t>
      </w:r>
      <w:bookmarkEnd w:id="324"/>
    </w:p>
    <w:p w14:paraId="56D1303E">
      <w:pPr>
        <w:pStyle w:val="142"/>
        <w:ind w:firstLine="420"/>
        <w:rPr>
          <w:i w:val="0"/>
          <w:iCs w:val="0"/>
          <w:color w:val="auto"/>
          <w:sz w:val="21"/>
          <w:szCs w:val="15"/>
          <w:highlight w:val="none"/>
          <w:lang w:val="en-US"/>
        </w:rPr>
      </w:pPr>
      <w:r>
        <w:rPr>
          <w:i w:val="0"/>
          <w:iCs w:val="0"/>
          <w:color w:val="auto"/>
          <w:sz w:val="21"/>
          <w:szCs w:val="15"/>
          <w:highlight w:val="none"/>
          <w:lang w:val="en-US"/>
        </w:rPr>
        <w:t>1.cpu：不少于4颗处理器，单颗主频不少于2.6GHZ，核心数不小于48核；</w:t>
      </w:r>
    </w:p>
    <w:p w14:paraId="56D1303F">
      <w:pPr>
        <w:pStyle w:val="142"/>
        <w:ind w:firstLine="420"/>
        <w:rPr>
          <w:i w:val="0"/>
          <w:iCs w:val="0"/>
          <w:color w:val="auto"/>
          <w:sz w:val="21"/>
          <w:szCs w:val="15"/>
          <w:highlight w:val="none"/>
          <w:lang w:val="en-US"/>
        </w:rPr>
      </w:pPr>
      <w:r>
        <w:rPr>
          <w:i w:val="0"/>
          <w:iCs w:val="0"/>
          <w:color w:val="auto"/>
          <w:sz w:val="21"/>
          <w:szCs w:val="15"/>
          <w:highlight w:val="none"/>
          <w:lang w:val="en-US"/>
        </w:rPr>
        <w:t>2.内存：不小于512GBDDR4内存；</w:t>
      </w:r>
    </w:p>
    <w:p w14:paraId="56D13040">
      <w:pPr>
        <w:pStyle w:val="142"/>
        <w:ind w:firstLine="420"/>
        <w:rPr>
          <w:i w:val="0"/>
          <w:iCs w:val="0"/>
          <w:color w:val="auto"/>
          <w:sz w:val="21"/>
          <w:szCs w:val="15"/>
          <w:highlight w:val="none"/>
          <w:lang w:val="en-US"/>
        </w:rPr>
      </w:pPr>
      <w:r>
        <w:rPr>
          <w:i w:val="0"/>
          <w:iCs w:val="0"/>
          <w:color w:val="auto"/>
          <w:sz w:val="21"/>
          <w:szCs w:val="15"/>
          <w:highlight w:val="none"/>
          <w:lang w:val="en-US"/>
        </w:rPr>
        <w:t>3.硬盘：2*960GB SSD，2*7.68TB NVMe SSD或以上规格；</w:t>
      </w:r>
    </w:p>
    <w:p w14:paraId="56D13041">
      <w:pPr>
        <w:pStyle w:val="142"/>
        <w:ind w:firstLine="420"/>
        <w:rPr>
          <w:i w:val="0"/>
          <w:iCs w:val="0"/>
          <w:color w:val="auto"/>
          <w:sz w:val="21"/>
          <w:szCs w:val="15"/>
          <w:highlight w:val="none"/>
          <w:lang w:val="en-US"/>
        </w:rPr>
      </w:pPr>
      <w:r>
        <w:rPr>
          <w:i w:val="0"/>
          <w:iCs w:val="0"/>
          <w:color w:val="auto"/>
          <w:sz w:val="21"/>
          <w:szCs w:val="15"/>
          <w:highlight w:val="none"/>
          <w:lang w:val="en-US"/>
        </w:rPr>
        <w:t>4.阵列卡：配置1块1G缓存高性能八通道RAID卡，支持raid0/1/5/50/6/60等主流磁盘阵列模式；</w:t>
      </w:r>
    </w:p>
    <w:p w14:paraId="56D13042">
      <w:pPr>
        <w:pStyle w:val="142"/>
        <w:ind w:firstLine="420"/>
        <w:rPr>
          <w:i w:val="0"/>
          <w:iCs w:val="0"/>
          <w:color w:val="auto"/>
          <w:sz w:val="21"/>
          <w:szCs w:val="15"/>
          <w:highlight w:val="none"/>
          <w:lang w:val="en-US"/>
        </w:rPr>
      </w:pPr>
      <w:r>
        <w:rPr>
          <w:i w:val="0"/>
          <w:iCs w:val="0"/>
          <w:color w:val="auto"/>
          <w:sz w:val="21"/>
          <w:szCs w:val="15"/>
          <w:highlight w:val="none"/>
          <w:lang w:val="en-US"/>
        </w:rPr>
        <w:t>5.GPU：需配备支持推理与视觉的专业显卡，单卡显存≥40GB，总显存≥512GB，总并发≥24，FP32单精度算力≥32 TFLOPS，INT8算力&gt;190 TOPS；</w:t>
      </w:r>
    </w:p>
    <w:p w14:paraId="56D13043">
      <w:pPr>
        <w:pStyle w:val="142"/>
        <w:ind w:firstLine="420"/>
        <w:rPr>
          <w:i w:val="0"/>
          <w:iCs w:val="0"/>
          <w:color w:val="auto"/>
          <w:sz w:val="21"/>
          <w:szCs w:val="15"/>
          <w:highlight w:val="none"/>
          <w:lang w:val="en-US"/>
        </w:rPr>
      </w:pPr>
      <w:r>
        <w:rPr>
          <w:i w:val="0"/>
          <w:iCs w:val="0"/>
          <w:color w:val="auto"/>
          <w:sz w:val="21"/>
          <w:szCs w:val="15"/>
          <w:highlight w:val="none"/>
          <w:lang w:val="en-US"/>
        </w:rPr>
        <w:t>6.网络：千兆端口≥4，万兆端口≥2，及相应光模块；</w:t>
      </w:r>
    </w:p>
    <w:p w14:paraId="56D13044">
      <w:pPr>
        <w:pStyle w:val="142"/>
        <w:ind w:firstLine="420"/>
        <w:rPr>
          <w:i w:val="0"/>
          <w:iCs w:val="0"/>
          <w:color w:val="auto"/>
          <w:sz w:val="21"/>
          <w:szCs w:val="15"/>
          <w:highlight w:val="none"/>
          <w:lang w:val="en-US"/>
        </w:rPr>
      </w:pPr>
      <w:r>
        <w:rPr>
          <w:i w:val="0"/>
          <w:iCs w:val="0"/>
          <w:color w:val="auto"/>
          <w:sz w:val="21"/>
          <w:szCs w:val="15"/>
          <w:highlight w:val="none"/>
          <w:lang w:val="en-US"/>
        </w:rPr>
        <w:t>7.管理：配置1个1Gb独立的远程管理控制端口（含</w:t>
      </w:r>
      <w:r>
        <w:rPr>
          <w:rFonts w:hint="eastAsia"/>
          <w:i w:val="0"/>
          <w:iCs w:val="0"/>
          <w:color w:val="auto"/>
          <w:sz w:val="21"/>
          <w:szCs w:val="15"/>
          <w:highlight w:val="none"/>
          <w:lang w:val="en-US"/>
        </w:rPr>
        <w:t>永久</w:t>
      </w:r>
      <w:r>
        <w:rPr>
          <w:i w:val="0"/>
          <w:iCs w:val="0"/>
          <w:color w:val="auto"/>
          <w:sz w:val="21"/>
          <w:szCs w:val="15"/>
          <w:highlight w:val="none"/>
          <w:lang w:val="en-US"/>
        </w:rPr>
        <w:t>授权）：支持虚拟KVM功能,括远程的开机、关机、重启、更新Firmware、虚拟光驱、虚拟文件夹等操作；</w:t>
      </w:r>
    </w:p>
    <w:p w14:paraId="56D13045">
      <w:pPr>
        <w:pStyle w:val="142"/>
        <w:ind w:firstLine="420"/>
        <w:rPr>
          <w:i w:val="0"/>
          <w:iCs w:val="0"/>
          <w:color w:val="auto"/>
          <w:sz w:val="21"/>
          <w:szCs w:val="15"/>
          <w:highlight w:val="none"/>
          <w:lang w:val="en-US"/>
        </w:rPr>
      </w:pPr>
      <w:r>
        <w:rPr>
          <w:i w:val="0"/>
          <w:iCs w:val="0"/>
          <w:color w:val="auto"/>
          <w:sz w:val="21"/>
          <w:szCs w:val="15"/>
          <w:highlight w:val="none"/>
          <w:lang w:val="en-US"/>
        </w:rPr>
        <w:t>8.电源：至少包含两个电源模块；</w:t>
      </w:r>
    </w:p>
    <w:p w14:paraId="56D13046">
      <w:pPr>
        <w:pStyle w:val="142"/>
        <w:ind w:firstLine="420"/>
        <w:rPr>
          <w:i w:val="0"/>
          <w:iCs w:val="0"/>
          <w:color w:val="auto"/>
          <w:sz w:val="21"/>
          <w:szCs w:val="15"/>
          <w:highlight w:val="none"/>
          <w:lang w:val="en-US"/>
        </w:rPr>
      </w:pPr>
      <w:r>
        <w:rPr>
          <w:i w:val="0"/>
          <w:iCs w:val="0"/>
          <w:color w:val="auto"/>
          <w:sz w:val="21"/>
          <w:szCs w:val="15"/>
          <w:highlight w:val="none"/>
          <w:lang w:val="en-US"/>
        </w:rPr>
        <w:t>9.服务：</w:t>
      </w:r>
      <w:r>
        <w:rPr>
          <w:rFonts w:hint="eastAsia"/>
          <w:i w:val="0"/>
          <w:iCs w:val="0"/>
          <w:color w:val="auto"/>
          <w:sz w:val="21"/>
          <w:szCs w:val="15"/>
          <w:highlight w:val="none"/>
          <w:lang w:val="en-US"/>
        </w:rPr>
        <w:t>2</w:t>
      </w:r>
      <w:r>
        <w:rPr>
          <w:i w:val="0"/>
          <w:iCs w:val="0"/>
          <w:color w:val="auto"/>
          <w:sz w:val="21"/>
          <w:szCs w:val="15"/>
          <w:highlight w:val="none"/>
          <w:lang w:val="en-US"/>
        </w:rPr>
        <w:t>年原厂或原厂授权质保服务。</w:t>
      </w:r>
    </w:p>
    <w:p w14:paraId="56D13047">
      <w:pPr>
        <w:pStyle w:val="5"/>
        <w:ind w:left="0"/>
        <w:rPr>
          <w:i w:val="0"/>
          <w:iCs w:val="0"/>
          <w:color w:val="auto"/>
          <w:sz w:val="22"/>
          <w:szCs w:val="22"/>
          <w:highlight w:val="none"/>
          <w:lang w:val="en-US"/>
        </w:rPr>
      </w:pPr>
      <w:bookmarkStart w:id="325" w:name="_Toc5668"/>
      <w:r>
        <w:rPr>
          <w:rFonts w:hint="eastAsia"/>
          <w:i w:val="0"/>
          <w:iCs w:val="0"/>
          <w:color w:val="auto"/>
          <w:sz w:val="22"/>
          <w:szCs w:val="22"/>
          <w:highlight w:val="none"/>
          <w:lang w:val="en-US"/>
        </w:rPr>
        <w:t>光纤存储交换机</w:t>
      </w:r>
      <w:bookmarkEnd w:id="325"/>
    </w:p>
    <w:p w14:paraId="56D13048">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光纤交换机技术指标应满足如下要求：</w:t>
      </w:r>
    </w:p>
    <w:p w14:paraId="56D13049">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1.单台端口数≥16个；</w:t>
      </w:r>
    </w:p>
    <w:p w14:paraId="56D1304A">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2.每台激活配置≥16个16Gb FC端口，及相应光模块；</w:t>
      </w:r>
    </w:p>
    <w:p w14:paraId="56D1304B">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3.支持16Gbps全双工及以上；</w:t>
      </w:r>
    </w:p>
    <w:p w14:paraId="56D1304C">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4.至少支持4、8、16 Gbps端口速度自适应；</w:t>
      </w:r>
    </w:p>
    <w:p w14:paraId="56D1304D">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5.支持热插拔的标准的SFP模块；图形化界面管理，支持SNMP、Telnet等。</w:t>
      </w:r>
    </w:p>
    <w:p w14:paraId="56D1304E">
      <w:pPr>
        <w:pStyle w:val="5"/>
        <w:ind w:left="0"/>
        <w:rPr>
          <w:i w:val="0"/>
          <w:iCs w:val="0"/>
          <w:color w:val="auto"/>
          <w:sz w:val="22"/>
          <w:szCs w:val="22"/>
          <w:highlight w:val="none"/>
          <w:lang w:val="en-US"/>
        </w:rPr>
      </w:pPr>
      <w:bookmarkStart w:id="326" w:name="_Toc5758"/>
      <w:r>
        <w:rPr>
          <w:rFonts w:hint="eastAsia"/>
          <w:i w:val="0"/>
          <w:iCs w:val="0"/>
          <w:color w:val="auto"/>
          <w:sz w:val="22"/>
          <w:szCs w:val="22"/>
          <w:highlight w:val="none"/>
          <w:lang w:val="en-US"/>
        </w:rPr>
        <w:t>光纤接入交换机</w:t>
      </w:r>
      <w:bookmarkEnd w:id="326"/>
    </w:p>
    <w:p w14:paraId="56D1304F">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光纤交换机技术指标应满足如下要求：</w:t>
      </w:r>
    </w:p>
    <w:p w14:paraId="56D13050">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1、交换容量4.3Tbps，包转发率1600Mpps；</w:t>
      </w:r>
    </w:p>
    <w:p w14:paraId="56D13051">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 xml:space="preserve">2、固定1/10G SFP+端口≥48，固定40G QSFP+端口≥6，千兆带外管理 ≥1；USB口≥1 用于管理和存储文件； </w:t>
      </w:r>
    </w:p>
    <w:p w14:paraId="56D13052">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3、硬件芯片：采用成熟商用交换芯片；</w:t>
      </w:r>
    </w:p>
    <w:p w14:paraId="56D13053">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4、支持SDN， 支持VXLAN；</w:t>
      </w:r>
    </w:p>
    <w:p w14:paraId="56D13054">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5、配置2电源模块，2风扇模块。</w:t>
      </w:r>
    </w:p>
    <w:p w14:paraId="56D13055">
      <w:pPr>
        <w:pStyle w:val="142"/>
        <w:ind w:firstLine="420"/>
        <w:rPr>
          <w:i w:val="0"/>
          <w:iCs w:val="0"/>
          <w:color w:val="auto"/>
          <w:sz w:val="21"/>
          <w:szCs w:val="15"/>
          <w:highlight w:val="none"/>
          <w:lang w:val="en-US"/>
        </w:rPr>
      </w:pPr>
    </w:p>
    <w:p w14:paraId="56D13056">
      <w:pPr>
        <w:pStyle w:val="5"/>
        <w:ind w:left="0"/>
        <w:rPr>
          <w:i w:val="0"/>
          <w:iCs w:val="0"/>
          <w:color w:val="auto"/>
          <w:sz w:val="21"/>
          <w:szCs w:val="15"/>
          <w:highlight w:val="none"/>
          <w:lang w:val="en-US"/>
        </w:rPr>
      </w:pPr>
      <w:bookmarkStart w:id="327" w:name="_Toc32161"/>
      <w:r>
        <w:rPr>
          <w:rFonts w:hint="eastAsia"/>
          <w:i w:val="0"/>
          <w:iCs w:val="0"/>
          <w:color w:val="auto"/>
          <w:sz w:val="21"/>
          <w:szCs w:val="15"/>
          <w:highlight w:val="none"/>
          <w:lang w:val="en-US"/>
        </w:rPr>
        <w:t>云管服务器</w:t>
      </w:r>
      <w:bookmarkEnd w:id="327"/>
    </w:p>
    <w:p w14:paraId="56D13057">
      <w:pPr>
        <w:pStyle w:val="142"/>
        <w:ind w:firstLine="420"/>
        <w:rPr>
          <w:i w:val="0"/>
          <w:iCs w:val="0"/>
          <w:color w:val="auto"/>
          <w:sz w:val="21"/>
          <w:szCs w:val="15"/>
          <w:highlight w:val="none"/>
          <w:lang w:val="en-US"/>
        </w:rPr>
      </w:pPr>
      <w:r>
        <w:rPr>
          <w:i w:val="0"/>
          <w:iCs w:val="0"/>
          <w:color w:val="auto"/>
          <w:sz w:val="21"/>
          <w:szCs w:val="15"/>
          <w:highlight w:val="none"/>
          <w:lang w:val="en-US"/>
        </w:rPr>
        <w:t>1.基本规格：2U机架式，含上架导轨；</w:t>
      </w:r>
    </w:p>
    <w:p w14:paraId="56D13058">
      <w:pPr>
        <w:pStyle w:val="142"/>
        <w:ind w:firstLine="420"/>
        <w:rPr>
          <w:i w:val="0"/>
          <w:iCs w:val="0"/>
          <w:color w:val="auto"/>
          <w:sz w:val="21"/>
          <w:szCs w:val="15"/>
          <w:highlight w:val="none"/>
          <w:lang w:val="en-US"/>
        </w:rPr>
      </w:pPr>
      <w:r>
        <w:rPr>
          <w:i w:val="0"/>
          <w:iCs w:val="0"/>
          <w:color w:val="auto"/>
          <w:sz w:val="21"/>
          <w:szCs w:val="15"/>
          <w:highlight w:val="none"/>
          <w:lang w:val="en-US"/>
        </w:rPr>
        <w:t>2.处理器：配置2颗Intel Xeon 4514Y（2.0GHz/16C/30MB）及以上规格处理器；</w:t>
      </w:r>
    </w:p>
    <w:p w14:paraId="56D13059">
      <w:pPr>
        <w:pStyle w:val="142"/>
        <w:ind w:firstLine="420"/>
        <w:rPr>
          <w:i w:val="0"/>
          <w:iCs w:val="0"/>
          <w:color w:val="auto"/>
          <w:sz w:val="21"/>
          <w:szCs w:val="15"/>
          <w:highlight w:val="none"/>
          <w:lang w:val="en-US"/>
        </w:rPr>
      </w:pPr>
      <w:r>
        <w:rPr>
          <w:i w:val="0"/>
          <w:iCs w:val="0"/>
          <w:color w:val="auto"/>
          <w:sz w:val="21"/>
          <w:szCs w:val="15"/>
          <w:highlight w:val="none"/>
          <w:lang w:val="en-US"/>
        </w:rPr>
        <w:t>3.内存：配置256GB 5600MHz DDR5内存，配置≥32个DDR5内存插槽，支持高级内存纠错、内存镜像、内存热备等高级功能；</w:t>
      </w:r>
    </w:p>
    <w:p w14:paraId="56D1305A">
      <w:pPr>
        <w:pStyle w:val="142"/>
        <w:ind w:firstLine="420"/>
        <w:rPr>
          <w:i w:val="0"/>
          <w:iCs w:val="0"/>
          <w:color w:val="auto"/>
          <w:sz w:val="21"/>
          <w:szCs w:val="15"/>
          <w:highlight w:val="none"/>
          <w:lang w:val="en-US"/>
        </w:rPr>
      </w:pPr>
      <w:r>
        <w:rPr>
          <w:i w:val="0"/>
          <w:iCs w:val="0"/>
          <w:color w:val="auto"/>
          <w:sz w:val="21"/>
          <w:szCs w:val="15"/>
          <w:highlight w:val="none"/>
          <w:lang w:val="en-US"/>
        </w:rPr>
        <w:t>4.硬盘：配置2块960GB SSD硬盘，配置4块4TB 7.2K RPM SATA数据盘；</w:t>
      </w:r>
    </w:p>
    <w:p w14:paraId="56D1305B">
      <w:pPr>
        <w:pStyle w:val="142"/>
        <w:ind w:firstLine="420"/>
        <w:rPr>
          <w:i w:val="0"/>
          <w:iCs w:val="0"/>
          <w:color w:val="auto"/>
          <w:sz w:val="21"/>
          <w:szCs w:val="15"/>
          <w:highlight w:val="none"/>
          <w:lang w:val="en-US"/>
        </w:rPr>
      </w:pPr>
      <w:r>
        <w:rPr>
          <w:i w:val="0"/>
          <w:iCs w:val="0"/>
          <w:color w:val="auto"/>
          <w:sz w:val="21"/>
          <w:szCs w:val="15"/>
          <w:highlight w:val="none"/>
          <w:lang w:val="en-US"/>
        </w:rPr>
        <w:t>5.阵列卡：配置1块2G缓存高性能八通道RAID卡，支持raid0/1/5/6；</w:t>
      </w:r>
    </w:p>
    <w:p w14:paraId="56D1305C">
      <w:pPr>
        <w:pStyle w:val="142"/>
        <w:ind w:firstLine="420"/>
        <w:rPr>
          <w:i w:val="0"/>
          <w:iCs w:val="0"/>
          <w:color w:val="auto"/>
          <w:sz w:val="21"/>
          <w:szCs w:val="15"/>
          <w:highlight w:val="none"/>
          <w:lang w:val="en-US"/>
        </w:rPr>
      </w:pPr>
      <w:r>
        <w:rPr>
          <w:i w:val="0"/>
          <w:iCs w:val="0"/>
          <w:color w:val="auto"/>
          <w:sz w:val="21"/>
          <w:szCs w:val="15"/>
          <w:highlight w:val="none"/>
          <w:lang w:val="en-US"/>
        </w:rPr>
        <w:t>6.网络：配置1块4端口千兆电口网卡，配置≥2块双端口万兆以太网卡（满配万兆多模光模块）；</w:t>
      </w:r>
    </w:p>
    <w:p w14:paraId="56D1305D">
      <w:pPr>
        <w:pStyle w:val="142"/>
        <w:ind w:firstLine="420"/>
        <w:rPr>
          <w:i w:val="0"/>
          <w:iCs w:val="0"/>
          <w:color w:val="auto"/>
          <w:sz w:val="21"/>
          <w:szCs w:val="15"/>
          <w:highlight w:val="none"/>
          <w:lang w:val="en-US"/>
        </w:rPr>
      </w:pPr>
      <w:r>
        <w:rPr>
          <w:i w:val="0"/>
          <w:iCs w:val="0"/>
          <w:color w:val="auto"/>
          <w:sz w:val="21"/>
          <w:szCs w:val="15"/>
          <w:highlight w:val="none"/>
          <w:lang w:val="en-US"/>
        </w:rPr>
        <w:t>7.HBA卡：配置1块双口16G HBA卡（满配16G多模光模块）；</w:t>
      </w:r>
    </w:p>
    <w:p w14:paraId="56D1305E">
      <w:pPr>
        <w:pStyle w:val="142"/>
        <w:ind w:firstLine="420"/>
        <w:rPr>
          <w:i w:val="0"/>
          <w:iCs w:val="0"/>
          <w:color w:val="auto"/>
          <w:sz w:val="21"/>
          <w:szCs w:val="15"/>
          <w:highlight w:val="none"/>
          <w:lang w:val="en-US"/>
        </w:rPr>
      </w:pPr>
      <w:r>
        <w:rPr>
          <w:i w:val="0"/>
          <w:iCs w:val="0"/>
          <w:color w:val="auto"/>
          <w:sz w:val="21"/>
          <w:szCs w:val="15"/>
          <w:highlight w:val="none"/>
          <w:lang w:val="en-US"/>
        </w:rPr>
        <w:t>8.管理：配置1个1Gb独立的远程管理控制端口（含</w:t>
      </w:r>
      <w:r>
        <w:rPr>
          <w:rFonts w:hint="eastAsia"/>
          <w:i w:val="0"/>
          <w:iCs w:val="0"/>
          <w:color w:val="auto"/>
          <w:sz w:val="21"/>
          <w:szCs w:val="15"/>
          <w:highlight w:val="none"/>
          <w:lang w:val="en-US"/>
        </w:rPr>
        <w:t>永久</w:t>
      </w:r>
      <w:r>
        <w:rPr>
          <w:i w:val="0"/>
          <w:iCs w:val="0"/>
          <w:color w:val="auto"/>
          <w:sz w:val="21"/>
          <w:szCs w:val="15"/>
          <w:highlight w:val="none"/>
          <w:lang w:val="en-US"/>
        </w:rPr>
        <w:t>授权）；配置虚拟KVM功能,可实现与操作系统无关的远程对服务器的完全控制，包括远程的开机、关机、重启、更新Firmware、虚拟光驱、虚拟文件夹等操作</w:t>
      </w:r>
      <w:r>
        <w:rPr>
          <w:rFonts w:hint="eastAsia"/>
          <w:i w:val="0"/>
          <w:iCs w:val="0"/>
          <w:color w:val="auto"/>
          <w:sz w:val="21"/>
          <w:szCs w:val="15"/>
          <w:highlight w:val="none"/>
          <w:lang w:val="en-US"/>
        </w:rPr>
        <w:t>。</w:t>
      </w:r>
    </w:p>
    <w:p w14:paraId="56D1305F">
      <w:pPr>
        <w:pStyle w:val="5"/>
        <w:ind w:left="0"/>
        <w:rPr>
          <w:i w:val="0"/>
          <w:iCs w:val="0"/>
          <w:color w:val="auto"/>
          <w:sz w:val="22"/>
          <w:szCs w:val="22"/>
          <w:highlight w:val="none"/>
          <w:lang w:val="en-US"/>
        </w:rPr>
      </w:pPr>
      <w:bookmarkStart w:id="328" w:name="_Toc1685"/>
      <w:r>
        <w:rPr>
          <w:rFonts w:hint="eastAsia"/>
          <w:i w:val="0"/>
          <w:iCs w:val="0"/>
          <w:color w:val="auto"/>
          <w:sz w:val="22"/>
          <w:szCs w:val="22"/>
          <w:highlight w:val="none"/>
          <w:lang w:val="en-US"/>
        </w:rPr>
        <w:t>云管理交换机</w:t>
      </w:r>
      <w:bookmarkEnd w:id="328"/>
    </w:p>
    <w:p w14:paraId="56D13060">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1、交换容量432Gbps，包转发率166Mpps；</w:t>
      </w:r>
    </w:p>
    <w:p w14:paraId="56D13061">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2、48个千兆电接口，支持4个万兆光端口；</w:t>
      </w:r>
    </w:p>
    <w:p w14:paraId="56D13062">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3、三层功能：支持IPv4静态路由，RIPv1&amp;v2，OSPFv2， ECMP，ICMP、策略路由， VRF ;</w:t>
      </w:r>
    </w:p>
    <w:p w14:paraId="56D13063">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4、可靠性：实现跨设备间的链路聚合；</w:t>
      </w:r>
    </w:p>
    <w:p w14:paraId="56D13064">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5、配置4个万兆多模光模块。</w:t>
      </w:r>
    </w:p>
    <w:p w14:paraId="56D13065">
      <w:pPr>
        <w:pStyle w:val="5"/>
        <w:ind w:left="0"/>
        <w:rPr>
          <w:i w:val="0"/>
          <w:iCs w:val="0"/>
          <w:color w:val="auto"/>
          <w:sz w:val="22"/>
          <w:szCs w:val="22"/>
          <w:highlight w:val="none"/>
          <w:lang w:val="en-US"/>
        </w:rPr>
      </w:pPr>
      <w:bookmarkStart w:id="329" w:name="_Toc3026"/>
      <w:r>
        <w:rPr>
          <w:rFonts w:hint="eastAsia"/>
          <w:i w:val="0"/>
          <w:iCs w:val="0"/>
          <w:color w:val="auto"/>
          <w:sz w:val="22"/>
          <w:szCs w:val="22"/>
          <w:highlight w:val="none"/>
          <w:lang w:val="en-US"/>
        </w:rPr>
        <w:t>集中存储</w:t>
      </w:r>
      <w:bookmarkEnd w:id="329"/>
    </w:p>
    <w:p w14:paraId="56D13066">
      <w:pPr>
        <w:pStyle w:val="142"/>
        <w:ind w:firstLine="420"/>
        <w:rPr>
          <w:i w:val="0"/>
          <w:iCs w:val="0"/>
          <w:color w:val="auto"/>
          <w:sz w:val="21"/>
          <w:szCs w:val="15"/>
          <w:highlight w:val="none"/>
          <w:lang w:val="en-US"/>
        </w:rPr>
      </w:pPr>
      <w:r>
        <w:rPr>
          <w:i w:val="0"/>
          <w:iCs w:val="0"/>
          <w:color w:val="auto"/>
          <w:sz w:val="21"/>
          <w:szCs w:val="15"/>
          <w:highlight w:val="none"/>
          <w:lang w:val="en-US"/>
        </w:rPr>
        <w:t>1.机型：标准机架式设备，盘控一体，含上架导轨；</w:t>
      </w:r>
    </w:p>
    <w:p w14:paraId="56D13067">
      <w:pPr>
        <w:pStyle w:val="142"/>
        <w:ind w:firstLine="420"/>
        <w:rPr>
          <w:i w:val="0"/>
          <w:iCs w:val="0"/>
          <w:color w:val="auto"/>
          <w:sz w:val="21"/>
          <w:szCs w:val="15"/>
          <w:highlight w:val="none"/>
          <w:lang w:val="en-US"/>
        </w:rPr>
      </w:pPr>
      <w:r>
        <w:rPr>
          <w:i w:val="0"/>
          <w:iCs w:val="0"/>
          <w:color w:val="auto"/>
          <w:sz w:val="21"/>
          <w:szCs w:val="15"/>
          <w:highlight w:val="none"/>
          <w:lang w:val="en-US"/>
        </w:rPr>
        <w:t>2.控制器：标配≥2个控制器，可扩展到≥16控，标配BBU+Flash，双热插拔电源；</w:t>
      </w:r>
    </w:p>
    <w:p w14:paraId="56D13068">
      <w:pPr>
        <w:pStyle w:val="142"/>
        <w:ind w:firstLine="420"/>
        <w:rPr>
          <w:i w:val="0"/>
          <w:iCs w:val="0"/>
          <w:color w:val="auto"/>
          <w:sz w:val="21"/>
          <w:szCs w:val="15"/>
          <w:highlight w:val="none"/>
          <w:lang w:val="en-US"/>
        </w:rPr>
      </w:pPr>
      <w:r>
        <w:rPr>
          <w:i w:val="0"/>
          <w:iCs w:val="0"/>
          <w:color w:val="auto"/>
          <w:sz w:val="21"/>
          <w:szCs w:val="15"/>
          <w:highlight w:val="none"/>
          <w:lang w:val="en-US"/>
        </w:rPr>
        <w:t>3.系统缓存：双控配置≥512GB高速缓存（纯硬件缓存，非SSD、非高速Flash充当缓存或者非PC服务器内存）；</w:t>
      </w:r>
    </w:p>
    <w:p w14:paraId="56D13069">
      <w:pPr>
        <w:pStyle w:val="142"/>
        <w:ind w:firstLine="420"/>
        <w:rPr>
          <w:i w:val="0"/>
          <w:iCs w:val="0"/>
          <w:color w:val="auto"/>
          <w:sz w:val="21"/>
          <w:szCs w:val="15"/>
          <w:highlight w:val="none"/>
          <w:lang w:val="en-US"/>
        </w:rPr>
      </w:pPr>
      <w:r>
        <w:rPr>
          <w:i w:val="0"/>
          <w:iCs w:val="0"/>
          <w:color w:val="auto"/>
          <w:sz w:val="21"/>
          <w:szCs w:val="15"/>
          <w:highlight w:val="none"/>
          <w:lang w:val="en-US"/>
        </w:rPr>
        <w:t>4.主机接口：每控≥3个I/O接口槽，配置8个千兆电和8个16Gb主机接口；</w:t>
      </w:r>
    </w:p>
    <w:p w14:paraId="56D1306A">
      <w:pPr>
        <w:pStyle w:val="142"/>
        <w:ind w:firstLine="420"/>
        <w:rPr>
          <w:i w:val="0"/>
          <w:iCs w:val="0"/>
          <w:color w:val="auto"/>
          <w:sz w:val="21"/>
          <w:szCs w:val="15"/>
          <w:highlight w:val="none"/>
          <w:lang w:val="en-US"/>
        </w:rPr>
      </w:pPr>
      <w:r>
        <w:rPr>
          <w:i w:val="0"/>
          <w:iCs w:val="0"/>
          <w:color w:val="auto"/>
          <w:sz w:val="21"/>
          <w:szCs w:val="15"/>
          <w:highlight w:val="none"/>
          <w:lang w:val="en-US"/>
        </w:rPr>
        <w:t>5.硬盘：支持SSD、SAS、NL_SAS硬盘，</w:t>
      </w:r>
      <w:r>
        <w:rPr>
          <w:rFonts w:hint="eastAsia"/>
          <w:i w:val="0"/>
          <w:iCs w:val="0"/>
          <w:color w:val="auto"/>
          <w:sz w:val="21"/>
          <w:szCs w:val="15"/>
          <w:highlight w:val="none"/>
          <w:lang w:val="en-US"/>
        </w:rPr>
        <w:t>至少配置</w:t>
      </w:r>
      <w:r>
        <w:rPr>
          <w:i w:val="0"/>
          <w:iCs w:val="0"/>
          <w:color w:val="auto"/>
          <w:sz w:val="21"/>
          <w:szCs w:val="15"/>
          <w:highlight w:val="none"/>
          <w:lang w:val="en-US"/>
        </w:rPr>
        <w:t>48块2.4TB 10K RPM SAS硬盘</w:t>
      </w:r>
      <w:r>
        <w:rPr>
          <w:rFonts w:hint="eastAsia"/>
          <w:i w:val="0"/>
          <w:iCs w:val="0"/>
          <w:color w:val="auto"/>
          <w:sz w:val="21"/>
          <w:szCs w:val="15"/>
          <w:highlight w:val="none"/>
          <w:lang w:val="en-US"/>
        </w:rPr>
        <w:t>，实际可利用存储容量≥80T，单磁盘≥8T；支持硬盘混插，数据在线迁移功能</w:t>
      </w:r>
      <w:r>
        <w:rPr>
          <w:i w:val="0"/>
          <w:iCs w:val="0"/>
          <w:color w:val="auto"/>
          <w:sz w:val="21"/>
          <w:szCs w:val="15"/>
          <w:highlight w:val="none"/>
          <w:lang w:val="en-US"/>
        </w:rPr>
        <w:t>。</w:t>
      </w:r>
    </w:p>
    <w:p w14:paraId="56D1306B">
      <w:pPr>
        <w:pStyle w:val="142"/>
        <w:ind w:firstLine="420"/>
        <w:rPr>
          <w:i w:val="0"/>
          <w:iCs w:val="0"/>
          <w:color w:val="auto"/>
          <w:sz w:val="21"/>
          <w:szCs w:val="15"/>
          <w:highlight w:val="none"/>
          <w:lang w:val="en-US"/>
        </w:rPr>
      </w:pPr>
      <w:r>
        <w:rPr>
          <w:i w:val="0"/>
          <w:iCs w:val="0"/>
          <w:color w:val="auto"/>
          <w:sz w:val="21"/>
          <w:szCs w:val="15"/>
          <w:highlight w:val="none"/>
          <w:lang w:val="en-US"/>
        </w:rPr>
        <w:t>6.功能授权：配置自动精简、快照、克隆、卷备份、卷镜像、QoS等功能授权；支持存储虚拟化、SSD缓存加速等功能扩展；</w:t>
      </w:r>
    </w:p>
    <w:p w14:paraId="56D1306C">
      <w:pPr>
        <w:pStyle w:val="142"/>
        <w:ind w:firstLine="420"/>
        <w:rPr>
          <w:i w:val="0"/>
          <w:iCs w:val="0"/>
          <w:color w:val="auto"/>
          <w:sz w:val="21"/>
          <w:szCs w:val="15"/>
          <w:highlight w:val="none"/>
          <w:lang w:val="en-US"/>
        </w:rPr>
      </w:pPr>
      <w:r>
        <w:rPr>
          <w:i w:val="0"/>
          <w:iCs w:val="0"/>
          <w:color w:val="auto"/>
          <w:sz w:val="21"/>
          <w:szCs w:val="15"/>
          <w:highlight w:val="none"/>
          <w:lang w:val="en-US"/>
        </w:rPr>
        <w:t>7.配置BBU电池保护模组</w:t>
      </w:r>
      <w:r>
        <w:rPr>
          <w:rFonts w:hint="eastAsia"/>
          <w:i w:val="0"/>
          <w:iCs w:val="0"/>
          <w:color w:val="auto"/>
          <w:sz w:val="21"/>
          <w:szCs w:val="15"/>
          <w:highlight w:val="none"/>
          <w:lang w:val="en-US"/>
        </w:rPr>
        <w:t>，</w:t>
      </w:r>
      <w:r>
        <w:rPr>
          <w:i w:val="0"/>
          <w:iCs w:val="0"/>
          <w:color w:val="auto"/>
          <w:sz w:val="21"/>
          <w:szCs w:val="15"/>
          <w:highlight w:val="none"/>
          <w:lang w:val="en-US"/>
        </w:rPr>
        <w:t>保证掉电时Cache数据可安全写入Flash或硬盘永久保存</w:t>
      </w:r>
      <w:r>
        <w:rPr>
          <w:rFonts w:hint="eastAsia"/>
          <w:i w:val="0"/>
          <w:iCs w:val="0"/>
          <w:color w:val="auto"/>
          <w:sz w:val="21"/>
          <w:szCs w:val="15"/>
          <w:highlight w:val="none"/>
          <w:lang w:val="en-US"/>
        </w:rPr>
        <w:t>。</w:t>
      </w:r>
    </w:p>
    <w:p w14:paraId="56D1306D">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8.</w:t>
      </w:r>
      <w:r>
        <w:rPr>
          <w:i w:val="0"/>
          <w:iCs w:val="0"/>
          <w:color w:val="auto"/>
          <w:sz w:val="21"/>
          <w:szCs w:val="15"/>
          <w:highlight w:val="none"/>
          <w:lang w:val="en-US"/>
        </w:rPr>
        <w:t>支持图形化界面管理</w:t>
      </w:r>
      <w:r>
        <w:rPr>
          <w:rFonts w:hint="eastAsia"/>
          <w:i w:val="0"/>
          <w:iCs w:val="0"/>
          <w:color w:val="auto"/>
          <w:sz w:val="21"/>
          <w:szCs w:val="15"/>
          <w:highlight w:val="none"/>
          <w:lang w:val="en-US"/>
        </w:rPr>
        <w:t>，</w:t>
      </w:r>
      <w:r>
        <w:rPr>
          <w:i w:val="0"/>
          <w:iCs w:val="0"/>
          <w:color w:val="auto"/>
          <w:sz w:val="21"/>
          <w:szCs w:val="15"/>
          <w:highlight w:val="none"/>
          <w:lang w:val="en-US"/>
        </w:rPr>
        <w:t>支持硬盘混插，支持硬盘之间动态迁移数据</w:t>
      </w:r>
      <w:r>
        <w:rPr>
          <w:rFonts w:hint="eastAsia"/>
          <w:i w:val="0"/>
          <w:iCs w:val="0"/>
          <w:color w:val="auto"/>
          <w:sz w:val="21"/>
          <w:szCs w:val="15"/>
          <w:highlight w:val="none"/>
          <w:lang w:val="en-US"/>
        </w:rPr>
        <w:t>。</w:t>
      </w:r>
      <w:r>
        <w:rPr>
          <w:i w:val="0"/>
          <w:iCs w:val="0"/>
          <w:color w:val="auto"/>
          <w:sz w:val="21"/>
          <w:szCs w:val="15"/>
          <w:highlight w:val="none"/>
          <w:lang w:val="en-US"/>
        </w:rPr>
        <w:t xml:space="preserve"> </w:t>
      </w:r>
    </w:p>
    <w:p w14:paraId="56D1306E">
      <w:pPr>
        <w:pStyle w:val="142"/>
        <w:ind w:firstLine="420"/>
        <w:rPr>
          <w:i w:val="0"/>
          <w:iCs w:val="0"/>
          <w:color w:val="auto"/>
          <w:sz w:val="21"/>
          <w:szCs w:val="15"/>
          <w:highlight w:val="none"/>
          <w:lang w:val="en-US"/>
        </w:rPr>
      </w:pPr>
    </w:p>
    <w:p w14:paraId="56D1306F">
      <w:pPr>
        <w:pStyle w:val="5"/>
        <w:ind w:left="0"/>
        <w:rPr>
          <w:i w:val="0"/>
          <w:iCs w:val="0"/>
          <w:color w:val="auto"/>
          <w:sz w:val="21"/>
          <w:szCs w:val="15"/>
          <w:highlight w:val="none"/>
          <w:lang w:val="en-US"/>
        </w:rPr>
      </w:pPr>
      <w:bookmarkStart w:id="330" w:name="_Toc19009"/>
      <w:r>
        <w:rPr>
          <w:rFonts w:hint="eastAsia"/>
          <w:i w:val="0"/>
          <w:iCs w:val="0"/>
          <w:color w:val="auto"/>
          <w:sz w:val="21"/>
          <w:szCs w:val="15"/>
          <w:highlight w:val="none"/>
          <w:lang w:val="en-US"/>
        </w:rPr>
        <w:t>备份一体机</w:t>
      </w:r>
      <w:bookmarkEnd w:id="330"/>
    </w:p>
    <w:p w14:paraId="56D13070">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1.至少需支持32 Gbps FC端口；</w:t>
      </w:r>
    </w:p>
    <w:p w14:paraId="56D13071">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2.备份存储容量≥60T，含全功能、全容量备份许可；</w:t>
      </w:r>
    </w:p>
    <w:p w14:paraId="56D13072">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3.支持对操作系统的在线完全及增量备份，支持原机及异机进行恢复；</w:t>
      </w:r>
    </w:p>
    <w:p w14:paraId="56D13073">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4.支持对SQLServer、Oracle、MySQL、达梦等主流应用进行在线备份保护；</w:t>
      </w:r>
    </w:p>
    <w:p w14:paraId="56D13074">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5.支持VMWare、Hyper-V、KVM、RHEV等主流虚拟化平台备份，支持Openstcak、H3C等主流云平台备份；</w:t>
      </w:r>
    </w:p>
    <w:p w14:paraId="56D13075">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6.支持数据压缩与去重功能；</w:t>
      </w:r>
    </w:p>
    <w:p w14:paraId="56D13076">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7.支持图形化界面管理；</w:t>
      </w:r>
    </w:p>
    <w:p w14:paraId="56D13077">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8.支持存储扩容，并预留扩容磁盘位（同规格磁盘情况下至少可扩容当前容量的50%）。</w:t>
      </w:r>
    </w:p>
    <w:p w14:paraId="56D13078">
      <w:pPr>
        <w:pStyle w:val="142"/>
        <w:ind w:firstLine="420"/>
        <w:rPr>
          <w:i w:val="0"/>
          <w:iCs w:val="0"/>
          <w:color w:val="auto"/>
          <w:sz w:val="21"/>
          <w:szCs w:val="15"/>
          <w:highlight w:val="none"/>
          <w:lang w:val="en-US"/>
        </w:rPr>
      </w:pPr>
      <w:r>
        <w:rPr>
          <w:i w:val="0"/>
          <w:iCs w:val="0"/>
          <w:color w:val="auto"/>
          <w:sz w:val="21"/>
          <w:szCs w:val="15"/>
          <w:highlight w:val="none"/>
          <w:lang w:val="en-US"/>
        </w:rPr>
        <w:t>9.配置≥2 颗英特尔至强处理器，单颗处理器≥2.1GHz，核</w:t>
      </w:r>
    </w:p>
    <w:p w14:paraId="56D13079">
      <w:pPr>
        <w:pStyle w:val="142"/>
        <w:ind w:firstLine="420"/>
        <w:rPr>
          <w:i w:val="0"/>
          <w:iCs w:val="0"/>
          <w:color w:val="auto"/>
          <w:sz w:val="21"/>
          <w:szCs w:val="15"/>
          <w:highlight w:val="none"/>
          <w:lang w:val="en-US"/>
        </w:rPr>
      </w:pPr>
      <w:r>
        <w:rPr>
          <w:i w:val="0"/>
          <w:iCs w:val="0"/>
          <w:color w:val="auto"/>
          <w:sz w:val="21"/>
          <w:szCs w:val="15"/>
          <w:highlight w:val="none"/>
          <w:lang w:val="en-US"/>
        </w:rPr>
        <w:t>心数≥12；</w:t>
      </w:r>
    </w:p>
    <w:p w14:paraId="56D1307A">
      <w:pPr>
        <w:pStyle w:val="142"/>
        <w:ind w:firstLine="420"/>
        <w:rPr>
          <w:i w:val="0"/>
          <w:iCs w:val="0"/>
          <w:color w:val="auto"/>
          <w:sz w:val="21"/>
          <w:szCs w:val="15"/>
          <w:highlight w:val="none"/>
          <w:lang w:val="en-US"/>
        </w:rPr>
      </w:pPr>
      <w:r>
        <w:rPr>
          <w:i w:val="0"/>
          <w:iCs w:val="0"/>
          <w:color w:val="auto"/>
          <w:sz w:val="21"/>
          <w:szCs w:val="15"/>
          <w:highlight w:val="none"/>
          <w:lang w:val="en-US"/>
        </w:rPr>
        <w:t>10.配置≥64GB 内存，配置≥12 块 8TB SATA 7.2K 硬盘；配置 11 块 240G SSD 独立系统盘；</w:t>
      </w:r>
    </w:p>
    <w:p w14:paraId="56D1307B">
      <w:pPr>
        <w:pStyle w:val="142"/>
        <w:ind w:firstLine="420"/>
        <w:rPr>
          <w:i w:val="0"/>
          <w:iCs w:val="0"/>
          <w:color w:val="auto"/>
          <w:sz w:val="21"/>
          <w:szCs w:val="15"/>
          <w:highlight w:val="none"/>
          <w:lang w:val="en-US"/>
        </w:rPr>
      </w:pPr>
      <w:r>
        <w:rPr>
          <w:i w:val="0"/>
          <w:iCs w:val="0"/>
          <w:color w:val="auto"/>
          <w:sz w:val="21"/>
          <w:szCs w:val="15"/>
          <w:highlight w:val="none"/>
          <w:lang w:val="en-US"/>
        </w:rPr>
        <w:t>12.配置 1 块 1G 缓存 SAS RAID 卡，支持 RAID0、1、5、6；</w:t>
      </w:r>
    </w:p>
    <w:p w14:paraId="56D1307C">
      <w:pPr>
        <w:pStyle w:val="142"/>
        <w:ind w:firstLine="420"/>
        <w:rPr>
          <w:i w:val="0"/>
          <w:iCs w:val="0"/>
          <w:color w:val="auto"/>
          <w:sz w:val="21"/>
          <w:szCs w:val="15"/>
          <w:highlight w:val="none"/>
          <w:lang w:val="en-US"/>
        </w:rPr>
      </w:pPr>
      <w:r>
        <w:rPr>
          <w:i w:val="0"/>
          <w:iCs w:val="0"/>
          <w:color w:val="auto"/>
          <w:sz w:val="21"/>
          <w:szCs w:val="15"/>
          <w:highlight w:val="none"/>
          <w:lang w:val="en-US"/>
        </w:rPr>
        <w:t xml:space="preserve">13.配置千兆电网络接口≥2 个，万兆光纤网络接口≥2 个（含多模光模块），配置冗余铂金电源。 </w:t>
      </w:r>
    </w:p>
    <w:p w14:paraId="56D1307D">
      <w:pPr>
        <w:pStyle w:val="5"/>
        <w:ind w:left="0"/>
        <w:rPr>
          <w:i w:val="0"/>
          <w:iCs w:val="0"/>
          <w:color w:val="auto"/>
          <w:sz w:val="21"/>
          <w:szCs w:val="15"/>
          <w:highlight w:val="none"/>
          <w:lang w:val="en-US"/>
        </w:rPr>
      </w:pPr>
      <w:bookmarkStart w:id="331" w:name="_Toc22834"/>
      <w:r>
        <w:rPr>
          <w:rFonts w:hint="eastAsia"/>
          <w:i w:val="0"/>
          <w:iCs w:val="0"/>
          <w:color w:val="auto"/>
          <w:sz w:val="21"/>
          <w:szCs w:val="15"/>
          <w:highlight w:val="none"/>
          <w:lang w:val="en-US"/>
        </w:rPr>
        <w:t>UPS蓄电池</w:t>
      </w:r>
      <w:bookmarkEnd w:id="331"/>
    </w:p>
    <w:p w14:paraId="56D1307E">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UPS蓄电池按25KVA容量配置，后备时间1小时，技术指标应满足以下要求：</w:t>
      </w:r>
    </w:p>
    <w:p w14:paraId="56D1307F">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1、采用国内外知名品牌；</w:t>
      </w:r>
    </w:p>
    <w:p w14:paraId="56D13080">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2、蓄电池使用免维护胶体电池；</w:t>
      </w:r>
    </w:p>
    <w:p w14:paraId="56D13081">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3、蓄电池应能在‐15～+45℃环境条件下正常工作；</w:t>
      </w:r>
    </w:p>
    <w:p w14:paraId="56D13082">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4、蓄电池的正负级应有明显标志,外观不能有变形、漏液及污迹；</w:t>
      </w:r>
    </w:p>
    <w:p w14:paraId="56D13083">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5、蓄电池的壳、盖应符合GB/T2408‐1996中的第8.3.2FH‐1(水平级)和第9.3.2FV‐0(垂直级)的要求；</w:t>
      </w:r>
    </w:p>
    <w:p w14:paraId="56D13084">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5、蓄电池能承受50kPa正压或负压而不破裂、不开胶,压力释放后壳体不变形；</w:t>
      </w:r>
    </w:p>
    <w:p w14:paraId="56D13085">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6、标称值为2V、6V、12V的蓄电池按规定试验,10h率的容量第1次循环不低于0.95C10, 第 3 次循环应达到C10;3h和1h率的容量在第4次和第五次以前达到,放电终止电压应符合以下规定：</w:t>
      </w:r>
    </w:p>
    <w:p w14:paraId="56D13086">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 xml:space="preserve">放电率 10h，蓄电池放电单体终止电压(V) 1.80；  </w:t>
      </w:r>
    </w:p>
    <w:p w14:paraId="56D13087">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放电率 3h， 蓄电池放电单体终止电压(V) 1.80；</w:t>
      </w:r>
    </w:p>
    <w:p w14:paraId="56D13088">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放电率 1h,  蓄电池放电单体终止电压(V) 1.75。</w:t>
      </w:r>
    </w:p>
    <w:p w14:paraId="56D13089">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7、蓄电池以30I10(A)放电,脊柱、内部汇流排不应融断,其外观不得出现异常；</w:t>
      </w:r>
    </w:p>
    <w:p w14:paraId="56D1308A">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8、蓄电池静置28天后,其容量保持率不低于96%。</w:t>
      </w:r>
    </w:p>
    <w:p w14:paraId="56D1308B">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9、蓄电池在正常工作过程中,不应有酸雾逸出;在充电过程中遇有明火,内部应不引燃、不引爆；</w:t>
      </w:r>
    </w:p>
    <w:p w14:paraId="56D1308C">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10、蓄电池的安全阀有自动开启和关闭的功能,开阀压应是10～35kPa, 闭阀压应是5～15kPa。</w:t>
      </w:r>
    </w:p>
    <w:p w14:paraId="56D1308D">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11、蓄电池在使用前一般应进行补充充电,蓄电池最大充电电流不大于2.5 |10(A),最大补充充电电压不大于2.35V/单体,均衡充电单体电压为2.30～2.35V(25℃),浮充充电单体电压为2.20～2.27V(25℃)。</w:t>
      </w:r>
    </w:p>
    <w:p w14:paraId="56D1308E">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12、蓄电池组进入浮充状态时,各蓄电池之间的端电压差应不大于90mV(2V)、240mV(6V)、480mV(12V)；</w:t>
      </w:r>
    </w:p>
    <w:p w14:paraId="56D1308F">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13、单体蓄电池和由若干单体组成一体的组合蓄电池组,其中各电池间的开路电压最高与最低差值应不大于20mV(2V)、50mV(6V)、100mV(12V)；</w:t>
      </w:r>
    </w:p>
    <w:p w14:paraId="56D13090">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14、蓄电池浮充运行设计寿命不低于12年。</w:t>
      </w:r>
    </w:p>
    <w:p w14:paraId="56D13091">
      <w:pPr>
        <w:pStyle w:val="142"/>
        <w:ind w:firstLine="420"/>
        <w:rPr>
          <w:i w:val="0"/>
          <w:iCs w:val="0"/>
          <w:color w:val="auto"/>
          <w:sz w:val="21"/>
          <w:szCs w:val="15"/>
          <w:highlight w:val="none"/>
          <w:lang w:val="en-US"/>
        </w:rPr>
      </w:pPr>
      <w:r>
        <w:rPr>
          <w:rFonts w:hint="eastAsia"/>
          <w:i w:val="0"/>
          <w:iCs w:val="0"/>
          <w:color w:val="auto"/>
          <w:sz w:val="21"/>
          <w:szCs w:val="15"/>
          <w:highlight w:val="none"/>
        </w:rPr>
        <w:t>以上UPS容量为预估值，</w:t>
      </w:r>
      <w:r>
        <w:rPr>
          <w:rFonts w:hint="eastAsia"/>
          <w:i w:val="0"/>
          <w:iCs w:val="0"/>
          <w:color w:val="auto"/>
          <w:sz w:val="21"/>
          <w:szCs w:val="15"/>
          <w:highlight w:val="none"/>
          <w:lang w:val="en-US"/>
        </w:rPr>
        <w:t>参数要求为最低要求，</w:t>
      </w:r>
      <w:r>
        <w:rPr>
          <w:rFonts w:hint="eastAsia"/>
          <w:i w:val="0"/>
          <w:iCs w:val="0"/>
          <w:color w:val="auto"/>
          <w:sz w:val="21"/>
          <w:szCs w:val="15"/>
          <w:highlight w:val="none"/>
        </w:rPr>
        <w:t>投标人应结合投标选用的产品在投标文件中提供以上各处UPS用电量综合计算，按最终核算后UPS容量进行报价并计入投标总价中，若因投标人漏算、误算所造成UPS容量增加的费用由投标人自行承担，最终容量在设计联络中确认。</w:t>
      </w:r>
      <w:r>
        <w:rPr>
          <w:rFonts w:hint="eastAsia"/>
          <w:i w:val="0"/>
          <w:iCs w:val="0"/>
          <w:color w:val="auto"/>
          <w:sz w:val="21"/>
          <w:szCs w:val="15"/>
          <w:highlight w:val="none"/>
          <w:lang w:val="en-US"/>
        </w:rPr>
        <w:t>由于本项目UPS主机为甲供设备，投标人应充分考虑UPS电池与主机的兼容性，若因兼容性造成UPS系统增加的费用由投标人自行承担。</w:t>
      </w:r>
    </w:p>
    <w:p w14:paraId="56D13092">
      <w:pPr>
        <w:pStyle w:val="5"/>
        <w:ind w:left="0"/>
        <w:rPr>
          <w:i w:val="0"/>
          <w:iCs w:val="0"/>
          <w:color w:val="auto"/>
          <w:sz w:val="21"/>
          <w:szCs w:val="15"/>
          <w:highlight w:val="none"/>
          <w:lang w:val="en-US"/>
        </w:rPr>
      </w:pPr>
      <w:bookmarkStart w:id="332" w:name="_Toc28561"/>
      <w:r>
        <w:rPr>
          <w:rFonts w:hint="eastAsia"/>
          <w:i w:val="0"/>
          <w:iCs w:val="0"/>
          <w:color w:val="auto"/>
          <w:sz w:val="21"/>
          <w:szCs w:val="15"/>
          <w:highlight w:val="none"/>
          <w:lang w:val="en-US"/>
        </w:rPr>
        <w:t>信息安全设备技术要求</w:t>
      </w:r>
      <w:bookmarkEnd w:id="332"/>
    </w:p>
    <w:p w14:paraId="56D13093">
      <w:pPr>
        <w:pStyle w:val="6"/>
        <w:ind w:left="0"/>
        <w:rPr>
          <w:i w:val="0"/>
          <w:iCs w:val="0"/>
          <w:color w:val="auto"/>
          <w:sz w:val="21"/>
          <w:szCs w:val="21"/>
          <w:highlight w:val="none"/>
        </w:rPr>
      </w:pPr>
      <w:r>
        <w:rPr>
          <w:rFonts w:hint="eastAsia"/>
          <w:i w:val="0"/>
          <w:iCs w:val="0"/>
          <w:color w:val="auto"/>
          <w:sz w:val="21"/>
          <w:szCs w:val="21"/>
          <w:highlight w:val="none"/>
        </w:rPr>
        <w:t>堡垒机（虚拟化）</w:t>
      </w:r>
    </w:p>
    <w:p w14:paraId="56D13094">
      <w:pPr>
        <w:pStyle w:val="142"/>
        <w:ind w:firstLine="420"/>
        <w:rPr>
          <w:i w:val="0"/>
          <w:iCs w:val="0"/>
          <w:color w:val="auto"/>
          <w:sz w:val="21"/>
          <w:szCs w:val="15"/>
          <w:highlight w:val="none"/>
        </w:rPr>
      </w:pPr>
      <w:bookmarkStart w:id="333" w:name="OLE_LINK19"/>
      <w:r>
        <w:rPr>
          <w:rFonts w:hint="eastAsia"/>
          <w:i w:val="0"/>
          <w:iCs w:val="0"/>
          <w:color w:val="auto"/>
          <w:sz w:val="21"/>
          <w:szCs w:val="15"/>
          <w:highlight w:val="none"/>
        </w:rPr>
        <w:t>堡垒机设备主要技术指标要求如下：</w:t>
      </w:r>
      <w:bookmarkEnd w:id="333"/>
    </w:p>
    <w:p w14:paraId="56D13095">
      <w:pPr>
        <w:pStyle w:val="142"/>
        <w:ind w:firstLine="420"/>
        <w:rPr>
          <w:i w:val="0"/>
          <w:iCs w:val="0"/>
          <w:color w:val="auto"/>
          <w:sz w:val="21"/>
          <w:szCs w:val="15"/>
          <w:highlight w:val="none"/>
        </w:rPr>
      </w:pPr>
      <w:r>
        <w:rPr>
          <w:rFonts w:hint="eastAsia"/>
          <w:i w:val="0"/>
          <w:iCs w:val="0"/>
          <w:color w:val="auto"/>
          <w:sz w:val="21"/>
          <w:szCs w:val="15"/>
          <w:highlight w:val="none"/>
        </w:rPr>
        <w:t>应提供虚拟机版安装包；</w:t>
      </w:r>
      <w:r>
        <w:rPr>
          <w:rFonts w:hint="eastAsia"/>
          <w:i w:val="0"/>
          <w:iCs w:val="0"/>
          <w:color w:val="auto"/>
          <w:sz w:val="21"/>
          <w:szCs w:val="15"/>
          <w:highlight w:val="none"/>
          <w:lang w:val="en-US"/>
        </w:rPr>
        <w:t>适配管理网云平台部署环境</w:t>
      </w:r>
      <w:r>
        <w:rPr>
          <w:rFonts w:hint="eastAsia"/>
          <w:i w:val="0"/>
          <w:iCs w:val="0"/>
          <w:color w:val="auto"/>
          <w:sz w:val="21"/>
          <w:szCs w:val="15"/>
          <w:highlight w:val="none"/>
        </w:rPr>
        <w:t>； 授权1000个被管资源数，授权有效期3年，提供3年系统升级更新服务。</w:t>
      </w:r>
    </w:p>
    <w:p w14:paraId="56D13096">
      <w:pPr>
        <w:pStyle w:val="142"/>
        <w:ind w:firstLine="420"/>
        <w:rPr>
          <w:rFonts w:hint="default" w:eastAsia="仿宋"/>
          <w:i w:val="0"/>
          <w:iCs w:val="0"/>
          <w:color w:val="auto"/>
          <w:sz w:val="21"/>
          <w:szCs w:val="15"/>
          <w:highlight w:val="none"/>
          <w:lang w:val="en-US" w:eastAsia="zh-CN"/>
        </w:rPr>
      </w:pPr>
      <w:r>
        <w:rPr>
          <w:rFonts w:hint="eastAsia"/>
          <w:i w:val="0"/>
          <w:iCs w:val="0"/>
          <w:color w:val="auto"/>
          <w:sz w:val="21"/>
          <w:szCs w:val="15"/>
          <w:highlight w:val="none"/>
        </w:rPr>
        <w:t>核心功能：包含账号管理；监控；审计功能；</w:t>
      </w:r>
      <w:r>
        <w:rPr>
          <w:rFonts w:hint="eastAsia"/>
          <w:i w:val="0"/>
          <w:iCs w:val="0"/>
          <w:color w:val="auto"/>
          <w:sz w:val="21"/>
          <w:szCs w:val="15"/>
          <w:highlight w:val="none"/>
          <w:lang w:val="en-US"/>
        </w:rPr>
        <w:t>可</w:t>
      </w:r>
      <w:r>
        <w:rPr>
          <w:rFonts w:hint="eastAsia"/>
          <w:i w:val="0"/>
          <w:iCs w:val="0"/>
          <w:color w:val="auto"/>
          <w:sz w:val="21"/>
          <w:szCs w:val="15"/>
          <w:highlight w:val="none"/>
        </w:rPr>
        <w:t>全过程监控与记录运维人员对设备系统的操作行为。支持基于访问IP、用户账号（用户组）、目标设备（设备组）、协议等条件，灵活设置访问设备或系统的策略；支持多角度、可定制的报表。</w:t>
      </w:r>
      <w:r>
        <w:rPr>
          <w:rFonts w:hint="eastAsia"/>
          <w:i w:val="0"/>
          <w:iCs w:val="0"/>
          <w:color w:val="auto"/>
          <w:sz w:val="21"/>
          <w:szCs w:val="15"/>
          <w:highlight w:val="none"/>
          <w:lang w:val="en-US" w:eastAsia="zh-CN"/>
        </w:rPr>
        <w:t>同时支持以下功能：</w:t>
      </w:r>
    </w:p>
    <w:p w14:paraId="2CB6F3C5">
      <w:pPr>
        <w:pStyle w:val="142"/>
        <w:ind w:firstLine="420"/>
        <w:rPr>
          <w:rFonts w:hint="eastAsia"/>
          <w:i w:val="0"/>
          <w:iCs w:val="0"/>
          <w:color w:val="auto"/>
          <w:sz w:val="21"/>
          <w:szCs w:val="15"/>
          <w:highlight w:val="none"/>
        </w:rPr>
      </w:pPr>
      <w:r>
        <w:rPr>
          <w:rFonts w:hint="eastAsia"/>
          <w:i w:val="0"/>
          <w:iCs w:val="0"/>
          <w:color w:val="auto"/>
          <w:sz w:val="21"/>
          <w:szCs w:val="15"/>
          <w:highlight w:val="none"/>
        </w:rPr>
        <w:t>1.支持对主流厂商的路由器、交换机、防火墙、Windows/Linux/Unix服务器等进行集中管理，全过程监控与记录运维人员对设备系统的操作行为。</w:t>
      </w:r>
    </w:p>
    <w:p w14:paraId="130C2A6F">
      <w:pPr>
        <w:pStyle w:val="142"/>
        <w:ind w:firstLine="420"/>
        <w:rPr>
          <w:rFonts w:hint="eastAsia"/>
          <w:i w:val="0"/>
          <w:iCs w:val="0"/>
          <w:color w:val="auto"/>
          <w:sz w:val="21"/>
          <w:szCs w:val="15"/>
          <w:highlight w:val="none"/>
        </w:rPr>
      </w:pPr>
      <w:r>
        <w:rPr>
          <w:rFonts w:hint="eastAsia"/>
          <w:i w:val="0"/>
          <w:iCs w:val="0"/>
          <w:color w:val="auto"/>
          <w:sz w:val="21"/>
          <w:szCs w:val="15"/>
          <w:highlight w:val="none"/>
        </w:rPr>
        <w:t>2.字符终端协议至少支持 Telnet、SSH，支持 WEB 应用。</w:t>
      </w:r>
    </w:p>
    <w:p w14:paraId="5897990D">
      <w:pPr>
        <w:pStyle w:val="142"/>
        <w:ind w:firstLine="420"/>
        <w:rPr>
          <w:rFonts w:hint="eastAsia"/>
          <w:i w:val="0"/>
          <w:iCs w:val="0"/>
          <w:color w:val="auto"/>
          <w:sz w:val="21"/>
          <w:szCs w:val="15"/>
          <w:highlight w:val="none"/>
        </w:rPr>
      </w:pPr>
      <w:r>
        <w:rPr>
          <w:rFonts w:hint="eastAsia"/>
          <w:i w:val="0"/>
          <w:iCs w:val="0"/>
          <w:color w:val="auto"/>
          <w:sz w:val="21"/>
          <w:szCs w:val="15"/>
          <w:highlight w:val="none"/>
        </w:rPr>
        <w:t>3.支持命令记录功能，包含但不限于字符终端命令、数据库运维SQL命令等。</w:t>
      </w:r>
    </w:p>
    <w:p w14:paraId="56D13097">
      <w:pPr>
        <w:pStyle w:val="6"/>
        <w:ind w:left="0"/>
        <w:rPr>
          <w:i w:val="0"/>
          <w:iCs w:val="0"/>
          <w:color w:val="auto"/>
          <w:sz w:val="21"/>
          <w:szCs w:val="21"/>
          <w:highlight w:val="none"/>
        </w:rPr>
      </w:pPr>
      <w:r>
        <w:rPr>
          <w:rFonts w:hint="eastAsia"/>
          <w:i w:val="0"/>
          <w:iCs w:val="0"/>
          <w:color w:val="auto"/>
          <w:sz w:val="21"/>
          <w:szCs w:val="21"/>
          <w:highlight w:val="none"/>
        </w:rPr>
        <w:t>数据库审计（虚拟化部署）</w:t>
      </w:r>
    </w:p>
    <w:p w14:paraId="56D13098">
      <w:pPr>
        <w:pStyle w:val="142"/>
        <w:ind w:firstLine="420"/>
        <w:rPr>
          <w:i w:val="0"/>
          <w:iCs w:val="0"/>
          <w:color w:val="auto"/>
          <w:sz w:val="21"/>
          <w:szCs w:val="15"/>
          <w:highlight w:val="none"/>
        </w:rPr>
      </w:pPr>
      <w:bookmarkStart w:id="334" w:name="OLE_LINK20"/>
      <w:r>
        <w:rPr>
          <w:rFonts w:hint="eastAsia"/>
          <w:i w:val="0"/>
          <w:iCs w:val="0"/>
          <w:color w:val="auto"/>
          <w:sz w:val="21"/>
          <w:szCs w:val="15"/>
          <w:highlight w:val="none"/>
        </w:rPr>
        <w:t>数据库审计设备主要技术指标要求如下：</w:t>
      </w:r>
      <w:bookmarkEnd w:id="334"/>
    </w:p>
    <w:p w14:paraId="56D13099">
      <w:pPr>
        <w:pStyle w:val="142"/>
        <w:ind w:firstLine="420"/>
        <w:rPr>
          <w:i w:val="0"/>
          <w:iCs w:val="0"/>
          <w:color w:val="auto"/>
          <w:sz w:val="21"/>
          <w:szCs w:val="15"/>
          <w:highlight w:val="none"/>
        </w:rPr>
      </w:pPr>
      <w:r>
        <w:rPr>
          <w:rFonts w:hint="eastAsia"/>
          <w:i w:val="0"/>
          <w:iCs w:val="0"/>
          <w:color w:val="auto"/>
          <w:sz w:val="21"/>
          <w:szCs w:val="15"/>
          <w:highlight w:val="none"/>
          <w:lang w:val="en-US"/>
        </w:rPr>
        <w:t>1、</w:t>
      </w:r>
      <w:r>
        <w:rPr>
          <w:rFonts w:hint="eastAsia"/>
          <w:i w:val="0"/>
          <w:iCs w:val="0"/>
          <w:color w:val="auto"/>
          <w:sz w:val="21"/>
          <w:szCs w:val="15"/>
          <w:highlight w:val="none"/>
        </w:rPr>
        <w:t>支持</w:t>
      </w:r>
      <w:r>
        <w:rPr>
          <w:rFonts w:hint="eastAsia"/>
          <w:i w:val="0"/>
          <w:iCs w:val="0"/>
          <w:color w:val="auto"/>
          <w:sz w:val="21"/>
          <w:szCs w:val="15"/>
          <w:highlight w:val="none"/>
          <w:lang w:val="en-US"/>
        </w:rPr>
        <w:t>3</w:t>
      </w:r>
      <w:r>
        <w:rPr>
          <w:rFonts w:hint="eastAsia"/>
          <w:i w:val="0"/>
          <w:iCs w:val="0"/>
          <w:color w:val="auto"/>
          <w:sz w:val="21"/>
          <w:szCs w:val="15"/>
          <w:highlight w:val="none"/>
        </w:rPr>
        <w:t>0个实例数，含</w:t>
      </w:r>
      <w:r>
        <w:rPr>
          <w:rFonts w:hint="eastAsia"/>
          <w:i w:val="0"/>
          <w:iCs w:val="0"/>
          <w:color w:val="auto"/>
          <w:sz w:val="21"/>
          <w:szCs w:val="15"/>
          <w:highlight w:val="none"/>
          <w:lang w:val="en-US"/>
        </w:rPr>
        <w:t>永久</w:t>
      </w:r>
      <w:r>
        <w:rPr>
          <w:rFonts w:hint="eastAsia"/>
          <w:i w:val="0"/>
          <w:iCs w:val="0"/>
          <w:color w:val="auto"/>
          <w:sz w:val="21"/>
          <w:szCs w:val="15"/>
          <w:highlight w:val="none"/>
        </w:rPr>
        <w:t>软件使用授权和三年标准维保服务。性能指标：峰值事件处理能力30000条语句/秒，日志存储最低16亿条。推荐ECS服务器配置：CPU4核、内存16G、数据云盘2T。</w:t>
      </w:r>
    </w:p>
    <w:p w14:paraId="56D1309A">
      <w:pPr>
        <w:pStyle w:val="142"/>
        <w:ind w:firstLine="420"/>
        <w:rPr>
          <w:i w:val="0"/>
          <w:iCs w:val="0"/>
          <w:color w:val="auto"/>
          <w:sz w:val="21"/>
          <w:szCs w:val="15"/>
          <w:highlight w:val="none"/>
        </w:rPr>
      </w:pPr>
      <w:r>
        <w:rPr>
          <w:rFonts w:hint="eastAsia"/>
          <w:i w:val="0"/>
          <w:iCs w:val="0"/>
          <w:color w:val="auto"/>
          <w:sz w:val="21"/>
          <w:szCs w:val="15"/>
          <w:highlight w:val="none"/>
        </w:rPr>
        <w:t>2、投标人应承诺所投数据库审计应满足并具备长沙穗城云资源及其承载的各应用所采用的数据库的防护和审计功能，具体采用的数据库待设计联络阶段根据各应用需求确定。若所投产品不能满足长沙穗城基于云平台的业务应用要求</w:t>
      </w:r>
      <w:r>
        <w:rPr>
          <w:rFonts w:hint="eastAsia"/>
          <w:i w:val="0"/>
          <w:iCs w:val="0"/>
          <w:color w:val="auto"/>
          <w:sz w:val="21"/>
          <w:szCs w:val="15"/>
          <w:highlight w:val="none"/>
          <w:lang w:val="en-US"/>
        </w:rPr>
        <w:t>的</w:t>
      </w:r>
      <w:r>
        <w:rPr>
          <w:rFonts w:hint="eastAsia"/>
          <w:i w:val="0"/>
          <w:iCs w:val="0"/>
          <w:color w:val="auto"/>
          <w:sz w:val="21"/>
          <w:szCs w:val="15"/>
          <w:highlight w:val="none"/>
        </w:rPr>
        <w:t>，投标人应无条件进行更换。</w:t>
      </w:r>
    </w:p>
    <w:p w14:paraId="56D1309B">
      <w:pPr>
        <w:pStyle w:val="142"/>
        <w:ind w:firstLine="420"/>
        <w:rPr>
          <w:i w:val="0"/>
          <w:iCs w:val="0"/>
          <w:color w:val="auto"/>
          <w:sz w:val="21"/>
          <w:szCs w:val="15"/>
          <w:highlight w:val="none"/>
        </w:rPr>
      </w:pPr>
      <w:r>
        <w:rPr>
          <w:rFonts w:hint="eastAsia"/>
          <w:i w:val="0"/>
          <w:iCs w:val="0"/>
          <w:color w:val="auto"/>
          <w:sz w:val="21"/>
          <w:szCs w:val="15"/>
          <w:highlight w:val="none"/>
        </w:rPr>
        <w:t>3、支持对SQL语句执行结果、时间、异常等数据库操作响应信息的审计；支持不同维度的黑白名单策略。</w:t>
      </w:r>
    </w:p>
    <w:p w14:paraId="56D1309C">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rPr>
        <w:t>4、</w:t>
      </w:r>
      <w:r>
        <w:rPr>
          <w:rFonts w:hint="eastAsia"/>
          <w:i w:val="0"/>
          <w:iCs w:val="0"/>
          <w:color w:val="auto"/>
          <w:sz w:val="21"/>
          <w:szCs w:val="15"/>
          <w:highlight w:val="none"/>
        </w:rPr>
        <w:t>提供对数据库漏洞、风险配置、弱口令等深层薄弱环节的安全检测及评估功能；提供对风险和危害访问的分析功能。</w:t>
      </w:r>
    </w:p>
    <w:p w14:paraId="35E378FB">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eastAsia="zh-CN"/>
        </w:rPr>
        <w:t>5</w:t>
      </w:r>
      <w:r>
        <w:rPr>
          <w:rFonts w:hint="eastAsia"/>
          <w:i w:val="0"/>
          <w:iCs w:val="0"/>
          <w:color w:val="auto"/>
          <w:sz w:val="21"/>
          <w:szCs w:val="15"/>
          <w:highlight w:val="none"/>
          <w:lang w:val="en-US"/>
        </w:rPr>
        <w:t>、</w:t>
      </w:r>
      <w:r>
        <w:rPr>
          <w:rFonts w:hint="eastAsia"/>
          <w:i w:val="0"/>
          <w:iCs w:val="0"/>
          <w:color w:val="auto"/>
          <w:sz w:val="21"/>
          <w:szCs w:val="15"/>
          <w:highlight w:val="none"/>
        </w:rPr>
        <w:t>支持灵活的事件识别及审计规则，包括但不限于操作类型、时间、IP地址、敏感数据等不同维度。</w:t>
      </w:r>
    </w:p>
    <w:p w14:paraId="56D1309D">
      <w:pPr>
        <w:pStyle w:val="6"/>
        <w:ind w:left="0"/>
        <w:rPr>
          <w:i w:val="0"/>
          <w:iCs w:val="0"/>
          <w:color w:val="auto"/>
          <w:sz w:val="21"/>
          <w:szCs w:val="21"/>
          <w:highlight w:val="none"/>
        </w:rPr>
      </w:pPr>
      <w:r>
        <w:rPr>
          <w:rFonts w:hint="eastAsia"/>
          <w:i w:val="0"/>
          <w:iCs w:val="0"/>
          <w:color w:val="auto"/>
          <w:sz w:val="21"/>
          <w:szCs w:val="21"/>
          <w:highlight w:val="none"/>
        </w:rPr>
        <w:t xml:space="preserve"> WAF（虚拟化部署）</w:t>
      </w:r>
    </w:p>
    <w:p w14:paraId="56D1309E">
      <w:pPr>
        <w:pStyle w:val="142"/>
        <w:ind w:firstLine="420"/>
        <w:rPr>
          <w:i w:val="0"/>
          <w:iCs w:val="0"/>
          <w:color w:val="auto"/>
          <w:sz w:val="21"/>
          <w:szCs w:val="15"/>
          <w:highlight w:val="none"/>
        </w:rPr>
      </w:pPr>
      <w:r>
        <w:rPr>
          <w:rFonts w:hint="eastAsia"/>
          <w:i w:val="0"/>
          <w:iCs w:val="0"/>
          <w:color w:val="auto"/>
          <w:sz w:val="21"/>
          <w:szCs w:val="15"/>
          <w:highlight w:val="none"/>
        </w:rPr>
        <w:t>WAF设备主要技术指标要求如下：</w:t>
      </w:r>
    </w:p>
    <w:p w14:paraId="56D1309F">
      <w:pPr>
        <w:pStyle w:val="142"/>
        <w:ind w:firstLine="420"/>
        <w:rPr>
          <w:i w:val="0"/>
          <w:iCs w:val="0"/>
          <w:color w:val="auto"/>
          <w:sz w:val="21"/>
          <w:szCs w:val="15"/>
          <w:highlight w:val="none"/>
        </w:rPr>
      </w:pPr>
      <w:r>
        <w:rPr>
          <w:rFonts w:hint="eastAsia"/>
          <w:i w:val="0"/>
          <w:iCs w:val="0"/>
          <w:color w:val="auto"/>
          <w:sz w:val="21"/>
          <w:szCs w:val="15"/>
          <w:highlight w:val="none"/>
        </w:rPr>
        <w:t>Web应用防火墙软件版，应支持VMware、KVM版本。软件最低配置要求8核CPU，16G内存，硬盘1TB。软件Web防护流量200Mbps，无站点限制（建议100个域名）。含</w:t>
      </w:r>
      <w:r>
        <w:rPr>
          <w:rFonts w:hint="eastAsia"/>
          <w:i w:val="0"/>
          <w:iCs w:val="0"/>
          <w:color w:val="auto"/>
          <w:sz w:val="21"/>
          <w:szCs w:val="15"/>
          <w:highlight w:val="none"/>
          <w:lang w:val="en-US"/>
        </w:rPr>
        <w:t>永久软件使用权和</w:t>
      </w:r>
      <w:r>
        <w:rPr>
          <w:rFonts w:hint="eastAsia"/>
          <w:i w:val="0"/>
          <w:iCs w:val="0"/>
          <w:color w:val="auto"/>
          <w:sz w:val="21"/>
          <w:szCs w:val="15"/>
          <w:highlight w:val="none"/>
        </w:rPr>
        <w:t>3年软件特征库升级服务。</w:t>
      </w:r>
    </w:p>
    <w:p w14:paraId="56D130A0">
      <w:pPr>
        <w:pStyle w:val="142"/>
        <w:ind w:firstLine="420"/>
        <w:rPr>
          <w:i w:val="0"/>
          <w:iCs w:val="0"/>
          <w:color w:val="auto"/>
          <w:sz w:val="21"/>
          <w:szCs w:val="15"/>
          <w:highlight w:val="none"/>
        </w:rPr>
      </w:pPr>
      <w:r>
        <w:rPr>
          <w:rFonts w:hint="eastAsia"/>
          <w:i w:val="0"/>
          <w:iCs w:val="0"/>
          <w:color w:val="auto"/>
          <w:sz w:val="21"/>
          <w:szCs w:val="15"/>
          <w:highlight w:val="none"/>
        </w:rPr>
        <w:t>1、支持全透明集群模式、主-主模式、主备模式、支持BYPASS模块。</w:t>
      </w:r>
    </w:p>
    <w:p w14:paraId="56D130A1">
      <w:pPr>
        <w:pStyle w:val="142"/>
        <w:ind w:firstLine="420"/>
        <w:rPr>
          <w:i w:val="0"/>
          <w:iCs w:val="0"/>
          <w:color w:val="auto"/>
          <w:sz w:val="21"/>
          <w:szCs w:val="15"/>
          <w:highlight w:val="none"/>
        </w:rPr>
      </w:pPr>
      <w:r>
        <w:rPr>
          <w:rFonts w:hint="eastAsia"/>
          <w:i w:val="0"/>
          <w:iCs w:val="0"/>
          <w:color w:val="auto"/>
          <w:sz w:val="21"/>
          <w:szCs w:val="15"/>
          <w:highlight w:val="none"/>
          <w:lang w:val="en-US"/>
        </w:rPr>
        <w:t>2、</w:t>
      </w:r>
      <w:r>
        <w:rPr>
          <w:rFonts w:hint="eastAsia"/>
          <w:i w:val="0"/>
          <w:iCs w:val="0"/>
          <w:color w:val="auto"/>
          <w:sz w:val="21"/>
          <w:szCs w:val="15"/>
          <w:highlight w:val="none"/>
        </w:rPr>
        <w:t>支持基于安全事件级别的安全监控，以及相关数据统计；支持多条链路数据的防护。</w:t>
      </w:r>
    </w:p>
    <w:p w14:paraId="56D130A2">
      <w:pPr>
        <w:pStyle w:val="142"/>
        <w:ind w:firstLine="420"/>
        <w:rPr>
          <w:i w:val="0"/>
          <w:iCs w:val="0"/>
          <w:color w:val="auto"/>
          <w:sz w:val="21"/>
          <w:szCs w:val="15"/>
          <w:highlight w:val="none"/>
        </w:rPr>
      </w:pPr>
      <w:r>
        <w:rPr>
          <w:rFonts w:hint="eastAsia"/>
          <w:i w:val="0"/>
          <w:iCs w:val="0"/>
          <w:color w:val="auto"/>
          <w:sz w:val="21"/>
          <w:szCs w:val="15"/>
          <w:highlight w:val="none"/>
          <w:lang w:val="en-US"/>
        </w:rPr>
        <w:t>3、</w:t>
      </w:r>
      <w:r>
        <w:rPr>
          <w:rFonts w:hint="eastAsia"/>
          <w:i w:val="0"/>
          <w:iCs w:val="0"/>
          <w:color w:val="auto"/>
          <w:sz w:val="21"/>
          <w:szCs w:val="15"/>
          <w:highlight w:val="none"/>
        </w:rPr>
        <w:t>支持WEB站点服务自动侦测功能；识别恶意请求包括但不限于跨站脚本、注入式攻击、跨站请求伪造等应用攻击行为；支持识别防盗链、应用DDOS攻击的能力。</w:t>
      </w:r>
    </w:p>
    <w:p w14:paraId="56D130A3">
      <w:pPr>
        <w:pStyle w:val="142"/>
        <w:ind w:firstLine="420"/>
        <w:rPr>
          <w:i w:val="0"/>
          <w:iCs w:val="0"/>
          <w:color w:val="auto"/>
          <w:sz w:val="21"/>
          <w:szCs w:val="15"/>
          <w:highlight w:val="none"/>
        </w:rPr>
      </w:pPr>
      <w:r>
        <w:rPr>
          <w:rFonts w:hint="eastAsia"/>
          <w:i w:val="0"/>
          <w:iCs w:val="0"/>
          <w:color w:val="auto"/>
          <w:sz w:val="21"/>
          <w:szCs w:val="15"/>
          <w:highlight w:val="none"/>
          <w:lang w:val="en-US"/>
        </w:rPr>
        <w:t>4、</w:t>
      </w:r>
      <w:r>
        <w:rPr>
          <w:rFonts w:hint="eastAsia"/>
          <w:i w:val="0"/>
          <w:iCs w:val="0"/>
          <w:color w:val="auto"/>
          <w:sz w:val="21"/>
          <w:szCs w:val="15"/>
          <w:highlight w:val="none"/>
        </w:rPr>
        <w:t>支持丰富的自定义规则，可以针对多个条件组合，形成深度的WEB防护规则。</w:t>
      </w:r>
    </w:p>
    <w:p w14:paraId="56D130A4">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rPr>
        <w:t>5、</w:t>
      </w:r>
      <w:r>
        <w:rPr>
          <w:rFonts w:hint="eastAsia"/>
          <w:i w:val="0"/>
          <w:iCs w:val="0"/>
          <w:color w:val="auto"/>
          <w:sz w:val="21"/>
          <w:szCs w:val="15"/>
          <w:highlight w:val="none"/>
        </w:rPr>
        <w:t>支持详细记录攻击事件的HTTP请求头信息，含请求的URL、POST内容、cookie等请求头关键内容。</w:t>
      </w:r>
    </w:p>
    <w:p w14:paraId="1E087452">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eastAsia="zh-CN"/>
        </w:rPr>
        <w:t>6</w:t>
      </w:r>
      <w:r>
        <w:rPr>
          <w:rFonts w:hint="eastAsia"/>
          <w:i w:val="0"/>
          <w:iCs w:val="0"/>
          <w:color w:val="auto"/>
          <w:sz w:val="21"/>
          <w:szCs w:val="15"/>
          <w:highlight w:val="none"/>
          <w:lang w:val="en-US"/>
        </w:rPr>
        <w:t>、</w:t>
      </w:r>
      <w:r>
        <w:rPr>
          <w:rFonts w:hint="eastAsia"/>
          <w:i w:val="0"/>
          <w:iCs w:val="0"/>
          <w:color w:val="auto"/>
          <w:sz w:val="21"/>
          <w:szCs w:val="15"/>
          <w:highlight w:val="none"/>
        </w:rPr>
        <w:t>支持根据URL、目标IP等多种组合条件对CC攻击进行检测，支持对特定的IP地址进行CC规则白名单放行。</w:t>
      </w:r>
    </w:p>
    <w:p w14:paraId="01192AAC">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eastAsia="zh-CN"/>
        </w:rPr>
        <w:t>7</w:t>
      </w:r>
      <w:r>
        <w:rPr>
          <w:rFonts w:hint="eastAsia"/>
          <w:i w:val="0"/>
          <w:iCs w:val="0"/>
          <w:color w:val="auto"/>
          <w:sz w:val="21"/>
          <w:szCs w:val="15"/>
          <w:highlight w:val="none"/>
          <w:lang w:val="en-US"/>
        </w:rPr>
        <w:t>、</w:t>
      </w:r>
      <w:r>
        <w:rPr>
          <w:rFonts w:hint="eastAsia"/>
          <w:i w:val="0"/>
          <w:iCs w:val="0"/>
          <w:color w:val="auto"/>
          <w:sz w:val="21"/>
          <w:szCs w:val="15"/>
          <w:highlight w:val="none"/>
        </w:rPr>
        <w:t>规则库支持手工、在线升级方式，确保WAF能够针对新型的、突发型的Web攻击进行防护。</w:t>
      </w:r>
    </w:p>
    <w:p w14:paraId="56D130A5">
      <w:pPr>
        <w:pStyle w:val="6"/>
        <w:ind w:left="0"/>
        <w:rPr>
          <w:i w:val="0"/>
          <w:iCs w:val="0"/>
          <w:color w:val="auto"/>
          <w:sz w:val="21"/>
          <w:szCs w:val="21"/>
          <w:highlight w:val="none"/>
        </w:rPr>
      </w:pPr>
      <w:r>
        <w:rPr>
          <w:rFonts w:hint="eastAsia"/>
          <w:i w:val="0"/>
          <w:iCs w:val="0"/>
          <w:color w:val="auto"/>
          <w:sz w:val="21"/>
          <w:szCs w:val="21"/>
          <w:highlight w:val="none"/>
        </w:rPr>
        <w:t>主机安全（虚拟化）</w:t>
      </w:r>
    </w:p>
    <w:p w14:paraId="56D130A6">
      <w:pPr>
        <w:pStyle w:val="142"/>
        <w:ind w:firstLine="420"/>
        <w:rPr>
          <w:i w:val="0"/>
          <w:iCs w:val="0"/>
          <w:color w:val="auto"/>
          <w:sz w:val="21"/>
          <w:szCs w:val="15"/>
          <w:highlight w:val="none"/>
        </w:rPr>
      </w:pPr>
      <w:bookmarkStart w:id="335" w:name="OLE_LINK21"/>
      <w:r>
        <w:rPr>
          <w:rFonts w:hint="eastAsia"/>
          <w:i w:val="0"/>
          <w:iCs w:val="0"/>
          <w:color w:val="auto"/>
          <w:sz w:val="21"/>
          <w:szCs w:val="15"/>
          <w:highlight w:val="none"/>
        </w:rPr>
        <w:t>主机安全设备主要技术指标要求如下：</w:t>
      </w:r>
      <w:bookmarkEnd w:id="335"/>
    </w:p>
    <w:p w14:paraId="56D130A7">
      <w:pPr>
        <w:pStyle w:val="142"/>
        <w:ind w:firstLine="420"/>
        <w:rPr>
          <w:i w:val="0"/>
          <w:iCs w:val="0"/>
          <w:color w:val="auto"/>
          <w:sz w:val="21"/>
          <w:szCs w:val="15"/>
          <w:highlight w:val="none"/>
        </w:rPr>
      </w:pPr>
      <w:r>
        <w:rPr>
          <w:rFonts w:hint="eastAsia"/>
          <w:i w:val="0"/>
          <w:iCs w:val="0"/>
          <w:color w:val="auto"/>
          <w:sz w:val="21"/>
          <w:szCs w:val="15"/>
          <w:highlight w:val="none"/>
        </w:rPr>
        <w:t>控制中心系统软件，不少于500点授权，应实现对天擎客户端的集中管理，包括终端统一部署、策略配置、任务分发、集中监控、日志报表等终端安全管理功能，支持中英双语界面。</w:t>
      </w:r>
    </w:p>
    <w:p w14:paraId="56D130A8">
      <w:pPr>
        <w:pStyle w:val="142"/>
        <w:ind w:firstLine="420"/>
        <w:rPr>
          <w:i w:val="0"/>
          <w:iCs w:val="0"/>
          <w:color w:val="auto"/>
          <w:sz w:val="21"/>
          <w:szCs w:val="15"/>
          <w:highlight w:val="none"/>
        </w:rPr>
      </w:pPr>
      <w:r>
        <w:rPr>
          <w:rFonts w:hint="eastAsia"/>
          <w:i w:val="0"/>
          <w:iCs w:val="0"/>
          <w:color w:val="auto"/>
          <w:sz w:val="21"/>
          <w:szCs w:val="15"/>
          <w:highlight w:val="none"/>
          <w:lang w:val="en-US"/>
        </w:rPr>
        <w:t>1、</w:t>
      </w:r>
      <w:r>
        <w:rPr>
          <w:rFonts w:hint="eastAsia"/>
          <w:i w:val="0"/>
          <w:iCs w:val="0"/>
          <w:color w:val="auto"/>
          <w:sz w:val="21"/>
          <w:szCs w:val="15"/>
          <w:highlight w:val="none"/>
        </w:rPr>
        <w:t>针对Linux操作系统进行病毒、木马、恶意软件等进行查杀。系统默认支持主流Linux操作系统，500点</w:t>
      </w:r>
      <w:r>
        <w:rPr>
          <w:rFonts w:hint="eastAsia"/>
          <w:i w:val="0"/>
          <w:iCs w:val="0"/>
          <w:color w:val="auto"/>
          <w:sz w:val="21"/>
          <w:szCs w:val="15"/>
          <w:highlight w:val="none"/>
          <w:lang w:val="en-US"/>
        </w:rPr>
        <w:t>永久</w:t>
      </w:r>
      <w:r>
        <w:rPr>
          <w:rFonts w:hint="eastAsia"/>
          <w:i w:val="0"/>
          <w:iCs w:val="0"/>
          <w:color w:val="auto"/>
          <w:sz w:val="21"/>
          <w:szCs w:val="15"/>
          <w:highlight w:val="none"/>
        </w:rPr>
        <w:t>授权，3年升级服务。</w:t>
      </w:r>
    </w:p>
    <w:p w14:paraId="56D130A9">
      <w:pPr>
        <w:pStyle w:val="142"/>
        <w:ind w:firstLine="420"/>
        <w:rPr>
          <w:i w:val="0"/>
          <w:iCs w:val="0"/>
          <w:color w:val="auto"/>
          <w:sz w:val="21"/>
          <w:szCs w:val="15"/>
          <w:highlight w:val="none"/>
        </w:rPr>
      </w:pPr>
      <w:r>
        <w:rPr>
          <w:rFonts w:hint="eastAsia"/>
          <w:i w:val="0"/>
          <w:iCs w:val="0"/>
          <w:color w:val="auto"/>
          <w:sz w:val="21"/>
          <w:szCs w:val="15"/>
          <w:highlight w:val="none"/>
          <w:lang w:val="en-US"/>
        </w:rPr>
        <w:t>2、</w:t>
      </w:r>
      <w:r>
        <w:rPr>
          <w:rFonts w:hint="eastAsia"/>
          <w:i w:val="0"/>
          <w:iCs w:val="0"/>
          <w:color w:val="auto"/>
          <w:sz w:val="21"/>
          <w:szCs w:val="15"/>
          <w:highlight w:val="none"/>
        </w:rPr>
        <w:t>支持多引擎协同，可对病毒、木马、恶意软件等进行查杀，提供主动防御功能。支持主流Windows Server操作系统，3年更新服务。</w:t>
      </w:r>
    </w:p>
    <w:p w14:paraId="56D130AA">
      <w:pPr>
        <w:pStyle w:val="142"/>
        <w:ind w:firstLine="420"/>
        <w:rPr>
          <w:i w:val="0"/>
          <w:iCs w:val="0"/>
          <w:color w:val="auto"/>
          <w:sz w:val="21"/>
          <w:szCs w:val="15"/>
          <w:highlight w:val="none"/>
        </w:rPr>
      </w:pPr>
      <w:r>
        <w:rPr>
          <w:rFonts w:hint="eastAsia"/>
          <w:i w:val="0"/>
          <w:iCs w:val="0"/>
          <w:color w:val="auto"/>
          <w:sz w:val="21"/>
          <w:szCs w:val="15"/>
          <w:highlight w:val="none"/>
          <w:lang w:val="en-US"/>
        </w:rPr>
        <w:t>3、</w:t>
      </w:r>
      <w:r>
        <w:rPr>
          <w:rFonts w:hint="eastAsia"/>
          <w:i w:val="0"/>
          <w:iCs w:val="0"/>
          <w:color w:val="auto"/>
          <w:sz w:val="21"/>
          <w:szCs w:val="15"/>
          <w:highlight w:val="none"/>
        </w:rPr>
        <w:t>支持主机资产清点、漏洞检测、基线核查、弱口令检测、敏感端口检测、WebShell 检测、恶意文件检测与处置等检测能力。具备完善的服务器主机资产安全检测、分析与管理能力。</w:t>
      </w:r>
    </w:p>
    <w:p w14:paraId="56D130AB">
      <w:pPr>
        <w:pStyle w:val="142"/>
        <w:ind w:firstLine="420"/>
        <w:rPr>
          <w:i w:val="0"/>
          <w:iCs w:val="0"/>
          <w:color w:val="auto"/>
          <w:sz w:val="21"/>
          <w:szCs w:val="15"/>
          <w:highlight w:val="none"/>
        </w:rPr>
      </w:pPr>
      <w:r>
        <w:rPr>
          <w:rFonts w:hint="eastAsia"/>
          <w:i w:val="0"/>
          <w:iCs w:val="0"/>
          <w:color w:val="auto"/>
          <w:sz w:val="21"/>
          <w:szCs w:val="15"/>
          <w:highlight w:val="none"/>
          <w:lang w:val="en-US"/>
        </w:rPr>
        <w:t>4、</w:t>
      </w:r>
      <w:r>
        <w:rPr>
          <w:rFonts w:hint="eastAsia"/>
          <w:i w:val="0"/>
          <w:iCs w:val="0"/>
          <w:color w:val="auto"/>
          <w:sz w:val="21"/>
          <w:szCs w:val="15"/>
          <w:highlight w:val="none"/>
        </w:rPr>
        <w:t>探针支持部署在 RedHat、CentOS、Ubuntu、Windows Server 等主流操作系统，同时支持中标麒麟、银河麒麟、统信 UOS 等国产化操作系统中部署。</w:t>
      </w:r>
    </w:p>
    <w:p w14:paraId="56D130AC">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rPr>
        <w:t>5、</w:t>
      </w:r>
      <w:r>
        <w:rPr>
          <w:rFonts w:hint="eastAsia"/>
          <w:i w:val="0"/>
          <w:iCs w:val="0"/>
          <w:color w:val="auto"/>
          <w:sz w:val="21"/>
          <w:szCs w:val="15"/>
          <w:highlight w:val="none"/>
        </w:rPr>
        <w:t>支持查看已经部署代理的主机状态与探针状态，包含探针状态、探针版本，CPU，内存，运行时长，最近发现时间等。</w:t>
      </w:r>
    </w:p>
    <w:p w14:paraId="57B105DF">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eastAsia="zh-CN"/>
        </w:rPr>
        <w:t>6、</w:t>
      </w:r>
      <w:r>
        <w:rPr>
          <w:rFonts w:hint="eastAsia"/>
          <w:i w:val="0"/>
          <w:iCs w:val="0"/>
          <w:color w:val="auto"/>
          <w:sz w:val="21"/>
          <w:szCs w:val="15"/>
          <w:highlight w:val="none"/>
        </w:rPr>
        <w:t>支持自动清点和梳理服务器上的系统用户信息，包含主机名称、主机 IP 地址、用户名称等。</w:t>
      </w:r>
    </w:p>
    <w:p w14:paraId="4DD58962">
      <w:pPr>
        <w:pStyle w:val="142"/>
        <w:ind w:firstLine="420"/>
        <w:rPr>
          <w:rFonts w:hint="eastAsia"/>
          <w:i w:val="0"/>
          <w:iCs w:val="0"/>
          <w:color w:val="auto"/>
          <w:sz w:val="21"/>
          <w:szCs w:val="15"/>
          <w:highlight w:val="none"/>
        </w:rPr>
      </w:pPr>
      <w:r>
        <w:rPr>
          <w:rFonts w:hint="eastAsia"/>
          <w:i w:val="0"/>
          <w:iCs w:val="0"/>
          <w:color w:val="auto"/>
          <w:sz w:val="21"/>
          <w:szCs w:val="15"/>
          <w:highlight w:val="none"/>
          <w:lang w:val="en-US" w:eastAsia="zh-CN"/>
        </w:rPr>
        <w:t>7、</w:t>
      </w:r>
      <w:r>
        <w:rPr>
          <w:rFonts w:hint="eastAsia"/>
          <w:i w:val="0"/>
          <w:iCs w:val="0"/>
          <w:color w:val="auto"/>
          <w:sz w:val="21"/>
          <w:szCs w:val="15"/>
          <w:highlight w:val="none"/>
        </w:rPr>
        <w:t>支持自动清点容器镜像、容器实例等多种容器相关资产。</w:t>
      </w:r>
    </w:p>
    <w:p w14:paraId="56D130AD">
      <w:pPr>
        <w:pStyle w:val="6"/>
        <w:ind w:left="0"/>
        <w:rPr>
          <w:i w:val="0"/>
          <w:iCs w:val="0"/>
          <w:color w:val="auto"/>
          <w:sz w:val="21"/>
          <w:szCs w:val="21"/>
          <w:highlight w:val="none"/>
        </w:rPr>
      </w:pPr>
      <w:r>
        <w:rPr>
          <w:rFonts w:hint="eastAsia"/>
          <w:i w:val="0"/>
          <w:iCs w:val="0"/>
          <w:color w:val="auto"/>
          <w:sz w:val="21"/>
          <w:szCs w:val="21"/>
          <w:highlight w:val="none"/>
        </w:rPr>
        <w:t>防火墙</w:t>
      </w:r>
    </w:p>
    <w:p w14:paraId="56D130AE">
      <w:pPr>
        <w:pStyle w:val="142"/>
        <w:ind w:firstLine="420"/>
        <w:rPr>
          <w:i w:val="0"/>
          <w:iCs w:val="0"/>
          <w:color w:val="auto"/>
          <w:sz w:val="21"/>
          <w:szCs w:val="15"/>
          <w:highlight w:val="none"/>
        </w:rPr>
      </w:pPr>
      <w:bookmarkStart w:id="336" w:name="OLE_LINK22"/>
      <w:r>
        <w:rPr>
          <w:rFonts w:hint="eastAsia"/>
          <w:i w:val="0"/>
          <w:iCs w:val="0"/>
          <w:color w:val="auto"/>
          <w:sz w:val="21"/>
          <w:szCs w:val="15"/>
          <w:highlight w:val="none"/>
        </w:rPr>
        <w:t>防火墙设备主要技术指标要求如下：</w:t>
      </w:r>
      <w:bookmarkEnd w:id="336"/>
    </w:p>
    <w:p w14:paraId="56D130AF">
      <w:pPr>
        <w:pStyle w:val="142"/>
        <w:ind w:firstLine="420"/>
        <w:rPr>
          <w:i w:val="0"/>
          <w:iCs w:val="0"/>
          <w:color w:val="auto"/>
          <w:sz w:val="21"/>
          <w:szCs w:val="15"/>
          <w:highlight w:val="none"/>
        </w:rPr>
      </w:pPr>
      <w:r>
        <w:rPr>
          <w:rFonts w:hint="eastAsia"/>
          <w:i w:val="0"/>
          <w:iCs w:val="0"/>
          <w:color w:val="auto"/>
          <w:sz w:val="21"/>
          <w:szCs w:val="15"/>
          <w:highlight w:val="none"/>
        </w:rPr>
        <w:t>网络层吞吐量20G，并发连接≥700万，每秒新建连接数25万；标准≤2U机箱，冗余电源；板载8个千兆电口，8个千兆光口，6个万兆光口，2个扩展插槽，1个Console口，；含三年硬件维保服务。默认含32个IPsec VPN标配并发隧道数，最大可支持并发隧道数10000个；默认含32个SSL VPN标配并发用户数，最大可支持并发用户数2000个；支持应用控制功能、URL过滤功能、病毒防护功能、入侵防御功能、威胁情报检测功能。应包含3年安全组合升级订阅服务包（含应用识别库、URL分类特征库、病毒防护特征库、入侵防御特征库升级服务及威胁情报订阅服务）。</w:t>
      </w:r>
    </w:p>
    <w:p w14:paraId="56D130B0">
      <w:pPr>
        <w:pStyle w:val="6"/>
        <w:ind w:left="0"/>
        <w:rPr>
          <w:i w:val="0"/>
          <w:iCs w:val="0"/>
          <w:color w:val="auto"/>
          <w:sz w:val="21"/>
          <w:szCs w:val="21"/>
          <w:highlight w:val="none"/>
        </w:rPr>
      </w:pPr>
      <w:r>
        <w:rPr>
          <w:rFonts w:hint="eastAsia"/>
          <w:i w:val="0"/>
          <w:iCs w:val="0"/>
          <w:color w:val="auto"/>
          <w:sz w:val="21"/>
          <w:szCs w:val="21"/>
          <w:highlight w:val="none"/>
        </w:rPr>
        <w:t>日志审计</w:t>
      </w:r>
    </w:p>
    <w:p w14:paraId="56D130B1">
      <w:pPr>
        <w:pStyle w:val="142"/>
        <w:ind w:firstLine="420"/>
        <w:rPr>
          <w:i w:val="0"/>
          <w:iCs w:val="0"/>
          <w:color w:val="auto"/>
          <w:sz w:val="21"/>
          <w:szCs w:val="15"/>
          <w:highlight w:val="none"/>
        </w:rPr>
      </w:pPr>
      <w:bookmarkStart w:id="337" w:name="_Toc92569045"/>
      <w:r>
        <w:rPr>
          <w:rFonts w:hint="eastAsia"/>
          <w:i w:val="0"/>
          <w:iCs w:val="0"/>
          <w:color w:val="auto"/>
          <w:sz w:val="21"/>
          <w:szCs w:val="15"/>
          <w:highlight w:val="none"/>
        </w:rPr>
        <w:t>日志审计</w:t>
      </w:r>
      <w:bookmarkStart w:id="338" w:name="OLE_LINK23"/>
      <w:r>
        <w:rPr>
          <w:rFonts w:hint="eastAsia"/>
          <w:i w:val="0"/>
          <w:iCs w:val="0"/>
          <w:color w:val="auto"/>
          <w:sz w:val="21"/>
          <w:szCs w:val="15"/>
          <w:highlight w:val="none"/>
        </w:rPr>
        <w:t>设备主要技术指标要求如下：</w:t>
      </w:r>
      <w:bookmarkEnd w:id="337"/>
      <w:bookmarkEnd w:id="338"/>
    </w:p>
    <w:p w14:paraId="56D130B2">
      <w:pPr>
        <w:pStyle w:val="142"/>
        <w:ind w:firstLine="420"/>
        <w:rPr>
          <w:rFonts w:hint="eastAsia"/>
          <w:i w:val="0"/>
          <w:iCs w:val="0"/>
          <w:color w:val="auto"/>
          <w:sz w:val="21"/>
          <w:szCs w:val="15"/>
          <w:highlight w:val="none"/>
        </w:rPr>
      </w:pPr>
      <w:bookmarkStart w:id="339" w:name="_Toc92569046"/>
      <w:bookmarkStart w:id="340" w:name="_Toc205178830"/>
      <w:bookmarkStart w:id="341" w:name="_Toc340498680"/>
      <w:bookmarkStart w:id="342" w:name="_Toc511409181"/>
      <w:bookmarkStart w:id="343" w:name="_Toc48512207"/>
      <w:bookmarkStart w:id="344" w:name="_Toc325380129"/>
      <w:r>
        <w:rPr>
          <w:rFonts w:hint="eastAsia"/>
          <w:i w:val="0"/>
          <w:iCs w:val="0"/>
          <w:color w:val="auto"/>
          <w:sz w:val="21"/>
          <w:szCs w:val="15"/>
          <w:highlight w:val="none"/>
        </w:rPr>
        <w:t>应包含资产管理、日志采集、日志归一化、日志存储、日志查询、实时分析、关联分析、关联告警、统计报表功能。支持日志压缩存储、日志分类功能。1000个日志源</w:t>
      </w:r>
      <w:r>
        <w:rPr>
          <w:rFonts w:hint="eastAsia"/>
          <w:i w:val="0"/>
          <w:iCs w:val="0"/>
          <w:color w:val="auto"/>
          <w:sz w:val="21"/>
          <w:szCs w:val="15"/>
          <w:highlight w:val="none"/>
          <w:lang w:val="en-US"/>
        </w:rPr>
        <w:t>永久</w:t>
      </w:r>
      <w:r>
        <w:rPr>
          <w:rFonts w:hint="eastAsia"/>
          <w:i w:val="0"/>
          <w:iCs w:val="0"/>
          <w:color w:val="auto"/>
          <w:sz w:val="21"/>
          <w:szCs w:val="15"/>
          <w:highlight w:val="none"/>
        </w:rPr>
        <w:t>授权，包含3年软件升级维护服务。</w:t>
      </w:r>
      <w:bookmarkEnd w:id="339"/>
      <w:bookmarkEnd w:id="340"/>
      <w:bookmarkEnd w:id="341"/>
      <w:bookmarkEnd w:id="342"/>
      <w:bookmarkEnd w:id="343"/>
      <w:bookmarkEnd w:id="344"/>
      <w:r>
        <w:rPr>
          <w:rFonts w:hint="eastAsia"/>
          <w:i w:val="0"/>
          <w:iCs w:val="0"/>
          <w:color w:val="auto"/>
          <w:sz w:val="21"/>
          <w:szCs w:val="15"/>
          <w:highlight w:val="none"/>
        </w:rPr>
        <w:t>支持多维度日志分析：网络安全分析、会话及NAT溯源分析、流量分析等。</w:t>
      </w:r>
    </w:p>
    <w:p w14:paraId="56D130B3">
      <w:pPr>
        <w:pStyle w:val="6"/>
        <w:ind w:left="0"/>
        <w:rPr>
          <w:i w:val="0"/>
          <w:iCs w:val="0"/>
          <w:color w:val="auto"/>
          <w:sz w:val="21"/>
          <w:szCs w:val="21"/>
          <w:highlight w:val="none"/>
        </w:rPr>
      </w:pPr>
      <w:r>
        <w:rPr>
          <w:rFonts w:hint="eastAsia"/>
          <w:i w:val="0"/>
          <w:iCs w:val="0"/>
          <w:color w:val="auto"/>
          <w:sz w:val="21"/>
          <w:szCs w:val="21"/>
          <w:highlight w:val="none"/>
        </w:rPr>
        <w:t>态势感知</w:t>
      </w:r>
    </w:p>
    <w:p w14:paraId="56D130B4">
      <w:pPr>
        <w:pStyle w:val="142"/>
        <w:ind w:firstLine="420"/>
        <w:rPr>
          <w:i w:val="0"/>
          <w:iCs w:val="0"/>
          <w:color w:val="auto"/>
          <w:sz w:val="21"/>
          <w:szCs w:val="15"/>
          <w:highlight w:val="none"/>
        </w:rPr>
      </w:pPr>
      <w:r>
        <w:rPr>
          <w:rFonts w:hint="eastAsia"/>
          <w:i w:val="0"/>
          <w:iCs w:val="0"/>
          <w:color w:val="auto"/>
          <w:sz w:val="21"/>
          <w:szCs w:val="15"/>
          <w:highlight w:val="none"/>
        </w:rPr>
        <w:t>态势感知</w:t>
      </w:r>
      <w:bookmarkStart w:id="345" w:name="OLE_LINK24"/>
      <w:r>
        <w:rPr>
          <w:rFonts w:hint="eastAsia"/>
          <w:i w:val="0"/>
          <w:iCs w:val="0"/>
          <w:color w:val="auto"/>
          <w:sz w:val="21"/>
          <w:szCs w:val="15"/>
          <w:highlight w:val="none"/>
        </w:rPr>
        <w:t>设备主要技术指标要求如下：</w:t>
      </w:r>
      <w:bookmarkEnd w:id="345"/>
    </w:p>
    <w:p w14:paraId="56D130B5">
      <w:pPr>
        <w:pStyle w:val="142"/>
        <w:ind w:firstLine="420"/>
        <w:rPr>
          <w:i w:val="0"/>
          <w:iCs w:val="0"/>
          <w:color w:val="auto"/>
          <w:sz w:val="21"/>
          <w:szCs w:val="15"/>
          <w:highlight w:val="none"/>
        </w:rPr>
      </w:pPr>
      <w:bookmarkStart w:id="346" w:name="_Hlk82867841"/>
      <w:r>
        <w:rPr>
          <w:rFonts w:hint="eastAsia"/>
          <w:i w:val="0"/>
          <w:iCs w:val="0"/>
          <w:color w:val="auto"/>
          <w:sz w:val="21"/>
          <w:szCs w:val="15"/>
          <w:highlight w:val="none"/>
        </w:rPr>
        <w:t>1）硬件参数：设备≤2U标准；性能要求：实配</w:t>
      </w:r>
      <w:r>
        <w:rPr>
          <w:rFonts w:hint="eastAsia"/>
          <w:i w:val="0"/>
          <w:iCs w:val="0"/>
          <w:color w:val="auto"/>
          <w:sz w:val="21"/>
          <w:szCs w:val="15"/>
          <w:highlight w:val="none"/>
          <w:lang w:val="en-US"/>
        </w:rPr>
        <w:t>不少于</w:t>
      </w:r>
      <w:r>
        <w:rPr>
          <w:rFonts w:hint="eastAsia"/>
          <w:i w:val="0"/>
          <w:iCs w:val="0"/>
          <w:color w:val="auto"/>
          <w:sz w:val="21"/>
          <w:szCs w:val="15"/>
          <w:highlight w:val="none"/>
        </w:rPr>
        <w:t>2颗CPU，单CPU核数≥8，主频≥2.1G，内存≥256G，系统盘≥2*240G，数据盘≥24T（支持RAID5或RAID6），集群规模≥4台。冗余电源；960G SSD + 12*4TB SATA 存储硬盘。</w:t>
      </w:r>
    </w:p>
    <w:p w14:paraId="56D130B6">
      <w:pPr>
        <w:pStyle w:val="142"/>
        <w:ind w:firstLine="420"/>
        <w:rPr>
          <w:i w:val="0"/>
          <w:iCs w:val="0"/>
          <w:color w:val="auto"/>
          <w:sz w:val="21"/>
          <w:szCs w:val="15"/>
          <w:highlight w:val="none"/>
        </w:rPr>
      </w:pPr>
      <w:r>
        <w:rPr>
          <w:rFonts w:hint="eastAsia"/>
          <w:i w:val="0"/>
          <w:iCs w:val="0"/>
          <w:color w:val="auto"/>
          <w:sz w:val="21"/>
          <w:szCs w:val="15"/>
          <w:highlight w:val="none"/>
        </w:rPr>
        <w:t>2）配置千兆电口≥4或千兆光口≥4（含光模块）；万兆光口（含光模块）≥2；</w:t>
      </w:r>
    </w:p>
    <w:p w14:paraId="56D130B7">
      <w:pPr>
        <w:pStyle w:val="142"/>
        <w:ind w:firstLine="420"/>
        <w:rPr>
          <w:i w:val="0"/>
          <w:iCs w:val="0"/>
          <w:color w:val="auto"/>
          <w:sz w:val="21"/>
          <w:szCs w:val="15"/>
          <w:highlight w:val="none"/>
        </w:rPr>
      </w:pPr>
      <w:r>
        <w:rPr>
          <w:rFonts w:hint="eastAsia"/>
          <w:i w:val="0"/>
          <w:iCs w:val="0"/>
          <w:color w:val="auto"/>
          <w:sz w:val="21"/>
          <w:szCs w:val="15"/>
          <w:highlight w:val="none"/>
        </w:rPr>
        <w:t>3）性能参数：会话并发≥500万/s，会话新建10万/s，流量处理能力≥6Gbps</w:t>
      </w:r>
    </w:p>
    <w:p w14:paraId="56D130B8">
      <w:pPr>
        <w:pStyle w:val="142"/>
        <w:ind w:firstLine="420"/>
        <w:rPr>
          <w:i w:val="0"/>
          <w:iCs w:val="0"/>
          <w:color w:val="auto"/>
          <w:sz w:val="21"/>
          <w:szCs w:val="15"/>
          <w:highlight w:val="none"/>
        </w:rPr>
      </w:pPr>
      <w:r>
        <w:rPr>
          <w:rFonts w:hint="eastAsia"/>
          <w:i w:val="0"/>
          <w:iCs w:val="0"/>
          <w:color w:val="auto"/>
          <w:sz w:val="21"/>
          <w:szCs w:val="15"/>
          <w:highlight w:val="none"/>
        </w:rPr>
        <w:t xml:space="preserve">4）日志采集能力：支持采集第三方系统以及安全设备的syslog日志； </w:t>
      </w:r>
    </w:p>
    <w:p w14:paraId="56D130B9">
      <w:pPr>
        <w:pStyle w:val="142"/>
        <w:ind w:firstLine="420"/>
        <w:rPr>
          <w:i w:val="0"/>
          <w:iCs w:val="0"/>
          <w:color w:val="auto"/>
          <w:sz w:val="21"/>
          <w:szCs w:val="15"/>
          <w:highlight w:val="none"/>
        </w:rPr>
      </w:pPr>
      <w:r>
        <w:rPr>
          <w:rFonts w:hint="eastAsia"/>
          <w:i w:val="0"/>
          <w:iCs w:val="0"/>
          <w:color w:val="auto"/>
          <w:sz w:val="21"/>
          <w:szCs w:val="15"/>
          <w:highlight w:val="none"/>
        </w:rPr>
        <w:t>5）流量采集功能： 支持DNS、HTTP、SMTP、POP3、IMAP协议分析，支持提取五元组信息、收包数、字节数、流开始及结束的时间、协议应用层字段等；支持网络流量特征数据日志，用于发现网络中的异常访问；支持异常触发抓包功能。</w:t>
      </w:r>
    </w:p>
    <w:p w14:paraId="56D130BA">
      <w:pPr>
        <w:pStyle w:val="142"/>
        <w:ind w:firstLine="420"/>
        <w:rPr>
          <w:i w:val="0"/>
          <w:iCs w:val="0"/>
          <w:color w:val="auto"/>
          <w:sz w:val="21"/>
          <w:szCs w:val="15"/>
          <w:highlight w:val="none"/>
        </w:rPr>
      </w:pPr>
      <w:r>
        <w:rPr>
          <w:rFonts w:hint="eastAsia"/>
          <w:i w:val="0"/>
          <w:iCs w:val="0"/>
          <w:color w:val="auto"/>
          <w:sz w:val="21"/>
          <w:szCs w:val="15"/>
          <w:highlight w:val="none"/>
        </w:rPr>
        <w:t>6）日志关联分析：支持针对日志、安全事件的实时关联分析，可识别出安全问题或潜在的威胁行为，并上报对应的异常或威胁事件；支持流量基线自学习对网络流量进行统计和分析</w:t>
      </w:r>
    </w:p>
    <w:p w14:paraId="56D130BB">
      <w:pPr>
        <w:pStyle w:val="142"/>
        <w:ind w:firstLine="420"/>
        <w:rPr>
          <w:i w:val="0"/>
          <w:iCs w:val="0"/>
          <w:color w:val="auto"/>
          <w:sz w:val="21"/>
          <w:szCs w:val="15"/>
          <w:highlight w:val="none"/>
        </w:rPr>
      </w:pPr>
      <w:r>
        <w:rPr>
          <w:rFonts w:hint="eastAsia"/>
          <w:i w:val="0"/>
          <w:iCs w:val="0"/>
          <w:color w:val="auto"/>
          <w:sz w:val="21"/>
          <w:szCs w:val="15"/>
          <w:highlight w:val="none"/>
        </w:rPr>
        <w:t>7）恶意域名连接检测：支持查看主机通过连接恶意域名发起的攻击，可以查看网络中的恶意域名以及对应的服务器IP，并统计恶意域名的访问次数</w:t>
      </w:r>
    </w:p>
    <w:p w14:paraId="56D130BC">
      <w:pPr>
        <w:pStyle w:val="142"/>
        <w:ind w:firstLine="420"/>
        <w:rPr>
          <w:i w:val="0"/>
          <w:iCs w:val="0"/>
          <w:color w:val="auto"/>
          <w:sz w:val="21"/>
          <w:szCs w:val="15"/>
          <w:highlight w:val="none"/>
        </w:rPr>
      </w:pPr>
      <w:r>
        <w:rPr>
          <w:rFonts w:hint="eastAsia"/>
          <w:i w:val="0"/>
          <w:iCs w:val="0"/>
          <w:color w:val="auto"/>
          <w:sz w:val="21"/>
          <w:szCs w:val="15"/>
          <w:highlight w:val="none"/>
        </w:rPr>
        <w:t>8）智能检索：可通过关键字、条件表达式、时间范围对事件和流量元数据进行快速检索，快速定位到管理员关注的威胁和上下文数据。</w:t>
      </w:r>
    </w:p>
    <w:p w14:paraId="56D130BD">
      <w:pPr>
        <w:pStyle w:val="142"/>
        <w:ind w:firstLine="420"/>
        <w:rPr>
          <w:i w:val="0"/>
          <w:iCs w:val="0"/>
          <w:color w:val="auto"/>
          <w:sz w:val="21"/>
          <w:szCs w:val="15"/>
          <w:highlight w:val="none"/>
        </w:rPr>
      </w:pPr>
      <w:r>
        <w:rPr>
          <w:rFonts w:hint="eastAsia"/>
          <w:i w:val="0"/>
          <w:iCs w:val="0"/>
          <w:color w:val="auto"/>
          <w:sz w:val="21"/>
          <w:szCs w:val="15"/>
          <w:highlight w:val="none"/>
        </w:rPr>
        <w:t>9）支持与所投WAF、零信任产品联动。</w:t>
      </w:r>
    </w:p>
    <w:p w14:paraId="56D130BE">
      <w:pPr>
        <w:pStyle w:val="142"/>
        <w:ind w:firstLine="420"/>
        <w:rPr>
          <w:i w:val="0"/>
          <w:iCs w:val="0"/>
          <w:color w:val="auto"/>
          <w:sz w:val="21"/>
          <w:szCs w:val="15"/>
          <w:highlight w:val="none"/>
        </w:rPr>
      </w:pPr>
      <w:r>
        <w:rPr>
          <w:rFonts w:hint="eastAsia"/>
          <w:i w:val="0"/>
          <w:iCs w:val="0"/>
          <w:color w:val="auto"/>
          <w:sz w:val="21"/>
          <w:szCs w:val="15"/>
          <w:highlight w:val="none"/>
        </w:rPr>
        <w:t>10）支持大屏展示功能，通过可视化技术为用户提供基于整网威胁和异常的安全态势大屏，帮助用户通过大屏总览全网威胁态势，有助于帮助用户迅速判断并做出决策。支持攻击路径可视化，直观展示攻击过程和扩散路径，可呈现从外部渗透、建立通道、内部扩散到外发数据的完整攻击链和攻击上下文信息</w:t>
      </w:r>
    </w:p>
    <w:p w14:paraId="56D130BF">
      <w:pPr>
        <w:pStyle w:val="142"/>
        <w:ind w:firstLine="420"/>
        <w:rPr>
          <w:i w:val="0"/>
          <w:iCs w:val="0"/>
          <w:color w:val="auto"/>
          <w:sz w:val="21"/>
          <w:szCs w:val="15"/>
          <w:highlight w:val="none"/>
        </w:rPr>
      </w:pPr>
      <w:r>
        <w:rPr>
          <w:rFonts w:hint="eastAsia"/>
          <w:i w:val="0"/>
          <w:iCs w:val="0"/>
          <w:color w:val="auto"/>
          <w:sz w:val="21"/>
          <w:szCs w:val="15"/>
          <w:highlight w:val="none"/>
        </w:rPr>
        <w:t>11）提供相应软件和3年原厂售后服务（含3年威胁情报更新授权）。</w:t>
      </w:r>
    </w:p>
    <w:p w14:paraId="56D130C0">
      <w:pPr>
        <w:pStyle w:val="142"/>
        <w:ind w:firstLine="420"/>
        <w:rPr>
          <w:i w:val="0"/>
          <w:iCs w:val="0"/>
          <w:color w:val="auto"/>
          <w:sz w:val="21"/>
          <w:szCs w:val="15"/>
          <w:highlight w:val="none"/>
        </w:rPr>
      </w:pPr>
      <w:r>
        <w:rPr>
          <w:rFonts w:hint="eastAsia"/>
          <w:i w:val="0"/>
          <w:iCs w:val="0"/>
          <w:color w:val="auto"/>
          <w:sz w:val="21"/>
          <w:szCs w:val="15"/>
          <w:highlight w:val="none"/>
        </w:rPr>
        <w:t>12）所投产品需在《网络关键设备和网络安全专用产品目录》中。</w:t>
      </w:r>
    </w:p>
    <w:bookmarkEnd w:id="346"/>
    <w:p w14:paraId="56D130C1">
      <w:pPr>
        <w:pStyle w:val="6"/>
        <w:ind w:left="0"/>
        <w:rPr>
          <w:i w:val="0"/>
          <w:iCs w:val="0"/>
          <w:color w:val="auto"/>
          <w:sz w:val="21"/>
          <w:szCs w:val="21"/>
          <w:highlight w:val="none"/>
        </w:rPr>
      </w:pPr>
      <w:r>
        <w:rPr>
          <w:rFonts w:hint="eastAsia"/>
          <w:i w:val="0"/>
          <w:iCs w:val="0"/>
          <w:color w:val="auto"/>
          <w:sz w:val="21"/>
          <w:szCs w:val="21"/>
          <w:highlight w:val="none"/>
        </w:rPr>
        <w:t>探针</w:t>
      </w:r>
    </w:p>
    <w:p w14:paraId="56D130C2">
      <w:pPr>
        <w:pStyle w:val="142"/>
        <w:ind w:firstLine="420"/>
        <w:rPr>
          <w:i w:val="0"/>
          <w:iCs w:val="0"/>
          <w:color w:val="auto"/>
          <w:sz w:val="21"/>
          <w:szCs w:val="15"/>
          <w:highlight w:val="none"/>
        </w:rPr>
      </w:pPr>
      <w:r>
        <w:rPr>
          <w:rFonts w:hint="eastAsia"/>
          <w:i w:val="0"/>
          <w:iCs w:val="0"/>
          <w:color w:val="auto"/>
          <w:sz w:val="21"/>
          <w:szCs w:val="15"/>
          <w:highlight w:val="none"/>
        </w:rPr>
        <w:t>探针设备主要技术指标要求如下：</w:t>
      </w:r>
    </w:p>
    <w:p w14:paraId="56D130C3">
      <w:pPr>
        <w:pStyle w:val="142"/>
        <w:ind w:firstLine="420"/>
        <w:rPr>
          <w:i w:val="0"/>
          <w:iCs w:val="0"/>
          <w:color w:val="auto"/>
          <w:sz w:val="21"/>
          <w:szCs w:val="15"/>
          <w:highlight w:val="none"/>
        </w:rPr>
      </w:pPr>
      <w:r>
        <w:rPr>
          <w:rFonts w:hint="eastAsia"/>
          <w:i w:val="0"/>
          <w:iCs w:val="0"/>
          <w:color w:val="auto"/>
          <w:sz w:val="21"/>
          <w:szCs w:val="15"/>
          <w:highlight w:val="none"/>
        </w:rPr>
        <w:t>设备≤2U标准；CPU≥12核；内存≥16G；硬盘容量≥1T；吞吐量≥10G；设备接口：≥6个千兆电口；≥2个万兆光口（含模块）；≥2个扩展槽位；冗余电源；</w:t>
      </w:r>
      <w:r>
        <w:rPr>
          <w:rFonts w:hint="eastAsia"/>
          <w:i w:val="0"/>
          <w:iCs w:val="0"/>
          <w:color w:val="auto"/>
          <w:sz w:val="21"/>
          <w:szCs w:val="15"/>
          <w:highlight w:val="none"/>
          <w:lang w:val="en-US"/>
        </w:rPr>
        <w:t>3</w:t>
      </w:r>
      <w:r>
        <w:rPr>
          <w:rFonts w:hint="eastAsia"/>
          <w:i w:val="0"/>
          <w:iCs w:val="0"/>
          <w:color w:val="auto"/>
          <w:sz w:val="21"/>
          <w:szCs w:val="15"/>
          <w:highlight w:val="none"/>
        </w:rPr>
        <w:t>年硬件维保。3年流量传感器规则库升级授权；3年威胁情报更新授权。</w:t>
      </w:r>
    </w:p>
    <w:p w14:paraId="56D130C4">
      <w:pPr>
        <w:pStyle w:val="142"/>
        <w:ind w:firstLine="420"/>
        <w:rPr>
          <w:i w:val="0"/>
          <w:iCs w:val="0"/>
          <w:color w:val="auto"/>
          <w:sz w:val="21"/>
          <w:szCs w:val="15"/>
          <w:highlight w:val="none"/>
          <w:lang w:val="en-US"/>
        </w:rPr>
      </w:pPr>
      <w:r>
        <w:rPr>
          <w:i w:val="0"/>
          <w:iCs w:val="0"/>
          <w:color w:val="auto"/>
          <w:sz w:val="21"/>
          <w:szCs w:val="15"/>
          <w:highlight w:val="none"/>
          <w:lang w:val="en-US"/>
        </w:rPr>
        <w:t>态势感知平台部署的流量探针拟部署在核心交换区与其他区域对接区域，投标人可根据本方案进行优化调整，最终实施方案以设计联络确定的方案为准。流量探针的参数应满足本项目所有承载业务系统、云平台的流量要求，由投标人自行评估具体参数，若投标人所投参数无法满足最终项目需求，应无偿免费更换，直至满足要求为止</w:t>
      </w:r>
      <w:r>
        <w:rPr>
          <w:rFonts w:hint="eastAsia"/>
          <w:i w:val="0"/>
          <w:iCs w:val="0"/>
          <w:color w:val="auto"/>
          <w:sz w:val="21"/>
          <w:szCs w:val="15"/>
          <w:highlight w:val="none"/>
          <w:lang w:val="en-US"/>
        </w:rPr>
        <w:t>；</w:t>
      </w:r>
      <w:r>
        <w:rPr>
          <w:rFonts w:hint="eastAsia"/>
          <w:i w:val="0"/>
          <w:iCs w:val="0"/>
          <w:color w:val="auto"/>
          <w:sz w:val="21"/>
          <w:szCs w:val="15"/>
          <w:highlight w:val="none"/>
        </w:rPr>
        <w:t>投标人如需增加设备才能满足相关功能时，应自行列入报价清单，计入投标总价，若因投标人因漏报、误报所造成的工程量增加的费用由投标人自行承担。</w:t>
      </w:r>
    </w:p>
    <w:p w14:paraId="56D130C5">
      <w:pPr>
        <w:pStyle w:val="3"/>
        <w:rPr>
          <w:i w:val="0"/>
          <w:iCs w:val="0"/>
          <w:color w:val="auto"/>
          <w:sz w:val="24"/>
          <w:szCs w:val="32"/>
          <w:highlight w:val="none"/>
        </w:rPr>
      </w:pPr>
      <w:bookmarkStart w:id="347" w:name="_Toc15634"/>
      <w:r>
        <w:rPr>
          <w:rFonts w:hint="eastAsia"/>
          <w:i w:val="0"/>
          <w:iCs w:val="0"/>
          <w:color w:val="auto"/>
          <w:sz w:val="24"/>
          <w:szCs w:val="32"/>
          <w:highlight w:val="none"/>
        </w:rPr>
        <w:t>主要设备、材料清单</w:t>
      </w:r>
      <w:bookmarkEnd w:id="347"/>
      <w:r>
        <w:rPr>
          <w:rFonts w:hint="eastAsia" w:ascii="宋体" w:hAnsi="宋体" w:cs="宋体"/>
          <w:szCs w:val="21"/>
          <w:highlight w:val="none"/>
        </w:rPr>
        <w:t>★</w:t>
      </w:r>
    </w:p>
    <w:p w14:paraId="56D130C6">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投标人的供货范围应是满足长沙轨道交通6号线智慧地铁建设工程正常运营和维修要求的完整的系统货物。</w:t>
      </w:r>
    </w:p>
    <w:p w14:paraId="56D130C7">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投标人在投标时应根据自己的经验，结合本工程及所提供的系统和设备的特点，完善下列清单内容。</w:t>
      </w:r>
    </w:p>
    <w:p w14:paraId="56D130C8">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投标人在投标是应根据智慧地铁管控平台所列功能，提供相关系统改造方案，并完善下列清单内容，投标人需提供本工程所有系统软件调试服务。</w:t>
      </w:r>
    </w:p>
    <w:p w14:paraId="56D130C9">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必须保证其投标清单包含了用于投标的设备、材料、备品备件和投标清单中系统之间所有列明和未列明的设备、部件、软件（含授权）及材料以保证系统的完整性。其它附属设备及材料的清单也需详细开列。</w:t>
      </w:r>
      <w:bookmarkStart w:id="388" w:name="_GoBack"/>
      <w:bookmarkEnd w:id="388"/>
    </w:p>
    <w:p w14:paraId="56D130CA">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投标清单应将所有内容考虑在内，如有漏项或缺项，均属于投标人的风险。如果需要，投标人可以到招标人处查询全线、车站和车辆段/停车场平面图、径路图、区间图、既有系统工程建设情况等信息。</w:t>
      </w:r>
    </w:p>
    <w:p w14:paraId="56D130CB">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投标人应根据招标人或业主的具体需求提交全部所供设备的BIM 族/构件模型文件，同时提供该设备的信息清单。设备族/构件模型文件应至少精细到设备的主要元器件，信息清单应包含完整的几何和非几何信息，信息数据应满足全线施工、运维阶段的BIM 需求。</w:t>
      </w:r>
    </w:p>
    <w:p w14:paraId="56D130CC">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投标人应根据招标人或业主的具体需求，积极配合并参与实施基于现场施工需求的相关BIM 技术应用。</w:t>
      </w:r>
    </w:p>
    <w:p w14:paraId="56D130CD">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投标人按招标人或业主的要求完成全部设备基于BIM 平台或模型的相关几何和非几何信息的数据录入工作，根据招标人或业主的要求配合完成施工安装相关信息的录入工作。</w:t>
      </w:r>
    </w:p>
    <w:p w14:paraId="56D130CE">
      <w:pPr>
        <w:pStyle w:val="142"/>
        <w:ind w:firstLine="420"/>
        <w:rPr>
          <w:i w:val="0"/>
          <w:iCs w:val="0"/>
          <w:color w:val="auto"/>
          <w:sz w:val="21"/>
          <w:szCs w:val="15"/>
          <w:highlight w:val="none"/>
          <w:lang w:val="en-US"/>
        </w:rPr>
      </w:pPr>
      <w:r>
        <w:rPr>
          <w:rFonts w:hint="eastAsia"/>
          <w:i w:val="0"/>
          <w:iCs w:val="0"/>
          <w:color w:val="auto"/>
          <w:sz w:val="21"/>
          <w:szCs w:val="15"/>
          <w:highlight w:val="none"/>
          <w:lang w:val="en-US"/>
        </w:rPr>
        <w:t>投标人应充分了解该部分产生相关费用，此项费用包含在投标总价中。</w:t>
      </w:r>
    </w:p>
    <w:p w14:paraId="56D130CF">
      <w:pPr>
        <w:pStyle w:val="4"/>
        <w:rPr>
          <w:i w:val="0"/>
          <w:iCs w:val="0"/>
          <w:color w:val="auto"/>
          <w:sz w:val="24"/>
          <w:szCs w:val="21"/>
          <w:highlight w:val="none"/>
        </w:rPr>
      </w:pPr>
      <w:bookmarkStart w:id="348" w:name="_Toc21542"/>
      <w:r>
        <w:rPr>
          <w:rFonts w:hint="eastAsia"/>
          <w:i w:val="0"/>
          <w:iCs w:val="0"/>
          <w:color w:val="auto"/>
          <w:sz w:val="24"/>
          <w:szCs w:val="21"/>
          <w:highlight w:val="none"/>
        </w:rPr>
        <w:t>防洪防汛系统主要设备材料清单</w:t>
      </w:r>
      <w:bookmarkEnd w:id="348"/>
    </w:p>
    <w:p w14:paraId="56D130D0">
      <w:pPr>
        <w:pStyle w:val="5"/>
        <w:ind w:left="0"/>
        <w:rPr>
          <w:i w:val="0"/>
          <w:iCs w:val="0"/>
          <w:color w:val="auto"/>
          <w:sz w:val="22"/>
          <w:szCs w:val="22"/>
          <w:highlight w:val="none"/>
        </w:rPr>
      </w:pPr>
      <w:bookmarkStart w:id="349" w:name="_Toc15314"/>
      <w:r>
        <w:rPr>
          <w:rFonts w:hint="eastAsia"/>
          <w:i w:val="0"/>
          <w:iCs w:val="0"/>
          <w:color w:val="auto"/>
          <w:sz w:val="22"/>
          <w:szCs w:val="22"/>
          <w:highlight w:val="none"/>
          <w:lang w:val="en-US"/>
        </w:rPr>
        <w:t>主要设备表</w:t>
      </w:r>
      <w:bookmarkEnd w:id="349"/>
    </w:p>
    <w:tbl>
      <w:tblPr>
        <w:tblStyle w:val="88"/>
        <w:tblW w:w="7945" w:type="dxa"/>
        <w:tblInd w:w="272" w:type="dxa"/>
        <w:tblLayout w:type="fixed"/>
        <w:tblCellMar>
          <w:top w:w="0" w:type="dxa"/>
          <w:left w:w="0" w:type="dxa"/>
          <w:bottom w:w="0" w:type="dxa"/>
          <w:right w:w="0" w:type="dxa"/>
        </w:tblCellMar>
      </w:tblPr>
      <w:tblGrid>
        <w:gridCol w:w="790"/>
        <w:gridCol w:w="3480"/>
        <w:gridCol w:w="1140"/>
        <w:gridCol w:w="840"/>
        <w:gridCol w:w="1695"/>
      </w:tblGrid>
      <w:tr w14:paraId="56D130D6">
        <w:tblPrEx>
          <w:tblCellMar>
            <w:top w:w="0" w:type="dxa"/>
            <w:left w:w="0" w:type="dxa"/>
            <w:bottom w:w="0" w:type="dxa"/>
            <w:right w:w="0" w:type="dxa"/>
          </w:tblCellMar>
        </w:tblPrEx>
        <w:trPr>
          <w:trHeight w:val="23" w:hRule="atLeast"/>
        </w:trPr>
        <w:tc>
          <w:tcPr>
            <w:tcW w:w="790" w:type="dxa"/>
            <w:tcBorders>
              <w:top w:val="single" w:color="000000" w:sz="4" w:space="0"/>
              <w:left w:val="single" w:color="000000" w:sz="4" w:space="0"/>
              <w:bottom w:val="single" w:color="000000" w:sz="4" w:space="0"/>
              <w:right w:val="single" w:color="000000" w:sz="4" w:space="0"/>
            </w:tcBorders>
          </w:tcPr>
          <w:p w14:paraId="56D130D1">
            <w:pPr>
              <w:widowControl/>
              <w:spacing w:line="276" w:lineRule="auto"/>
              <w:jc w:val="center"/>
              <w:rPr>
                <w:i w:val="0"/>
                <w:iCs w:val="0"/>
                <w:color w:val="auto"/>
                <w:sz w:val="21"/>
                <w:szCs w:val="15"/>
                <w:highlight w:val="none"/>
              </w:rPr>
            </w:pPr>
            <w:bookmarkStart w:id="350" w:name="bookmark42"/>
            <w:bookmarkEnd w:id="350"/>
            <w:r>
              <w:rPr>
                <w:rFonts w:hint="eastAsia"/>
                <w:i w:val="0"/>
                <w:iCs w:val="0"/>
                <w:color w:val="auto"/>
                <w:sz w:val="21"/>
                <w:szCs w:val="15"/>
                <w:highlight w:val="none"/>
              </w:rPr>
              <w:t>序号</w:t>
            </w:r>
          </w:p>
        </w:tc>
        <w:tc>
          <w:tcPr>
            <w:tcW w:w="3480" w:type="dxa"/>
            <w:tcBorders>
              <w:top w:val="single" w:color="000000" w:sz="4" w:space="0"/>
              <w:left w:val="nil"/>
              <w:bottom w:val="single" w:color="000000" w:sz="4" w:space="0"/>
              <w:right w:val="single" w:color="000000" w:sz="4" w:space="0"/>
            </w:tcBorders>
          </w:tcPr>
          <w:p w14:paraId="56D130D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1140" w:type="dxa"/>
            <w:tcBorders>
              <w:top w:val="single" w:color="000000" w:sz="4" w:space="0"/>
              <w:left w:val="nil"/>
              <w:bottom w:val="single" w:color="000000" w:sz="4" w:space="0"/>
              <w:right w:val="single" w:color="000000" w:sz="4" w:space="0"/>
            </w:tcBorders>
          </w:tcPr>
          <w:p w14:paraId="56D130D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840" w:type="dxa"/>
            <w:tcBorders>
              <w:top w:val="single" w:color="000000" w:sz="4" w:space="0"/>
              <w:left w:val="nil"/>
              <w:bottom w:val="single" w:color="000000" w:sz="4" w:space="0"/>
              <w:right w:val="single" w:color="000000" w:sz="4" w:space="0"/>
            </w:tcBorders>
          </w:tcPr>
          <w:p w14:paraId="56D130D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1695" w:type="dxa"/>
            <w:tcBorders>
              <w:top w:val="single" w:color="000000" w:sz="4" w:space="0"/>
              <w:left w:val="nil"/>
              <w:bottom w:val="single" w:color="000000" w:sz="4" w:space="0"/>
              <w:right w:val="single" w:color="000000" w:sz="4" w:space="0"/>
            </w:tcBorders>
          </w:tcPr>
          <w:p w14:paraId="56D130D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0DC">
        <w:tblPrEx>
          <w:tblCellMar>
            <w:top w:w="0" w:type="dxa"/>
            <w:left w:w="0" w:type="dxa"/>
            <w:bottom w:w="0" w:type="dxa"/>
            <w:right w:w="0" w:type="dxa"/>
          </w:tblCellMar>
        </w:tblPrEx>
        <w:trPr>
          <w:trHeight w:val="23" w:hRule="atLeast"/>
        </w:trPr>
        <w:tc>
          <w:tcPr>
            <w:tcW w:w="790" w:type="dxa"/>
            <w:tcBorders>
              <w:top w:val="single" w:color="000000" w:sz="4" w:space="0"/>
              <w:left w:val="single" w:color="000000" w:sz="4" w:space="0"/>
              <w:bottom w:val="single" w:color="000000" w:sz="4" w:space="0"/>
              <w:right w:val="single" w:color="000000" w:sz="4" w:space="0"/>
            </w:tcBorders>
          </w:tcPr>
          <w:p w14:paraId="56D130D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480" w:type="dxa"/>
            <w:tcBorders>
              <w:top w:val="single" w:color="000000" w:sz="4" w:space="0"/>
              <w:left w:val="nil"/>
              <w:bottom w:val="single" w:color="000000" w:sz="4" w:space="0"/>
              <w:right w:val="single" w:color="000000" w:sz="4" w:space="0"/>
            </w:tcBorders>
          </w:tcPr>
          <w:p w14:paraId="56D130D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车站水淹评估应用</w:t>
            </w:r>
          </w:p>
        </w:tc>
        <w:tc>
          <w:tcPr>
            <w:tcW w:w="1140" w:type="dxa"/>
            <w:tcBorders>
              <w:top w:val="single" w:color="000000" w:sz="4" w:space="0"/>
              <w:left w:val="nil"/>
              <w:bottom w:val="single" w:color="000000" w:sz="4" w:space="0"/>
              <w:right w:val="single" w:color="000000" w:sz="4" w:space="0"/>
            </w:tcBorders>
          </w:tcPr>
          <w:p w14:paraId="56D130D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40" w:type="dxa"/>
            <w:tcBorders>
              <w:top w:val="single" w:color="000000" w:sz="4" w:space="0"/>
              <w:left w:val="nil"/>
              <w:bottom w:val="single" w:color="000000" w:sz="4" w:space="0"/>
              <w:right w:val="single" w:color="000000" w:sz="4" w:space="0"/>
            </w:tcBorders>
          </w:tcPr>
          <w:p w14:paraId="56D130D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695" w:type="dxa"/>
            <w:tcBorders>
              <w:top w:val="single" w:color="000000" w:sz="4" w:space="0"/>
              <w:left w:val="nil"/>
              <w:bottom w:val="single" w:color="000000" w:sz="4" w:space="0"/>
              <w:right w:val="single" w:color="000000" w:sz="4" w:space="0"/>
            </w:tcBorders>
          </w:tcPr>
          <w:p w14:paraId="56D130DB">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0E2">
        <w:tblPrEx>
          <w:tblCellMar>
            <w:top w:w="0" w:type="dxa"/>
            <w:left w:w="0" w:type="dxa"/>
            <w:bottom w:w="0" w:type="dxa"/>
            <w:right w:w="0" w:type="dxa"/>
          </w:tblCellMar>
        </w:tblPrEx>
        <w:trPr>
          <w:trHeight w:val="23" w:hRule="atLeast"/>
        </w:trPr>
        <w:tc>
          <w:tcPr>
            <w:tcW w:w="790" w:type="dxa"/>
            <w:tcBorders>
              <w:top w:val="single" w:color="000000" w:sz="4" w:space="0"/>
              <w:left w:val="single" w:color="000000" w:sz="4" w:space="0"/>
              <w:bottom w:val="single" w:color="000000" w:sz="4" w:space="0"/>
              <w:right w:val="single" w:color="000000" w:sz="4" w:space="0"/>
            </w:tcBorders>
          </w:tcPr>
          <w:p w14:paraId="56D130D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3480" w:type="dxa"/>
            <w:tcBorders>
              <w:top w:val="single" w:color="000000" w:sz="4" w:space="0"/>
              <w:left w:val="nil"/>
              <w:bottom w:val="single" w:color="000000" w:sz="4" w:space="0"/>
              <w:right w:val="single" w:color="000000" w:sz="4" w:space="0"/>
            </w:tcBorders>
          </w:tcPr>
          <w:p w14:paraId="56D130D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车站防汛四张图电子化</w:t>
            </w:r>
          </w:p>
        </w:tc>
        <w:tc>
          <w:tcPr>
            <w:tcW w:w="1140" w:type="dxa"/>
            <w:tcBorders>
              <w:top w:val="single" w:color="000000" w:sz="4" w:space="0"/>
              <w:left w:val="nil"/>
              <w:bottom w:val="single" w:color="000000" w:sz="4" w:space="0"/>
              <w:right w:val="single" w:color="000000" w:sz="4" w:space="0"/>
            </w:tcBorders>
          </w:tcPr>
          <w:p w14:paraId="56D130D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40" w:type="dxa"/>
            <w:tcBorders>
              <w:top w:val="single" w:color="000000" w:sz="4" w:space="0"/>
              <w:left w:val="nil"/>
              <w:bottom w:val="single" w:color="000000" w:sz="4" w:space="0"/>
              <w:right w:val="single" w:color="000000" w:sz="4" w:space="0"/>
            </w:tcBorders>
          </w:tcPr>
          <w:p w14:paraId="56D130E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695" w:type="dxa"/>
            <w:tcBorders>
              <w:top w:val="single" w:color="000000" w:sz="4" w:space="0"/>
              <w:left w:val="nil"/>
              <w:bottom w:val="single" w:color="000000" w:sz="4" w:space="0"/>
              <w:right w:val="single" w:color="000000" w:sz="4" w:space="0"/>
            </w:tcBorders>
          </w:tcPr>
          <w:p w14:paraId="56D130E1">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0E8">
        <w:tblPrEx>
          <w:tblCellMar>
            <w:top w:w="0" w:type="dxa"/>
            <w:left w:w="0" w:type="dxa"/>
            <w:bottom w:w="0" w:type="dxa"/>
            <w:right w:w="0" w:type="dxa"/>
          </w:tblCellMar>
        </w:tblPrEx>
        <w:trPr>
          <w:trHeight w:val="23" w:hRule="atLeast"/>
        </w:trPr>
        <w:tc>
          <w:tcPr>
            <w:tcW w:w="790" w:type="dxa"/>
            <w:tcBorders>
              <w:top w:val="single" w:color="000000" w:sz="4" w:space="0"/>
              <w:left w:val="single" w:color="000000" w:sz="4" w:space="0"/>
              <w:bottom w:val="single" w:color="000000" w:sz="4" w:space="0"/>
              <w:right w:val="single" w:color="000000" w:sz="4" w:space="0"/>
            </w:tcBorders>
          </w:tcPr>
          <w:p w14:paraId="56D130E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3480" w:type="dxa"/>
            <w:tcBorders>
              <w:top w:val="single" w:color="000000" w:sz="4" w:space="0"/>
              <w:left w:val="nil"/>
              <w:bottom w:val="single" w:color="000000" w:sz="4" w:space="0"/>
              <w:right w:val="single" w:color="000000" w:sz="4" w:space="0"/>
            </w:tcBorders>
          </w:tcPr>
          <w:p w14:paraId="56D130E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预案联动处置</w:t>
            </w:r>
          </w:p>
        </w:tc>
        <w:tc>
          <w:tcPr>
            <w:tcW w:w="1140" w:type="dxa"/>
            <w:tcBorders>
              <w:top w:val="single" w:color="000000" w:sz="4" w:space="0"/>
              <w:left w:val="nil"/>
              <w:bottom w:val="single" w:color="000000" w:sz="4" w:space="0"/>
              <w:right w:val="single" w:color="000000" w:sz="4" w:space="0"/>
            </w:tcBorders>
          </w:tcPr>
          <w:p w14:paraId="56D130E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40" w:type="dxa"/>
            <w:tcBorders>
              <w:top w:val="single" w:color="000000" w:sz="4" w:space="0"/>
              <w:left w:val="nil"/>
              <w:bottom w:val="single" w:color="000000" w:sz="4" w:space="0"/>
              <w:right w:val="single" w:color="000000" w:sz="4" w:space="0"/>
            </w:tcBorders>
          </w:tcPr>
          <w:p w14:paraId="56D130E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695" w:type="dxa"/>
            <w:tcBorders>
              <w:top w:val="single" w:color="000000" w:sz="4" w:space="0"/>
              <w:left w:val="nil"/>
              <w:bottom w:val="single" w:color="000000" w:sz="4" w:space="0"/>
              <w:right w:val="single" w:color="000000" w:sz="4" w:space="0"/>
            </w:tcBorders>
          </w:tcPr>
          <w:p w14:paraId="56D130E7">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0EE">
        <w:tblPrEx>
          <w:tblCellMar>
            <w:top w:w="0" w:type="dxa"/>
            <w:left w:w="0" w:type="dxa"/>
            <w:bottom w:w="0" w:type="dxa"/>
            <w:right w:w="0" w:type="dxa"/>
          </w:tblCellMar>
        </w:tblPrEx>
        <w:trPr>
          <w:trHeight w:val="23" w:hRule="atLeast"/>
        </w:trPr>
        <w:tc>
          <w:tcPr>
            <w:tcW w:w="790" w:type="dxa"/>
            <w:tcBorders>
              <w:top w:val="single" w:color="000000" w:sz="4" w:space="0"/>
              <w:left w:val="single" w:color="000000" w:sz="4" w:space="0"/>
              <w:bottom w:val="single" w:color="000000" w:sz="4" w:space="0"/>
              <w:right w:val="single" w:color="000000" w:sz="4" w:space="0"/>
            </w:tcBorders>
          </w:tcPr>
          <w:p w14:paraId="56D130E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3480" w:type="dxa"/>
            <w:tcBorders>
              <w:top w:val="single" w:color="000000" w:sz="4" w:space="0"/>
              <w:left w:val="nil"/>
              <w:bottom w:val="single" w:color="000000" w:sz="4" w:space="0"/>
              <w:right w:val="single" w:color="000000" w:sz="4" w:space="0"/>
            </w:tcBorders>
          </w:tcPr>
          <w:p w14:paraId="56D130E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水位异常告警</w:t>
            </w:r>
          </w:p>
        </w:tc>
        <w:tc>
          <w:tcPr>
            <w:tcW w:w="1140" w:type="dxa"/>
            <w:tcBorders>
              <w:top w:val="single" w:color="000000" w:sz="4" w:space="0"/>
              <w:left w:val="nil"/>
              <w:bottom w:val="single" w:color="000000" w:sz="4" w:space="0"/>
              <w:right w:val="single" w:color="000000" w:sz="4" w:space="0"/>
            </w:tcBorders>
          </w:tcPr>
          <w:p w14:paraId="56D130E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40" w:type="dxa"/>
            <w:tcBorders>
              <w:top w:val="single" w:color="000000" w:sz="4" w:space="0"/>
              <w:left w:val="nil"/>
              <w:bottom w:val="single" w:color="000000" w:sz="4" w:space="0"/>
              <w:right w:val="single" w:color="000000" w:sz="4" w:space="0"/>
            </w:tcBorders>
          </w:tcPr>
          <w:p w14:paraId="56D130E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695" w:type="dxa"/>
            <w:tcBorders>
              <w:top w:val="single" w:color="000000" w:sz="4" w:space="0"/>
              <w:left w:val="nil"/>
              <w:bottom w:val="single" w:color="000000" w:sz="4" w:space="0"/>
              <w:right w:val="single" w:color="000000" w:sz="4" w:space="0"/>
            </w:tcBorders>
          </w:tcPr>
          <w:p w14:paraId="56D130ED">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0F4">
        <w:tblPrEx>
          <w:tblCellMar>
            <w:top w:w="0" w:type="dxa"/>
            <w:left w:w="0" w:type="dxa"/>
            <w:bottom w:w="0" w:type="dxa"/>
            <w:right w:w="0" w:type="dxa"/>
          </w:tblCellMar>
        </w:tblPrEx>
        <w:trPr>
          <w:trHeight w:val="23" w:hRule="atLeast"/>
        </w:trPr>
        <w:tc>
          <w:tcPr>
            <w:tcW w:w="790" w:type="dxa"/>
            <w:tcBorders>
              <w:top w:val="single" w:color="000000" w:sz="4" w:space="0"/>
              <w:left w:val="single" w:color="000000" w:sz="4" w:space="0"/>
              <w:bottom w:val="single" w:color="000000" w:sz="4" w:space="0"/>
              <w:right w:val="single" w:color="000000" w:sz="4" w:space="0"/>
            </w:tcBorders>
          </w:tcPr>
          <w:p w14:paraId="56D130EF">
            <w:pPr>
              <w:widowControl/>
              <w:spacing w:line="276" w:lineRule="auto"/>
              <w:jc w:val="center"/>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5</w:t>
            </w:r>
          </w:p>
        </w:tc>
        <w:tc>
          <w:tcPr>
            <w:tcW w:w="3480" w:type="dxa"/>
            <w:tcBorders>
              <w:top w:val="single" w:color="000000" w:sz="4" w:space="0"/>
              <w:left w:val="nil"/>
              <w:bottom w:val="single" w:color="000000" w:sz="4" w:space="0"/>
              <w:right w:val="single" w:color="000000" w:sz="4" w:space="0"/>
            </w:tcBorders>
          </w:tcPr>
          <w:p w14:paraId="56D130F0">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rPr>
              <w:t>电子水尺</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含</w:t>
            </w:r>
            <w:r>
              <w:rPr>
                <w:rFonts w:hint="eastAsia"/>
                <w:i w:val="0"/>
                <w:iCs w:val="0"/>
                <w:color w:val="auto"/>
                <w:sz w:val="21"/>
                <w:szCs w:val="15"/>
                <w:highlight w:val="none"/>
              </w:rPr>
              <w:t>电子水尺保护盒</w:t>
            </w:r>
            <w:r>
              <w:rPr>
                <w:rFonts w:hint="eastAsia"/>
                <w:i w:val="0"/>
                <w:iCs w:val="0"/>
                <w:color w:val="auto"/>
                <w:sz w:val="21"/>
                <w:szCs w:val="15"/>
                <w:highlight w:val="none"/>
                <w:lang w:eastAsia="zh-CN"/>
              </w:rPr>
              <w:t>）</w:t>
            </w:r>
          </w:p>
        </w:tc>
        <w:tc>
          <w:tcPr>
            <w:tcW w:w="1140" w:type="dxa"/>
            <w:tcBorders>
              <w:top w:val="single" w:color="000000" w:sz="4" w:space="0"/>
              <w:left w:val="nil"/>
              <w:bottom w:val="single" w:color="000000" w:sz="4" w:space="0"/>
              <w:right w:val="single" w:color="000000" w:sz="4" w:space="0"/>
            </w:tcBorders>
          </w:tcPr>
          <w:p w14:paraId="56D130F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840" w:type="dxa"/>
            <w:tcBorders>
              <w:top w:val="single" w:color="000000" w:sz="4" w:space="0"/>
              <w:left w:val="nil"/>
              <w:bottom w:val="single" w:color="000000" w:sz="4" w:space="0"/>
              <w:right w:val="single" w:color="000000" w:sz="4" w:space="0"/>
            </w:tcBorders>
          </w:tcPr>
          <w:p w14:paraId="56D130F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102</w:t>
            </w:r>
          </w:p>
        </w:tc>
        <w:tc>
          <w:tcPr>
            <w:tcW w:w="1695" w:type="dxa"/>
            <w:tcBorders>
              <w:top w:val="single" w:color="000000" w:sz="4" w:space="0"/>
              <w:left w:val="nil"/>
              <w:bottom w:val="single" w:color="000000" w:sz="4" w:space="0"/>
              <w:right w:val="single" w:color="000000" w:sz="4" w:space="0"/>
            </w:tcBorders>
          </w:tcPr>
          <w:p w14:paraId="56D130F3">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100">
        <w:tblPrEx>
          <w:tblCellMar>
            <w:top w:w="0" w:type="dxa"/>
            <w:left w:w="0" w:type="dxa"/>
            <w:bottom w:w="0" w:type="dxa"/>
            <w:right w:w="0" w:type="dxa"/>
          </w:tblCellMar>
        </w:tblPrEx>
        <w:trPr>
          <w:trHeight w:val="23" w:hRule="atLeast"/>
        </w:trPr>
        <w:tc>
          <w:tcPr>
            <w:tcW w:w="790" w:type="dxa"/>
            <w:tcBorders>
              <w:top w:val="single" w:color="000000" w:sz="4" w:space="0"/>
              <w:left w:val="single" w:color="000000" w:sz="4" w:space="0"/>
              <w:bottom w:val="single" w:color="000000" w:sz="4" w:space="0"/>
              <w:right w:val="single" w:color="000000" w:sz="4" w:space="0"/>
            </w:tcBorders>
          </w:tcPr>
          <w:p w14:paraId="56D130FB">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6</w:t>
            </w:r>
          </w:p>
        </w:tc>
        <w:tc>
          <w:tcPr>
            <w:tcW w:w="3480" w:type="dxa"/>
            <w:tcBorders>
              <w:top w:val="single" w:color="000000" w:sz="4" w:space="0"/>
              <w:left w:val="nil"/>
              <w:bottom w:val="single" w:color="000000" w:sz="4" w:space="0"/>
              <w:right w:val="single" w:color="000000" w:sz="4" w:space="0"/>
            </w:tcBorders>
          </w:tcPr>
          <w:p w14:paraId="56D130F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AI点位模块</w:t>
            </w:r>
          </w:p>
        </w:tc>
        <w:tc>
          <w:tcPr>
            <w:tcW w:w="1140" w:type="dxa"/>
            <w:tcBorders>
              <w:top w:val="single" w:color="000000" w:sz="4" w:space="0"/>
              <w:left w:val="nil"/>
              <w:bottom w:val="single" w:color="000000" w:sz="4" w:space="0"/>
              <w:right w:val="single" w:color="000000" w:sz="4" w:space="0"/>
            </w:tcBorders>
          </w:tcPr>
          <w:p w14:paraId="56D130F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个</w:t>
            </w:r>
          </w:p>
        </w:tc>
        <w:tc>
          <w:tcPr>
            <w:tcW w:w="840" w:type="dxa"/>
            <w:tcBorders>
              <w:top w:val="single" w:color="000000" w:sz="4" w:space="0"/>
              <w:left w:val="nil"/>
              <w:bottom w:val="single" w:color="000000" w:sz="4" w:space="0"/>
              <w:right w:val="single" w:color="000000" w:sz="4" w:space="0"/>
            </w:tcBorders>
          </w:tcPr>
          <w:p w14:paraId="56D130F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102</w:t>
            </w:r>
          </w:p>
        </w:tc>
        <w:tc>
          <w:tcPr>
            <w:tcW w:w="1695" w:type="dxa"/>
            <w:tcBorders>
              <w:top w:val="single" w:color="000000" w:sz="4" w:space="0"/>
              <w:left w:val="nil"/>
              <w:bottom w:val="single" w:color="000000" w:sz="4" w:space="0"/>
              <w:right w:val="single" w:color="000000" w:sz="4" w:space="0"/>
            </w:tcBorders>
          </w:tcPr>
          <w:p w14:paraId="56D130FF">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106">
        <w:tblPrEx>
          <w:tblCellMar>
            <w:top w:w="0" w:type="dxa"/>
            <w:left w:w="0" w:type="dxa"/>
            <w:bottom w:w="0" w:type="dxa"/>
            <w:right w:w="0" w:type="dxa"/>
          </w:tblCellMar>
        </w:tblPrEx>
        <w:trPr>
          <w:trHeight w:val="23" w:hRule="atLeast"/>
        </w:trPr>
        <w:tc>
          <w:tcPr>
            <w:tcW w:w="790" w:type="dxa"/>
            <w:tcBorders>
              <w:top w:val="single" w:color="000000" w:sz="4" w:space="0"/>
              <w:left w:val="single" w:color="000000" w:sz="4" w:space="0"/>
              <w:bottom w:val="single" w:color="000000" w:sz="4" w:space="0"/>
              <w:right w:val="single" w:color="000000" w:sz="4" w:space="0"/>
            </w:tcBorders>
          </w:tcPr>
          <w:p w14:paraId="56D13101">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7</w:t>
            </w:r>
          </w:p>
        </w:tc>
        <w:tc>
          <w:tcPr>
            <w:tcW w:w="3480" w:type="dxa"/>
            <w:tcBorders>
              <w:top w:val="single" w:color="000000" w:sz="4" w:space="0"/>
              <w:left w:val="nil"/>
              <w:bottom w:val="single" w:color="000000" w:sz="4" w:space="0"/>
              <w:right w:val="single" w:color="000000" w:sz="4" w:space="0"/>
            </w:tcBorders>
          </w:tcPr>
          <w:p w14:paraId="56D1310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BAS系统接入新增点位并上传改造</w:t>
            </w:r>
          </w:p>
        </w:tc>
        <w:tc>
          <w:tcPr>
            <w:tcW w:w="1140" w:type="dxa"/>
            <w:tcBorders>
              <w:top w:val="single" w:color="000000" w:sz="4" w:space="0"/>
              <w:left w:val="nil"/>
              <w:bottom w:val="single" w:color="000000" w:sz="4" w:space="0"/>
              <w:right w:val="single" w:color="000000" w:sz="4" w:space="0"/>
            </w:tcBorders>
            <w:shd w:val="clear" w:color="auto" w:fill="auto"/>
          </w:tcPr>
          <w:p w14:paraId="56D1310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个</w:t>
            </w:r>
          </w:p>
        </w:tc>
        <w:tc>
          <w:tcPr>
            <w:tcW w:w="840" w:type="dxa"/>
            <w:tcBorders>
              <w:top w:val="single" w:color="000000" w:sz="4" w:space="0"/>
              <w:left w:val="nil"/>
              <w:bottom w:val="single" w:color="000000" w:sz="4" w:space="0"/>
              <w:right w:val="single" w:color="000000" w:sz="4" w:space="0"/>
            </w:tcBorders>
            <w:shd w:val="clear" w:color="auto" w:fill="auto"/>
          </w:tcPr>
          <w:p w14:paraId="56D1310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102</w:t>
            </w:r>
          </w:p>
        </w:tc>
        <w:tc>
          <w:tcPr>
            <w:tcW w:w="1695" w:type="dxa"/>
            <w:tcBorders>
              <w:top w:val="single" w:color="000000" w:sz="4" w:space="0"/>
              <w:left w:val="nil"/>
              <w:bottom w:val="single" w:color="000000" w:sz="4" w:space="0"/>
              <w:right w:val="single" w:color="000000" w:sz="4" w:space="0"/>
            </w:tcBorders>
          </w:tcPr>
          <w:p w14:paraId="56D13105">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bl>
    <w:p w14:paraId="56D13107">
      <w:pPr>
        <w:pStyle w:val="5"/>
        <w:ind w:left="0"/>
        <w:rPr>
          <w:i w:val="0"/>
          <w:iCs w:val="0"/>
          <w:color w:val="auto"/>
          <w:sz w:val="22"/>
          <w:szCs w:val="22"/>
          <w:highlight w:val="none"/>
        </w:rPr>
      </w:pPr>
      <w:bookmarkStart w:id="351" w:name="_Toc15103"/>
      <w:r>
        <w:rPr>
          <w:rFonts w:hint="eastAsia"/>
          <w:i w:val="0"/>
          <w:iCs w:val="0"/>
          <w:color w:val="auto"/>
          <w:sz w:val="22"/>
          <w:szCs w:val="22"/>
          <w:highlight w:val="none"/>
          <w:lang w:val="en-US"/>
        </w:rPr>
        <w:t>主要材料表</w:t>
      </w:r>
      <w:bookmarkEnd w:id="351"/>
    </w:p>
    <w:tbl>
      <w:tblPr>
        <w:tblStyle w:val="88"/>
        <w:tblW w:w="0" w:type="auto"/>
        <w:jc w:val="center"/>
        <w:tblLayout w:type="fixed"/>
        <w:tblCellMar>
          <w:top w:w="0" w:type="dxa"/>
          <w:left w:w="0" w:type="dxa"/>
          <w:bottom w:w="0" w:type="dxa"/>
          <w:right w:w="0" w:type="dxa"/>
        </w:tblCellMar>
      </w:tblPr>
      <w:tblGrid>
        <w:gridCol w:w="819"/>
        <w:gridCol w:w="2285"/>
        <w:gridCol w:w="703"/>
        <w:gridCol w:w="788"/>
        <w:gridCol w:w="3311"/>
      </w:tblGrid>
      <w:tr w14:paraId="56D1310D">
        <w:tblPrEx>
          <w:tblCellMar>
            <w:top w:w="0" w:type="dxa"/>
            <w:left w:w="0" w:type="dxa"/>
            <w:bottom w:w="0" w:type="dxa"/>
            <w:right w:w="0" w:type="dxa"/>
          </w:tblCellMar>
        </w:tblPrEx>
        <w:trPr>
          <w:trHeight w:val="23" w:hRule="atLeast"/>
          <w:jc w:val="center"/>
        </w:trPr>
        <w:tc>
          <w:tcPr>
            <w:tcW w:w="819" w:type="dxa"/>
            <w:tcBorders>
              <w:top w:val="single" w:color="000000" w:sz="4" w:space="0"/>
              <w:left w:val="single" w:color="000000" w:sz="4" w:space="0"/>
              <w:bottom w:val="single" w:color="000000" w:sz="4" w:space="0"/>
              <w:right w:val="single" w:color="000000" w:sz="4" w:space="0"/>
            </w:tcBorders>
            <w:vAlign w:val="center"/>
          </w:tcPr>
          <w:p w14:paraId="56D1310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285" w:type="dxa"/>
            <w:tcBorders>
              <w:top w:val="single" w:color="000000" w:sz="4" w:space="0"/>
              <w:left w:val="nil"/>
              <w:bottom w:val="single" w:color="000000" w:sz="4" w:space="0"/>
              <w:right w:val="single" w:color="000000" w:sz="4" w:space="0"/>
            </w:tcBorders>
            <w:vAlign w:val="center"/>
          </w:tcPr>
          <w:p w14:paraId="56D1310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703" w:type="dxa"/>
            <w:tcBorders>
              <w:top w:val="single" w:color="000000" w:sz="4" w:space="0"/>
              <w:left w:val="nil"/>
              <w:bottom w:val="single" w:color="000000" w:sz="4" w:space="0"/>
              <w:right w:val="single" w:color="000000" w:sz="4" w:space="0"/>
            </w:tcBorders>
            <w:vAlign w:val="center"/>
          </w:tcPr>
          <w:p w14:paraId="56D1310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788" w:type="dxa"/>
            <w:tcBorders>
              <w:top w:val="single" w:color="000000" w:sz="4" w:space="0"/>
              <w:left w:val="nil"/>
              <w:bottom w:val="single" w:color="000000" w:sz="4" w:space="0"/>
              <w:right w:val="single" w:color="000000" w:sz="4" w:space="0"/>
            </w:tcBorders>
            <w:vAlign w:val="center"/>
          </w:tcPr>
          <w:p w14:paraId="56D1310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311" w:type="dxa"/>
            <w:tcBorders>
              <w:top w:val="single" w:color="000000" w:sz="4" w:space="0"/>
              <w:left w:val="nil"/>
              <w:bottom w:val="single" w:color="000000" w:sz="4" w:space="0"/>
              <w:right w:val="single" w:color="000000" w:sz="4" w:space="0"/>
            </w:tcBorders>
            <w:vAlign w:val="center"/>
          </w:tcPr>
          <w:p w14:paraId="56D1310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113">
        <w:tblPrEx>
          <w:tblCellMar>
            <w:top w:w="0" w:type="dxa"/>
            <w:left w:w="0" w:type="dxa"/>
            <w:bottom w:w="0" w:type="dxa"/>
            <w:right w:w="0" w:type="dxa"/>
          </w:tblCellMar>
        </w:tblPrEx>
        <w:trPr>
          <w:trHeight w:val="23" w:hRule="atLeast"/>
          <w:jc w:val="center"/>
        </w:trPr>
        <w:tc>
          <w:tcPr>
            <w:tcW w:w="819" w:type="dxa"/>
            <w:tcBorders>
              <w:top w:val="single" w:color="000000" w:sz="4" w:space="0"/>
              <w:left w:val="single" w:color="000000" w:sz="4" w:space="0"/>
              <w:bottom w:val="single" w:color="000000" w:sz="4" w:space="0"/>
              <w:right w:val="single" w:color="000000" w:sz="4" w:space="0"/>
            </w:tcBorders>
            <w:vAlign w:val="center"/>
          </w:tcPr>
          <w:p w14:paraId="56D1310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285" w:type="dxa"/>
            <w:tcBorders>
              <w:top w:val="single" w:color="000000" w:sz="4" w:space="0"/>
              <w:left w:val="nil"/>
              <w:bottom w:val="single" w:color="000000" w:sz="4" w:space="0"/>
              <w:right w:val="single" w:color="000000" w:sz="4" w:space="0"/>
            </w:tcBorders>
            <w:vAlign w:val="center"/>
          </w:tcPr>
          <w:p w14:paraId="56D1310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镀锌钢管SC25</w:t>
            </w:r>
          </w:p>
        </w:tc>
        <w:tc>
          <w:tcPr>
            <w:tcW w:w="703" w:type="dxa"/>
            <w:tcBorders>
              <w:top w:val="single" w:color="000000" w:sz="4" w:space="0"/>
              <w:left w:val="nil"/>
              <w:bottom w:val="single" w:color="000000" w:sz="4" w:space="0"/>
              <w:right w:val="single" w:color="000000" w:sz="4" w:space="0"/>
            </w:tcBorders>
            <w:vAlign w:val="center"/>
          </w:tcPr>
          <w:p w14:paraId="56D1311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88" w:type="dxa"/>
            <w:tcBorders>
              <w:top w:val="single" w:color="000000" w:sz="4" w:space="0"/>
              <w:left w:val="nil"/>
              <w:bottom w:val="single" w:color="000000" w:sz="4" w:space="0"/>
              <w:right w:val="single" w:color="000000" w:sz="4" w:space="0"/>
            </w:tcBorders>
            <w:vAlign w:val="center"/>
          </w:tcPr>
          <w:p w14:paraId="56D1311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5200</w:t>
            </w:r>
          </w:p>
        </w:tc>
        <w:tc>
          <w:tcPr>
            <w:tcW w:w="3311" w:type="dxa"/>
            <w:tcBorders>
              <w:top w:val="single" w:color="000000" w:sz="4" w:space="0"/>
              <w:left w:val="nil"/>
              <w:bottom w:val="single" w:color="000000" w:sz="4" w:space="0"/>
              <w:right w:val="single" w:color="000000" w:sz="4" w:space="0"/>
            </w:tcBorders>
            <w:vAlign w:val="center"/>
          </w:tcPr>
          <w:p w14:paraId="56D13112">
            <w:pPr>
              <w:widowControl/>
              <w:spacing w:line="276" w:lineRule="auto"/>
              <w:jc w:val="center"/>
              <w:rPr>
                <w:i w:val="0"/>
                <w:iCs w:val="0"/>
                <w:color w:val="auto"/>
                <w:sz w:val="21"/>
                <w:szCs w:val="15"/>
                <w:highlight w:val="none"/>
              </w:rPr>
            </w:pPr>
          </w:p>
        </w:tc>
      </w:tr>
      <w:tr w14:paraId="56D13119">
        <w:tblPrEx>
          <w:tblCellMar>
            <w:top w:w="0" w:type="dxa"/>
            <w:left w:w="0" w:type="dxa"/>
            <w:bottom w:w="0" w:type="dxa"/>
            <w:right w:w="0" w:type="dxa"/>
          </w:tblCellMar>
        </w:tblPrEx>
        <w:trPr>
          <w:trHeight w:val="23" w:hRule="atLeast"/>
          <w:jc w:val="center"/>
        </w:trPr>
        <w:tc>
          <w:tcPr>
            <w:tcW w:w="819" w:type="dxa"/>
            <w:tcBorders>
              <w:top w:val="single" w:color="000000" w:sz="4" w:space="0"/>
              <w:left w:val="single" w:color="000000" w:sz="4" w:space="0"/>
              <w:bottom w:val="single" w:color="000000" w:sz="4" w:space="0"/>
              <w:right w:val="single" w:color="000000" w:sz="4" w:space="0"/>
            </w:tcBorders>
            <w:vAlign w:val="center"/>
          </w:tcPr>
          <w:p w14:paraId="56D1311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285" w:type="dxa"/>
            <w:tcBorders>
              <w:top w:val="single" w:color="000000" w:sz="4" w:space="0"/>
              <w:left w:val="nil"/>
              <w:bottom w:val="single" w:color="000000" w:sz="4" w:space="0"/>
              <w:right w:val="single" w:color="000000" w:sz="4" w:space="0"/>
            </w:tcBorders>
            <w:vAlign w:val="center"/>
          </w:tcPr>
          <w:p w14:paraId="56D13115">
            <w:pPr>
              <w:widowControl/>
              <w:spacing w:line="276" w:lineRule="auto"/>
              <w:jc w:val="center"/>
              <w:rPr>
                <w:i w:val="0"/>
                <w:iCs w:val="0"/>
                <w:color w:val="auto"/>
                <w:sz w:val="21"/>
                <w:szCs w:val="15"/>
                <w:highlight w:val="none"/>
              </w:rPr>
            </w:pPr>
            <w:r>
              <w:rPr>
                <w:i w:val="0"/>
                <w:iCs w:val="0"/>
                <w:color w:val="auto"/>
                <w:sz w:val="21"/>
                <w:szCs w:val="15"/>
                <w:highlight w:val="none"/>
              </w:rPr>
              <w:t>WDZBN-RYYP-(</w:t>
            </w:r>
            <w:r>
              <w:rPr>
                <w:rFonts w:hint="eastAsia"/>
                <w:i w:val="0"/>
                <w:iCs w:val="0"/>
                <w:color w:val="auto"/>
                <w:sz w:val="21"/>
                <w:szCs w:val="15"/>
                <w:highlight w:val="none"/>
              </w:rPr>
              <w:t>3</w:t>
            </w:r>
            <w:r>
              <w:rPr>
                <w:i w:val="0"/>
                <w:iCs w:val="0"/>
                <w:color w:val="auto"/>
                <w:sz w:val="21"/>
                <w:szCs w:val="15"/>
                <w:highlight w:val="none"/>
              </w:rPr>
              <w:t>×1.5)</w:t>
            </w:r>
          </w:p>
        </w:tc>
        <w:tc>
          <w:tcPr>
            <w:tcW w:w="703" w:type="dxa"/>
            <w:tcBorders>
              <w:top w:val="single" w:color="000000" w:sz="4" w:space="0"/>
              <w:left w:val="nil"/>
              <w:bottom w:val="single" w:color="000000" w:sz="4" w:space="0"/>
              <w:right w:val="single" w:color="000000" w:sz="4" w:space="0"/>
            </w:tcBorders>
            <w:vAlign w:val="center"/>
          </w:tcPr>
          <w:p w14:paraId="56D1311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88" w:type="dxa"/>
            <w:tcBorders>
              <w:top w:val="single" w:color="000000" w:sz="4" w:space="0"/>
              <w:left w:val="nil"/>
              <w:bottom w:val="single" w:color="000000" w:sz="4" w:space="0"/>
              <w:right w:val="single" w:color="000000" w:sz="4" w:space="0"/>
            </w:tcBorders>
            <w:vAlign w:val="center"/>
          </w:tcPr>
          <w:p w14:paraId="56D1311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12200</w:t>
            </w:r>
          </w:p>
        </w:tc>
        <w:tc>
          <w:tcPr>
            <w:tcW w:w="3311" w:type="dxa"/>
            <w:tcBorders>
              <w:top w:val="single" w:color="000000" w:sz="4" w:space="0"/>
              <w:left w:val="nil"/>
              <w:bottom w:val="single" w:color="000000" w:sz="4" w:space="0"/>
              <w:right w:val="single" w:color="000000" w:sz="4" w:space="0"/>
            </w:tcBorders>
            <w:vAlign w:val="center"/>
          </w:tcPr>
          <w:p w14:paraId="56D13118">
            <w:pPr>
              <w:widowControl/>
              <w:spacing w:line="276" w:lineRule="auto"/>
              <w:jc w:val="left"/>
              <w:rPr>
                <w:rFonts w:hint="eastAsia" w:eastAsia="仿宋"/>
                <w:i w:val="0"/>
                <w:iCs w:val="0"/>
                <w:color w:val="auto"/>
                <w:sz w:val="21"/>
                <w:szCs w:val="15"/>
                <w:highlight w:val="none"/>
                <w:lang w:eastAsia="zh-CN"/>
              </w:rPr>
            </w:pPr>
            <w:r>
              <w:rPr>
                <w:rFonts w:hint="eastAsia"/>
                <w:i w:val="0"/>
                <w:iCs w:val="0"/>
                <w:color w:val="auto"/>
                <w:sz w:val="21"/>
                <w:szCs w:val="15"/>
                <w:highlight w:val="none"/>
              </w:rPr>
              <w:t>通讯电缆，低烟无卤耐火阻燃，燃烧性能满足B1级</w:t>
            </w:r>
            <w:r>
              <w:rPr>
                <w:rFonts w:hint="eastAsia"/>
                <w:i w:val="0"/>
                <w:iCs w:val="0"/>
                <w:color w:val="auto"/>
                <w:sz w:val="21"/>
                <w:szCs w:val="15"/>
                <w:highlight w:val="none"/>
                <w:lang w:eastAsia="zh-CN"/>
              </w:rPr>
              <w:t>。</w:t>
            </w:r>
          </w:p>
        </w:tc>
      </w:tr>
    </w:tbl>
    <w:p w14:paraId="56D1311A">
      <w:pPr>
        <w:pStyle w:val="4"/>
        <w:rPr>
          <w:i w:val="0"/>
          <w:iCs w:val="0"/>
          <w:color w:val="auto"/>
          <w:sz w:val="24"/>
          <w:szCs w:val="21"/>
          <w:highlight w:val="none"/>
        </w:rPr>
      </w:pPr>
      <w:bookmarkStart w:id="352" w:name="_Toc9239"/>
      <w:r>
        <w:rPr>
          <w:rFonts w:hint="eastAsia"/>
          <w:i w:val="0"/>
          <w:iCs w:val="0"/>
          <w:color w:val="auto"/>
          <w:sz w:val="24"/>
          <w:szCs w:val="21"/>
          <w:highlight w:val="none"/>
        </w:rPr>
        <w:t>视频分析系统主要设备材料表</w:t>
      </w:r>
      <w:bookmarkEnd w:id="352"/>
    </w:p>
    <w:p w14:paraId="56D1311B">
      <w:pPr>
        <w:pStyle w:val="5"/>
        <w:ind w:left="0"/>
        <w:rPr>
          <w:i w:val="0"/>
          <w:iCs w:val="0"/>
          <w:color w:val="auto"/>
          <w:sz w:val="22"/>
          <w:szCs w:val="22"/>
          <w:highlight w:val="none"/>
          <w:lang w:val="en-US"/>
        </w:rPr>
      </w:pPr>
      <w:bookmarkStart w:id="353" w:name="_Toc22885"/>
      <w:r>
        <w:rPr>
          <w:rFonts w:hint="eastAsia"/>
          <w:i w:val="0"/>
          <w:iCs w:val="0"/>
          <w:color w:val="auto"/>
          <w:sz w:val="22"/>
          <w:szCs w:val="22"/>
          <w:highlight w:val="none"/>
          <w:lang w:val="en-US"/>
        </w:rPr>
        <w:t>主要设备表</w:t>
      </w:r>
      <w:bookmarkEnd w:id="353"/>
    </w:p>
    <w:tbl>
      <w:tblPr>
        <w:tblStyle w:val="88"/>
        <w:tblW w:w="7962" w:type="dxa"/>
        <w:jc w:val="center"/>
        <w:tblLayout w:type="autofit"/>
        <w:tblCellMar>
          <w:top w:w="0" w:type="dxa"/>
          <w:left w:w="108" w:type="dxa"/>
          <w:bottom w:w="0" w:type="dxa"/>
          <w:right w:w="108" w:type="dxa"/>
        </w:tblCellMar>
      </w:tblPr>
      <w:tblGrid>
        <w:gridCol w:w="896"/>
        <w:gridCol w:w="3977"/>
        <w:gridCol w:w="660"/>
        <w:gridCol w:w="668"/>
        <w:gridCol w:w="1761"/>
      </w:tblGrid>
      <w:tr w14:paraId="56D13121">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1C">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3977" w:type="dxa"/>
            <w:tcBorders>
              <w:top w:val="single" w:color="000000" w:sz="4" w:space="0"/>
              <w:left w:val="nil"/>
              <w:bottom w:val="single" w:color="000000" w:sz="4" w:space="0"/>
              <w:right w:val="single" w:color="000000" w:sz="4" w:space="0"/>
            </w:tcBorders>
            <w:vAlign w:val="center"/>
          </w:tcPr>
          <w:p w14:paraId="56D1311D">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660" w:type="dxa"/>
            <w:tcBorders>
              <w:top w:val="single" w:color="000000" w:sz="4" w:space="0"/>
              <w:left w:val="nil"/>
              <w:bottom w:val="single" w:color="000000" w:sz="4" w:space="0"/>
              <w:right w:val="single" w:color="000000" w:sz="4" w:space="0"/>
            </w:tcBorders>
            <w:vAlign w:val="center"/>
          </w:tcPr>
          <w:p w14:paraId="56D1311E">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668" w:type="dxa"/>
            <w:tcBorders>
              <w:top w:val="single" w:color="000000" w:sz="4" w:space="0"/>
              <w:left w:val="nil"/>
              <w:bottom w:val="single" w:color="000000" w:sz="4" w:space="0"/>
              <w:right w:val="single" w:color="000000" w:sz="4" w:space="0"/>
            </w:tcBorders>
            <w:vAlign w:val="center"/>
          </w:tcPr>
          <w:p w14:paraId="56D1311F">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1761" w:type="dxa"/>
            <w:tcBorders>
              <w:top w:val="single" w:color="000000" w:sz="4" w:space="0"/>
              <w:left w:val="nil"/>
              <w:bottom w:val="nil"/>
              <w:right w:val="single" w:color="000000" w:sz="4" w:space="0"/>
            </w:tcBorders>
            <w:vAlign w:val="center"/>
          </w:tcPr>
          <w:p w14:paraId="56D13120">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127">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2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977" w:type="dxa"/>
            <w:tcBorders>
              <w:top w:val="single" w:color="000000" w:sz="4" w:space="0"/>
              <w:left w:val="nil"/>
              <w:bottom w:val="single" w:color="000000" w:sz="4" w:space="0"/>
              <w:right w:val="single" w:color="000000" w:sz="4" w:space="0"/>
            </w:tcBorders>
            <w:vAlign w:val="center"/>
          </w:tcPr>
          <w:p w14:paraId="56D13123">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车站视频智能分析应用</w:t>
            </w:r>
          </w:p>
        </w:tc>
        <w:tc>
          <w:tcPr>
            <w:tcW w:w="660" w:type="dxa"/>
            <w:tcBorders>
              <w:top w:val="single" w:color="000000" w:sz="4" w:space="0"/>
              <w:left w:val="nil"/>
              <w:bottom w:val="single" w:color="000000" w:sz="4" w:space="0"/>
              <w:right w:val="single" w:color="000000" w:sz="4" w:space="0"/>
            </w:tcBorders>
            <w:vAlign w:val="center"/>
          </w:tcPr>
          <w:p w14:paraId="56D13124">
            <w:pPr>
              <w:widowControl/>
              <w:spacing w:line="276" w:lineRule="auto"/>
              <w:rPr>
                <w:i w:val="0"/>
                <w:iCs w:val="0"/>
                <w:color w:val="auto"/>
                <w:sz w:val="21"/>
                <w:szCs w:val="15"/>
                <w:highlight w:val="none"/>
              </w:rPr>
            </w:pPr>
          </w:p>
        </w:tc>
        <w:tc>
          <w:tcPr>
            <w:tcW w:w="668" w:type="dxa"/>
            <w:tcBorders>
              <w:top w:val="single" w:color="000000" w:sz="4" w:space="0"/>
              <w:left w:val="nil"/>
              <w:bottom w:val="single" w:color="000000" w:sz="4" w:space="0"/>
              <w:right w:val="single" w:color="000000" w:sz="4" w:space="0"/>
            </w:tcBorders>
            <w:vAlign w:val="center"/>
          </w:tcPr>
          <w:p w14:paraId="56D13125">
            <w:pPr>
              <w:widowControl/>
              <w:spacing w:line="276" w:lineRule="auto"/>
              <w:rPr>
                <w:i w:val="0"/>
                <w:iCs w:val="0"/>
                <w:color w:val="auto"/>
                <w:sz w:val="21"/>
                <w:szCs w:val="15"/>
                <w:highlight w:val="none"/>
              </w:rPr>
            </w:pPr>
          </w:p>
        </w:tc>
        <w:tc>
          <w:tcPr>
            <w:tcW w:w="1761" w:type="dxa"/>
            <w:tcBorders>
              <w:top w:val="single" w:color="000000" w:sz="4" w:space="0"/>
              <w:left w:val="nil"/>
              <w:bottom w:val="single" w:color="000000" w:sz="4" w:space="0"/>
              <w:right w:val="single" w:color="000000" w:sz="4" w:space="0"/>
            </w:tcBorders>
            <w:vAlign w:val="center"/>
          </w:tcPr>
          <w:p w14:paraId="56D13126">
            <w:pPr>
              <w:widowControl/>
              <w:spacing w:line="276" w:lineRule="auto"/>
              <w:rPr>
                <w:rFonts w:hint="default" w:eastAsia="仿宋"/>
                <w:i w:val="0"/>
                <w:iCs w:val="0"/>
                <w:color w:val="auto"/>
                <w:sz w:val="21"/>
                <w:szCs w:val="15"/>
                <w:highlight w:val="none"/>
                <w:lang w:val="en-US" w:eastAsia="zh-CN"/>
              </w:rPr>
            </w:pPr>
          </w:p>
        </w:tc>
      </w:tr>
      <w:tr w14:paraId="572CE87C">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3DA384CD">
            <w:pPr>
              <w:widowControl/>
              <w:spacing w:line="276" w:lineRule="auto"/>
              <w:jc w:val="center"/>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1.1</w:t>
            </w:r>
          </w:p>
        </w:tc>
        <w:tc>
          <w:tcPr>
            <w:tcW w:w="3977" w:type="dxa"/>
            <w:tcBorders>
              <w:top w:val="single" w:color="000000" w:sz="4" w:space="0"/>
              <w:left w:val="nil"/>
              <w:bottom w:val="single" w:color="000000" w:sz="4" w:space="0"/>
              <w:right w:val="single" w:color="000000" w:sz="4" w:space="0"/>
            </w:tcBorders>
            <w:vAlign w:val="center"/>
          </w:tcPr>
          <w:p w14:paraId="7E0A788B">
            <w:pPr>
              <w:widowControl/>
              <w:spacing w:line="276" w:lineRule="auto"/>
              <w:rPr>
                <w:rFonts w:hint="eastAsia"/>
                <w:i w:val="0"/>
                <w:iCs w:val="0"/>
                <w:color w:val="auto"/>
                <w:sz w:val="21"/>
                <w:szCs w:val="15"/>
                <w:highlight w:val="none"/>
              </w:rPr>
            </w:pPr>
            <w:r>
              <w:rPr>
                <w:rFonts w:hint="eastAsia"/>
                <w:i w:val="0"/>
                <w:iCs w:val="0"/>
                <w:color w:val="auto"/>
                <w:sz w:val="21"/>
                <w:szCs w:val="15"/>
                <w:highlight w:val="none"/>
              </w:rPr>
              <w:t>视频智能分析应用软件</w:t>
            </w:r>
          </w:p>
        </w:tc>
        <w:tc>
          <w:tcPr>
            <w:tcW w:w="660" w:type="dxa"/>
            <w:tcBorders>
              <w:top w:val="single" w:color="000000" w:sz="4" w:space="0"/>
              <w:left w:val="nil"/>
              <w:bottom w:val="single" w:color="000000" w:sz="4" w:space="0"/>
              <w:right w:val="single" w:color="000000" w:sz="4" w:space="0"/>
            </w:tcBorders>
            <w:shd w:val="clear" w:color="auto" w:fill="auto"/>
            <w:vAlign w:val="center"/>
          </w:tcPr>
          <w:p w14:paraId="56FEA2D6">
            <w:pPr>
              <w:widowControl/>
              <w:spacing w:line="276" w:lineRule="auto"/>
              <w:rPr>
                <w:rFonts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shd w:val="clear" w:color="auto" w:fill="auto"/>
            <w:vAlign w:val="center"/>
          </w:tcPr>
          <w:p w14:paraId="24DA3A45">
            <w:pPr>
              <w:widowControl/>
              <w:spacing w:line="276" w:lineRule="auto"/>
              <w:rPr>
                <w:rFonts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shd w:val="clear" w:color="auto" w:fill="auto"/>
            <w:vAlign w:val="center"/>
          </w:tcPr>
          <w:p w14:paraId="0862A41A">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rPr>
              <w:t>全线</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12D">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28">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2</w:t>
            </w:r>
          </w:p>
        </w:tc>
        <w:tc>
          <w:tcPr>
            <w:tcW w:w="3977" w:type="dxa"/>
            <w:tcBorders>
              <w:top w:val="single" w:color="000000" w:sz="4" w:space="0"/>
              <w:left w:val="nil"/>
              <w:bottom w:val="single" w:color="000000" w:sz="4" w:space="0"/>
              <w:right w:val="single" w:color="000000" w:sz="4" w:space="0"/>
            </w:tcBorders>
            <w:vAlign w:val="center"/>
          </w:tcPr>
          <w:p w14:paraId="56D13129">
            <w:pPr>
              <w:widowControl/>
              <w:spacing w:line="276" w:lineRule="auto"/>
              <w:rPr>
                <w:i w:val="0"/>
                <w:iCs w:val="0"/>
                <w:color w:val="auto"/>
                <w:sz w:val="21"/>
                <w:szCs w:val="15"/>
                <w:highlight w:val="none"/>
              </w:rPr>
            </w:pPr>
            <w:r>
              <w:rPr>
                <w:rFonts w:hint="eastAsia"/>
                <w:i w:val="0"/>
                <w:iCs w:val="0"/>
                <w:color w:val="auto"/>
                <w:sz w:val="21"/>
                <w:szCs w:val="15"/>
                <w:highlight w:val="none"/>
              </w:rPr>
              <w:t>隔栏递物监测算法软件</w:t>
            </w:r>
          </w:p>
        </w:tc>
        <w:tc>
          <w:tcPr>
            <w:tcW w:w="660" w:type="dxa"/>
            <w:tcBorders>
              <w:top w:val="single" w:color="000000" w:sz="4" w:space="0"/>
              <w:left w:val="nil"/>
              <w:bottom w:val="single" w:color="000000" w:sz="4" w:space="0"/>
              <w:right w:val="single" w:color="000000" w:sz="4" w:space="0"/>
            </w:tcBorders>
            <w:vAlign w:val="center"/>
          </w:tcPr>
          <w:p w14:paraId="56D1312A">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2B">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2C">
            <w:pPr>
              <w:widowControl/>
              <w:spacing w:line="276" w:lineRule="auto"/>
              <w:rPr>
                <w:i w:val="0"/>
                <w:iCs w:val="0"/>
                <w:color w:val="auto"/>
                <w:sz w:val="21"/>
                <w:szCs w:val="15"/>
                <w:highlight w:val="none"/>
              </w:rPr>
            </w:pPr>
            <w:r>
              <w:rPr>
                <w:rFonts w:hint="eastAsia"/>
                <w:i w:val="0"/>
                <w:iCs w:val="0"/>
                <w:color w:val="auto"/>
                <w:sz w:val="21"/>
                <w:szCs w:val="15"/>
                <w:highlight w:val="none"/>
              </w:rPr>
              <w:t>全线</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133">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2E">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3</w:t>
            </w:r>
          </w:p>
        </w:tc>
        <w:tc>
          <w:tcPr>
            <w:tcW w:w="3977" w:type="dxa"/>
            <w:tcBorders>
              <w:top w:val="single" w:color="000000" w:sz="4" w:space="0"/>
              <w:left w:val="nil"/>
              <w:bottom w:val="single" w:color="000000" w:sz="4" w:space="0"/>
              <w:right w:val="single" w:color="000000" w:sz="4" w:space="0"/>
            </w:tcBorders>
            <w:vAlign w:val="center"/>
          </w:tcPr>
          <w:p w14:paraId="56D1312F">
            <w:pPr>
              <w:widowControl/>
              <w:spacing w:line="276" w:lineRule="auto"/>
              <w:rPr>
                <w:i w:val="0"/>
                <w:iCs w:val="0"/>
                <w:color w:val="auto"/>
                <w:sz w:val="21"/>
                <w:szCs w:val="15"/>
                <w:highlight w:val="none"/>
              </w:rPr>
            </w:pPr>
            <w:r>
              <w:rPr>
                <w:rFonts w:hint="eastAsia"/>
                <w:i w:val="0"/>
                <w:iCs w:val="0"/>
                <w:color w:val="auto"/>
                <w:sz w:val="21"/>
                <w:szCs w:val="15"/>
                <w:highlight w:val="none"/>
              </w:rPr>
              <w:t>扶梯人员摔倒监测算法软件</w:t>
            </w:r>
          </w:p>
        </w:tc>
        <w:tc>
          <w:tcPr>
            <w:tcW w:w="660" w:type="dxa"/>
            <w:tcBorders>
              <w:top w:val="single" w:color="000000" w:sz="4" w:space="0"/>
              <w:left w:val="nil"/>
              <w:bottom w:val="single" w:color="000000" w:sz="4" w:space="0"/>
              <w:right w:val="single" w:color="000000" w:sz="4" w:space="0"/>
            </w:tcBorders>
            <w:vAlign w:val="center"/>
          </w:tcPr>
          <w:p w14:paraId="56D13130">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31">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32">
            <w:pPr>
              <w:widowControl/>
              <w:spacing w:line="276" w:lineRule="auto"/>
              <w:rPr>
                <w:i w:val="0"/>
                <w:iCs w:val="0"/>
                <w:color w:val="auto"/>
                <w:sz w:val="21"/>
                <w:szCs w:val="15"/>
                <w:highlight w:val="none"/>
              </w:rPr>
            </w:pPr>
            <w:r>
              <w:rPr>
                <w:rFonts w:hint="eastAsia"/>
                <w:i w:val="0"/>
                <w:iCs w:val="0"/>
                <w:color w:val="auto"/>
                <w:sz w:val="21"/>
                <w:szCs w:val="15"/>
                <w:highlight w:val="none"/>
              </w:rPr>
              <w:t>全线</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139">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34">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4</w:t>
            </w:r>
          </w:p>
        </w:tc>
        <w:tc>
          <w:tcPr>
            <w:tcW w:w="3977" w:type="dxa"/>
            <w:tcBorders>
              <w:top w:val="single" w:color="000000" w:sz="4" w:space="0"/>
              <w:left w:val="nil"/>
              <w:bottom w:val="single" w:color="000000" w:sz="4" w:space="0"/>
              <w:right w:val="single" w:color="000000" w:sz="4" w:space="0"/>
            </w:tcBorders>
            <w:vAlign w:val="center"/>
          </w:tcPr>
          <w:p w14:paraId="4ED22CE7">
            <w:pPr>
              <w:widowControl/>
              <w:spacing w:line="276" w:lineRule="auto"/>
              <w:rPr>
                <w:rFonts w:hint="eastAsia"/>
                <w:i w:val="0"/>
                <w:iCs w:val="0"/>
                <w:color w:val="auto"/>
                <w:sz w:val="21"/>
                <w:szCs w:val="15"/>
                <w:highlight w:val="none"/>
              </w:rPr>
            </w:pPr>
            <w:r>
              <w:rPr>
                <w:rFonts w:hint="eastAsia"/>
                <w:i w:val="0"/>
                <w:iCs w:val="0"/>
                <w:color w:val="auto"/>
                <w:sz w:val="21"/>
                <w:szCs w:val="15"/>
                <w:highlight w:val="none"/>
              </w:rPr>
              <w:t>安检人员值岗监测算法软件</w:t>
            </w:r>
          </w:p>
          <w:p w14:paraId="56D13135">
            <w:pPr>
              <w:widowControl/>
              <w:spacing w:line="276" w:lineRule="auto"/>
              <w:rPr>
                <w:i w:val="0"/>
                <w:iCs w:val="0"/>
                <w:color w:val="auto"/>
                <w:sz w:val="21"/>
                <w:szCs w:val="15"/>
                <w:highlight w:val="none"/>
              </w:rPr>
            </w:pPr>
            <w:r>
              <w:rPr>
                <w:rFonts w:hint="eastAsia"/>
                <w:i w:val="0"/>
                <w:iCs w:val="0"/>
                <w:color w:val="auto"/>
                <w:sz w:val="21"/>
                <w:szCs w:val="15"/>
                <w:highlight w:val="none"/>
              </w:rPr>
              <w:t>（玩手机、打瞌睡）</w:t>
            </w:r>
          </w:p>
        </w:tc>
        <w:tc>
          <w:tcPr>
            <w:tcW w:w="660" w:type="dxa"/>
            <w:tcBorders>
              <w:top w:val="single" w:color="000000" w:sz="4" w:space="0"/>
              <w:left w:val="nil"/>
              <w:bottom w:val="single" w:color="000000" w:sz="4" w:space="0"/>
              <w:right w:val="single" w:color="000000" w:sz="4" w:space="0"/>
            </w:tcBorders>
            <w:vAlign w:val="center"/>
          </w:tcPr>
          <w:p w14:paraId="56D13136">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37">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38">
            <w:pPr>
              <w:widowControl/>
              <w:spacing w:line="276" w:lineRule="auto"/>
              <w:rPr>
                <w:i w:val="0"/>
                <w:iCs w:val="0"/>
                <w:color w:val="auto"/>
                <w:sz w:val="21"/>
                <w:szCs w:val="15"/>
                <w:highlight w:val="none"/>
              </w:rPr>
            </w:pPr>
            <w:r>
              <w:rPr>
                <w:rFonts w:hint="eastAsia"/>
                <w:i w:val="0"/>
                <w:iCs w:val="0"/>
                <w:color w:val="auto"/>
                <w:sz w:val="21"/>
                <w:szCs w:val="15"/>
                <w:highlight w:val="none"/>
              </w:rPr>
              <w:t>全线</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13F">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3A">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5</w:t>
            </w:r>
          </w:p>
        </w:tc>
        <w:tc>
          <w:tcPr>
            <w:tcW w:w="3977" w:type="dxa"/>
            <w:tcBorders>
              <w:top w:val="single" w:color="000000" w:sz="4" w:space="0"/>
              <w:left w:val="nil"/>
              <w:bottom w:val="single" w:color="000000" w:sz="4" w:space="0"/>
              <w:right w:val="single" w:color="000000" w:sz="4" w:space="0"/>
            </w:tcBorders>
            <w:vAlign w:val="center"/>
          </w:tcPr>
          <w:p w14:paraId="231C6DD3">
            <w:pPr>
              <w:widowControl/>
              <w:spacing w:line="276" w:lineRule="auto"/>
              <w:rPr>
                <w:rFonts w:hint="eastAsia"/>
                <w:i w:val="0"/>
                <w:iCs w:val="0"/>
                <w:color w:val="auto"/>
                <w:sz w:val="21"/>
                <w:szCs w:val="15"/>
                <w:highlight w:val="none"/>
              </w:rPr>
            </w:pPr>
            <w:r>
              <w:rPr>
                <w:rFonts w:hint="eastAsia"/>
                <w:i w:val="0"/>
                <w:iCs w:val="0"/>
                <w:color w:val="auto"/>
                <w:sz w:val="21"/>
                <w:szCs w:val="15"/>
                <w:highlight w:val="none"/>
              </w:rPr>
              <w:t>智能开关站检测算法软件</w:t>
            </w:r>
          </w:p>
          <w:p w14:paraId="56D1313B">
            <w:pPr>
              <w:widowControl/>
              <w:spacing w:line="276" w:lineRule="auto"/>
              <w:rPr>
                <w:i w:val="0"/>
                <w:iCs w:val="0"/>
                <w:color w:val="auto"/>
                <w:sz w:val="21"/>
                <w:szCs w:val="15"/>
                <w:highlight w:val="none"/>
              </w:rPr>
            </w:pPr>
            <w:r>
              <w:rPr>
                <w:rFonts w:hint="eastAsia"/>
                <w:i w:val="0"/>
                <w:iCs w:val="0"/>
                <w:color w:val="auto"/>
                <w:sz w:val="21"/>
                <w:szCs w:val="15"/>
                <w:highlight w:val="none"/>
              </w:rPr>
              <w:t>（扶梯、电梯有人检测）</w:t>
            </w:r>
          </w:p>
        </w:tc>
        <w:tc>
          <w:tcPr>
            <w:tcW w:w="660" w:type="dxa"/>
            <w:tcBorders>
              <w:top w:val="single" w:color="000000" w:sz="4" w:space="0"/>
              <w:left w:val="nil"/>
              <w:bottom w:val="single" w:color="000000" w:sz="4" w:space="0"/>
              <w:right w:val="single" w:color="000000" w:sz="4" w:space="0"/>
            </w:tcBorders>
            <w:vAlign w:val="center"/>
          </w:tcPr>
          <w:p w14:paraId="56D1313C">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3D">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3E">
            <w:pPr>
              <w:widowControl/>
              <w:spacing w:line="276" w:lineRule="auto"/>
              <w:rPr>
                <w:i w:val="0"/>
                <w:iCs w:val="0"/>
                <w:color w:val="auto"/>
                <w:sz w:val="21"/>
                <w:szCs w:val="15"/>
                <w:highlight w:val="none"/>
              </w:rPr>
            </w:pPr>
            <w:r>
              <w:rPr>
                <w:rFonts w:hint="eastAsia"/>
                <w:i w:val="0"/>
                <w:iCs w:val="0"/>
                <w:color w:val="auto"/>
                <w:sz w:val="21"/>
                <w:szCs w:val="15"/>
                <w:highlight w:val="none"/>
              </w:rPr>
              <w:t>全线</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145">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40">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6</w:t>
            </w:r>
          </w:p>
        </w:tc>
        <w:tc>
          <w:tcPr>
            <w:tcW w:w="3977" w:type="dxa"/>
            <w:tcBorders>
              <w:top w:val="single" w:color="000000" w:sz="4" w:space="0"/>
              <w:left w:val="nil"/>
              <w:bottom w:val="single" w:color="000000" w:sz="4" w:space="0"/>
              <w:right w:val="single" w:color="000000" w:sz="4" w:space="0"/>
            </w:tcBorders>
            <w:vAlign w:val="center"/>
          </w:tcPr>
          <w:p w14:paraId="56D13141">
            <w:pPr>
              <w:widowControl/>
              <w:spacing w:line="276" w:lineRule="auto"/>
              <w:rPr>
                <w:i w:val="0"/>
                <w:iCs w:val="0"/>
                <w:color w:val="auto"/>
                <w:sz w:val="21"/>
                <w:szCs w:val="15"/>
                <w:highlight w:val="none"/>
              </w:rPr>
            </w:pPr>
            <w:r>
              <w:rPr>
                <w:rFonts w:hint="eastAsia"/>
                <w:i w:val="0"/>
                <w:iCs w:val="0"/>
                <w:color w:val="auto"/>
                <w:sz w:val="21"/>
                <w:szCs w:val="15"/>
                <w:highlight w:val="none"/>
              </w:rPr>
              <w:t>智能巡站检测算法软件（9类检测算法）</w:t>
            </w:r>
          </w:p>
        </w:tc>
        <w:tc>
          <w:tcPr>
            <w:tcW w:w="660" w:type="dxa"/>
            <w:tcBorders>
              <w:top w:val="single" w:color="000000" w:sz="4" w:space="0"/>
              <w:left w:val="nil"/>
              <w:bottom w:val="single" w:color="000000" w:sz="4" w:space="0"/>
              <w:right w:val="single" w:color="000000" w:sz="4" w:space="0"/>
            </w:tcBorders>
            <w:vAlign w:val="center"/>
          </w:tcPr>
          <w:p w14:paraId="56D13142">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43">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44">
            <w:pPr>
              <w:widowControl/>
              <w:spacing w:line="276" w:lineRule="auto"/>
              <w:rPr>
                <w:i w:val="0"/>
                <w:iCs w:val="0"/>
                <w:color w:val="auto"/>
                <w:sz w:val="21"/>
                <w:szCs w:val="15"/>
                <w:highlight w:val="none"/>
              </w:rPr>
            </w:pPr>
            <w:r>
              <w:rPr>
                <w:rFonts w:hint="eastAsia"/>
                <w:i w:val="0"/>
                <w:iCs w:val="0"/>
                <w:color w:val="auto"/>
                <w:sz w:val="21"/>
                <w:szCs w:val="15"/>
                <w:highlight w:val="none"/>
              </w:rPr>
              <w:t>全线</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14B">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4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3977" w:type="dxa"/>
            <w:tcBorders>
              <w:top w:val="single" w:color="000000" w:sz="4" w:space="0"/>
              <w:left w:val="nil"/>
              <w:bottom w:val="single" w:color="000000" w:sz="4" w:space="0"/>
              <w:right w:val="single" w:color="000000" w:sz="4" w:space="0"/>
            </w:tcBorders>
            <w:vAlign w:val="center"/>
          </w:tcPr>
          <w:p w14:paraId="56D13147">
            <w:pPr>
              <w:widowControl/>
              <w:spacing w:line="276" w:lineRule="auto"/>
              <w:rPr>
                <w:i w:val="0"/>
                <w:iCs w:val="0"/>
                <w:color w:val="auto"/>
                <w:sz w:val="21"/>
                <w:szCs w:val="15"/>
                <w:highlight w:val="none"/>
              </w:rPr>
            </w:pPr>
            <w:r>
              <w:rPr>
                <w:rFonts w:hint="eastAsia"/>
                <w:i w:val="0"/>
                <w:iCs w:val="0"/>
                <w:color w:val="auto"/>
                <w:sz w:val="21"/>
                <w:szCs w:val="15"/>
                <w:highlight w:val="none"/>
              </w:rPr>
              <w:t>视频分析设备</w:t>
            </w:r>
          </w:p>
        </w:tc>
        <w:tc>
          <w:tcPr>
            <w:tcW w:w="660" w:type="dxa"/>
            <w:tcBorders>
              <w:top w:val="single" w:color="000000" w:sz="4" w:space="0"/>
              <w:left w:val="nil"/>
              <w:bottom w:val="single" w:color="000000" w:sz="4" w:space="0"/>
              <w:right w:val="single" w:color="000000" w:sz="4" w:space="0"/>
            </w:tcBorders>
            <w:vAlign w:val="center"/>
          </w:tcPr>
          <w:p w14:paraId="56D13148">
            <w:pPr>
              <w:widowControl/>
              <w:spacing w:line="276" w:lineRule="auto"/>
              <w:rPr>
                <w:i w:val="0"/>
                <w:iCs w:val="0"/>
                <w:color w:val="auto"/>
                <w:sz w:val="21"/>
                <w:szCs w:val="15"/>
                <w:highlight w:val="none"/>
              </w:rPr>
            </w:pPr>
          </w:p>
        </w:tc>
        <w:tc>
          <w:tcPr>
            <w:tcW w:w="668" w:type="dxa"/>
            <w:tcBorders>
              <w:top w:val="single" w:color="000000" w:sz="4" w:space="0"/>
              <w:left w:val="nil"/>
              <w:bottom w:val="single" w:color="000000" w:sz="4" w:space="0"/>
              <w:right w:val="single" w:color="000000" w:sz="4" w:space="0"/>
            </w:tcBorders>
            <w:vAlign w:val="center"/>
          </w:tcPr>
          <w:p w14:paraId="56D13149">
            <w:pPr>
              <w:widowControl/>
              <w:spacing w:line="276" w:lineRule="auto"/>
              <w:rPr>
                <w:i w:val="0"/>
                <w:iCs w:val="0"/>
                <w:color w:val="auto"/>
                <w:sz w:val="21"/>
                <w:szCs w:val="15"/>
                <w:highlight w:val="none"/>
              </w:rPr>
            </w:pPr>
          </w:p>
        </w:tc>
        <w:tc>
          <w:tcPr>
            <w:tcW w:w="1761" w:type="dxa"/>
            <w:tcBorders>
              <w:top w:val="single" w:color="000000" w:sz="4" w:space="0"/>
              <w:left w:val="nil"/>
              <w:bottom w:val="single" w:color="000000" w:sz="4" w:space="0"/>
              <w:right w:val="single" w:color="000000" w:sz="4" w:space="0"/>
            </w:tcBorders>
            <w:vAlign w:val="center"/>
          </w:tcPr>
          <w:p w14:paraId="56D1314A">
            <w:pPr>
              <w:widowControl/>
              <w:spacing w:line="276" w:lineRule="auto"/>
              <w:rPr>
                <w:i w:val="0"/>
                <w:iCs w:val="0"/>
                <w:color w:val="auto"/>
                <w:sz w:val="21"/>
                <w:szCs w:val="15"/>
                <w:highlight w:val="none"/>
              </w:rPr>
            </w:pPr>
          </w:p>
        </w:tc>
      </w:tr>
      <w:tr w14:paraId="56D13151">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4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2.1</w:t>
            </w:r>
          </w:p>
        </w:tc>
        <w:tc>
          <w:tcPr>
            <w:tcW w:w="3977" w:type="dxa"/>
            <w:tcBorders>
              <w:top w:val="single" w:color="000000" w:sz="4" w:space="0"/>
              <w:left w:val="nil"/>
              <w:bottom w:val="single" w:color="000000" w:sz="4" w:space="0"/>
              <w:right w:val="single" w:color="000000" w:sz="4" w:space="0"/>
            </w:tcBorders>
            <w:vAlign w:val="center"/>
          </w:tcPr>
          <w:p w14:paraId="56D1314D">
            <w:pPr>
              <w:widowControl/>
              <w:spacing w:line="276" w:lineRule="auto"/>
              <w:rPr>
                <w:i w:val="0"/>
                <w:iCs w:val="0"/>
                <w:color w:val="auto"/>
                <w:sz w:val="21"/>
                <w:szCs w:val="15"/>
                <w:highlight w:val="none"/>
              </w:rPr>
            </w:pPr>
            <w:r>
              <w:rPr>
                <w:rFonts w:hint="eastAsia"/>
                <w:i w:val="0"/>
                <w:iCs w:val="0"/>
                <w:color w:val="auto"/>
                <w:sz w:val="21"/>
                <w:szCs w:val="15"/>
                <w:highlight w:val="none"/>
              </w:rPr>
              <w:t>视频智能分析设备（大站）(120路)</w:t>
            </w:r>
          </w:p>
        </w:tc>
        <w:tc>
          <w:tcPr>
            <w:tcW w:w="660" w:type="dxa"/>
            <w:tcBorders>
              <w:top w:val="single" w:color="000000" w:sz="4" w:space="0"/>
              <w:left w:val="nil"/>
              <w:bottom w:val="single" w:color="000000" w:sz="4" w:space="0"/>
              <w:right w:val="single" w:color="000000" w:sz="4" w:space="0"/>
            </w:tcBorders>
            <w:vAlign w:val="center"/>
          </w:tcPr>
          <w:p w14:paraId="56D1314E">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668" w:type="dxa"/>
            <w:tcBorders>
              <w:top w:val="single" w:color="000000" w:sz="4" w:space="0"/>
              <w:left w:val="nil"/>
              <w:bottom w:val="single" w:color="000000" w:sz="4" w:space="0"/>
              <w:right w:val="single" w:color="000000" w:sz="4" w:space="0"/>
            </w:tcBorders>
            <w:vAlign w:val="center"/>
          </w:tcPr>
          <w:p w14:paraId="56D1314F">
            <w:pPr>
              <w:widowControl/>
              <w:spacing w:line="276" w:lineRule="auto"/>
              <w:rPr>
                <w:i w:val="0"/>
                <w:iCs w:val="0"/>
                <w:color w:val="auto"/>
                <w:sz w:val="21"/>
                <w:szCs w:val="15"/>
                <w:highlight w:val="none"/>
              </w:rPr>
            </w:pPr>
            <w:r>
              <w:rPr>
                <w:rFonts w:hint="eastAsia"/>
                <w:i w:val="0"/>
                <w:iCs w:val="0"/>
                <w:color w:val="auto"/>
                <w:sz w:val="21"/>
                <w:szCs w:val="15"/>
                <w:highlight w:val="none"/>
              </w:rPr>
              <w:t>14</w:t>
            </w:r>
          </w:p>
        </w:tc>
        <w:tc>
          <w:tcPr>
            <w:tcW w:w="1761" w:type="dxa"/>
            <w:tcBorders>
              <w:top w:val="single" w:color="000000" w:sz="4" w:space="0"/>
              <w:left w:val="nil"/>
              <w:bottom w:val="single" w:color="000000" w:sz="4" w:space="0"/>
              <w:right w:val="single" w:color="000000" w:sz="4" w:space="0"/>
            </w:tcBorders>
            <w:vAlign w:val="center"/>
          </w:tcPr>
          <w:p w14:paraId="56D13150">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157">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5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2.2</w:t>
            </w:r>
          </w:p>
        </w:tc>
        <w:tc>
          <w:tcPr>
            <w:tcW w:w="3977" w:type="dxa"/>
            <w:tcBorders>
              <w:top w:val="single" w:color="000000" w:sz="4" w:space="0"/>
              <w:left w:val="nil"/>
              <w:bottom w:val="single" w:color="000000" w:sz="4" w:space="0"/>
              <w:right w:val="single" w:color="000000" w:sz="4" w:space="0"/>
            </w:tcBorders>
            <w:vAlign w:val="center"/>
          </w:tcPr>
          <w:p w14:paraId="56D13153">
            <w:pPr>
              <w:widowControl/>
              <w:spacing w:line="276" w:lineRule="auto"/>
              <w:rPr>
                <w:i w:val="0"/>
                <w:iCs w:val="0"/>
                <w:color w:val="auto"/>
                <w:sz w:val="21"/>
                <w:szCs w:val="15"/>
                <w:highlight w:val="none"/>
              </w:rPr>
            </w:pPr>
            <w:r>
              <w:rPr>
                <w:rFonts w:hint="eastAsia"/>
                <w:i w:val="0"/>
                <w:iCs w:val="0"/>
                <w:color w:val="auto"/>
                <w:sz w:val="21"/>
                <w:szCs w:val="15"/>
                <w:highlight w:val="none"/>
              </w:rPr>
              <w:t>视频智能分析设备（普通站）（90路）</w:t>
            </w:r>
          </w:p>
        </w:tc>
        <w:tc>
          <w:tcPr>
            <w:tcW w:w="660" w:type="dxa"/>
            <w:tcBorders>
              <w:top w:val="single" w:color="000000" w:sz="4" w:space="0"/>
              <w:left w:val="nil"/>
              <w:bottom w:val="single" w:color="000000" w:sz="4" w:space="0"/>
              <w:right w:val="single" w:color="000000" w:sz="4" w:space="0"/>
            </w:tcBorders>
            <w:vAlign w:val="center"/>
          </w:tcPr>
          <w:p w14:paraId="56D13154">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668" w:type="dxa"/>
            <w:tcBorders>
              <w:top w:val="single" w:color="000000" w:sz="4" w:space="0"/>
              <w:left w:val="nil"/>
              <w:bottom w:val="single" w:color="000000" w:sz="4" w:space="0"/>
              <w:right w:val="single" w:color="000000" w:sz="4" w:space="0"/>
            </w:tcBorders>
            <w:vAlign w:val="center"/>
          </w:tcPr>
          <w:p w14:paraId="56D13155">
            <w:pPr>
              <w:widowControl/>
              <w:spacing w:line="276" w:lineRule="auto"/>
              <w:rPr>
                <w:i w:val="0"/>
                <w:iCs w:val="0"/>
                <w:color w:val="auto"/>
                <w:sz w:val="21"/>
                <w:szCs w:val="15"/>
                <w:highlight w:val="none"/>
              </w:rPr>
            </w:pPr>
            <w:r>
              <w:rPr>
                <w:rFonts w:hint="eastAsia"/>
                <w:i w:val="0"/>
                <w:iCs w:val="0"/>
                <w:color w:val="auto"/>
                <w:sz w:val="21"/>
                <w:szCs w:val="15"/>
                <w:highlight w:val="none"/>
              </w:rPr>
              <w:t>20</w:t>
            </w:r>
          </w:p>
        </w:tc>
        <w:tc>
          <w:tcPr>
            <w:tcW w:w="1761" w:type="dxa"/>
            <w:tcBorders>
              <w:top w:val="single" w:color="000000" w:sz="4" w:space="0"/>
              <w:left w:val="nil"/>
              <w:bottom w:val="single" w:color="000000" w:sz="4" w:space="0"/>
              <w:right w:val="single" w:color="000000" w:sz="4" w:space="0"/>
            </w:tcBorders>
            <w:vAlign w:val="center"/>
          </w:tcPr>
          <w:p w14:paraId="56D13156">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15D">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5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3977" w:type="dxa"/>
            <w:tcBorders>
              <w:top w:val="single" w:color="000000" w:sz="4" w:space="0"/>
              <w:left w:val="nil"/>
              <w:bottom w:val="single" w:color="000000" w:sz="4" w:space="0"/>
              <w:right w:val="single" w:color="000000" w:sz="4" w:space="0"/>
            </w:tcBorders>
            <w:vAlign w:val="center"/>
          </w:tcPr>
          <w:p w14:paraId="56D13159">
            <w:pPr>
              <w:widowControl/>
              <w:spacing w:line="276" w:lineRule="auto"/>
              <w:rPr>
                <w:i w:val="0"/>
                <w:iCs w:val="0"/>
                <w:color w:val="auto"/>
                <w:sz w:val="21"/>
                <w:szCs w:val="15"/>
                <w:highlight w:val="none"/>
              </w:rPr>
            </w:pPr>
            <w:r>
              <w:rPr>
                <w:rFonts w:hint="eastAsia"/>
                <w:i w:val="0"/>
                <w:iCs w:val="0"/>
                <w:color w:val="auto"/>
                <w:sz w:val="21"/>
                <w:szCs w:val="15"/>
                <w:highlight w:val="none"/>
              </w:rPr>
              <w:t>防火墙</w:t>
            </w:r>
          </w:p>
        </w:tc>
        <w:tc>
          <w:tcPr>
            <w:tcW w:w="660" w:type="dxa"/>
            <w:tcBorders>
              <w:top w:val="single" w:color="000000" w:sz="4" w:space="0"/>
              <w:left w:val="nil"/>
              <w:bottom w:val="single" w:color="000000" w:sz="4" w:space="0"/>
              <w:right w:val="single" w:color="000000" w:sz="4" w:space="0"/>
            </w:tcBorders>
            <w:vAlign w:val="center"/>
          </w:tcPr>
          <w:p w14:paraId="56D1315A">
            <w:pPr>
              <w:widowControl/>
              <w:spacing w:line="276" w:lineRule="auto"/>
              <w:rPr>
                <w:i w:val="0"/>
                <w:iCs w:val="0"/>
                <w:color w:val="auto"/>
                <w:sz w:val="21"/>
                <w:szCs w:val="15"/>
                <w:highlight w:val="none"/>
              </w:rPr>
            </w:pPr>
            <w:r>
              <w:rPr>
                <w:rFonts w:hint="eastAsia"/>
                <w:i w:val="0"/>
                <w:iCs w:val="0"/>
                <w:color w:val="auto"/>
                <w:sz w:val="21"/>
                <w:szCs w:val="15"/>
                <w:highlight w:val="none"/>
              </w:rPr>
              <w:t>个</w:t>
            </w:r>
          </w:p>
        </w:tc>
        <w:tc>
          <w:tcPr>
            <w:tcW w:w="668" w:type="dxa"/>
            <w:tcBorders>
              <w:top w:val="single" w:color="000000" w:sz="4" w:space="0"/>
              <w:left w:val="nil"/>
              <w:bottom w:val="single" w:color="000000" w:sz="4" w:space="0"/>
              <w:right w:val="single" w:color="000000" w:sz="4" w:space="0"/>
            </w:tcBorders>
            <w:vAlign w:val="center"/>
          </w:tcPr>
          <w:p w14:paraId="56D1315B">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1761" w:type="dxa"/>
            <w:tcBorders>
              <w:top w:val="single" w:color="000000" w:sz="4" w:space="0"/>
              <w:left w:val="single" w:color="000000" w:sz="4" w:space="0"/>
              <w:bottom w:val="single" w:color="000000" w:sz="4" w:space="0"/>
              <w:right w:val="single" w:color="000000" w:sz="4" w:space="0"/>
            </w:tcBorders>
            <w:vAlign w:val="center"/>
          </w:tcPr>
          <w:p w14:paraId="56D1315C">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163">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5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3977" w:type="dxa"/>
            <w:tcBorders>
              <w:top w:val="single" w:color="000000" w:sz="4" w:space="0"/>
              <w:left w:val="nil"/>
              <w:bottom w:val="single" w:color="000000" w:sz="4" w:space="0"/>
              <w:right w:val="single" w:color="000000" w:sz="4" w:space="0"/>
            </w:tcBorders>
            <w:vAlign w:val="center"/>
          </w:tcPr>
          <w:p w14:paraId="56D1315F">
            <w:pPr>
              <w:widowControl/>
              <w:spacing w:line="276" w:lineRule="auto"/>
              <w:rPr>
                <w:i w:val="0"/>
                <w:iCs w:val="0"/>
                <w:color w:val="auto"/>
                <w:sz w:val="21"/>
                <w:szCs w:val="15"/>
                <w:highlight w:val="none"/>
              </w:rPr>
            </w:pPr>
            <w:r>
              <w:rPr>
                <w:rFonts w:hint="eastAsia"/>
                <w:i w:val="0"/>
                <w:iCs w:val="0"/>
                <w:color w:val="auto"/>
                <w:sz w:val="20"/>
                <w:szCs w:val="20"/>
                <w:highlight w:val="none"/>
              </w:rPr>
              <w:t>警务室接收终端</w:t>
            </w:r>
          </w:p>
        </w:tc>
        <w:tc>
          <w:tcPr>
            <w:tcW w:w="660" w:type="dxa"/>
            <w:tcBorders>
              <w:top w:val="single" w:color="000000" w:sz="4" w:space="0"/>
              <w:left w:val="nil"/>
              <w:bottom w:val="single" w:color="000000" w:sz="4" w:space="0"/>
              <w:right w:val="single" w:color="000000" w:sz="4" w:space="0"/>
            </w:tcBorders>
            <w:vAlign w:val="center"/>
          </w:tcPr>
          <w:p w14:paraId="56D13160">
            <w:pPr>
              <w:widowControl/>
              <w:spacing w:line="276" w:lineRule="auto"/>
              <w:rPr>
                <w:i w:val="0"/>
                <w:iCs w:val="0"/>
                <w:color w:val="auto"/>
                <w:sz w:val="21"/>
                <w:szCs w:val="15"/>
                <w:highlight w:val="none"/>
              </w:rPr>
            </w:pPr>
            <w:r>
              <w:rPr>
                <w:rFonts w:hint="eastAsia"/>
                <w:i w:val="0"/>
                <w:iCs w:val="0"/>
                <w:color w:val="auto"/>
                <w:sz w:val="20"/>
                <w:szCs w:val="20"/>
                <w:highlight w:val="none"/>
              </w:rPr>
              <w:t>台</w:t>
            </w:r>
          </w:p>
        </w:tc>
        <w:tc>
          <w:tcPr>
            <w:tcW w:w="668" w:type="dxa"/>
            <w:tcBorders>
              <w:top w:val="single" w:color="000000" w:sz="4" w:space="0"/>
              <w:left w:val="nil"/>
              <w:bottom w:val="single" w:color="000000" w:sz="4" w:space="0"/>
              <w:right w:val="single" w:color="000000" w:sz="4" w:space="0"/>
            </w:tcBorders>
            <w:vAlign w:val="center"/>
          </w:tcPr>
          <w:p w14:paraId="56D13161">
            <w:pPr>
              <w:widowControl/>
              <w:spacing w:line="276" w:lineRule="auto"/>
              <w:rPr>
                <w:i w:val="0"/>
                <w:iCs w:val="0"/>
                <w:color w:val="auto"/>
                <w:sz w:val="21"/>
                <w:szCs w:val="15"/>
                <w:highlight w:val="none"/>
              </w:rPr>
            </w:pPr>
            <w:r>
              <w:rPr>
                <w:rFonts w:hint="eastAsia"/>
                <w:i w:val="0"/>
                <w:iCs w:val="0"/>
                <w:color w:val="auto"/>
                <w:sz w:val="20"/>
                <w:szCs w:val="20"/>
                <w:highlight w:val="none"/>
              </w:rPr>
              <w:t>34</w:t>
            </w:r>
          </w:p>
        </w:tc>
        <w:tc>
          <w:tcPr>
            <w:tcW w:w="1761" w:type="dxa"/>
            <w:tcBorders>
              <w:top w:val="single" w:color="000000" w:sz="4" w:space="0"/>
              <w:left w:val="single" w:color="000000" w:sz="4" w:space="0"/>
              <w:bottom w:val="single" w:color="000000" w:sz="4" w:space="0"/>
              <w:right w:val="single" w:color="000000" w:sz="4" w:space="0"/>
            </w:tcBorders>
            <w:vAlign w:val="center"/>
          </w:tcPr>
          <w:p w14:paraId="56D13162">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甲供，硬件。</w:t>
            </w:r>
          </w:p>
        </w:tc>
      </w:tr>
      <w:tr w14:paraId="56D13169">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6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3977" w:type="dxa"/>
            <w:tcBorders>
              <w:top w:val="single" w:color="000000" w:sz="4" w:space="0"/>
              <w:left w:val="nil"/>
              <w:bottom w:val="single" w:color="000000" w:sz="4" w:space="0"/>
              <w:right w:val="single" w:color="000000" w:sz="4" w:space="0"/>
            </w:tcBorders>
            <w:vAlign w:val="center"/>
          </w:tcPr>
          <w:p w14:paraId="56D13165">
            <w:pPr>
              <w:widowControl/>
              <w:spacing w:line="276" w:lineRule="auto"/>
              <w:rPr>
                <w:i w:val="0"/>
                <w:iCs w:val="0"/>
                <w:color w:val="auto"/>
                <w:sz w:val="21"/>
                <w:szCs w:val="15"/>
                <w:highlight w:val="none"/>
              </w:rPr>
            </w:pPr>
            <w:r>
              <w:rPr>
                <w:rFonts w:hint="eastAsia"/>
                <w:i w:val="0"/>
                <w:iCs w:val="0"/>
                <w:color w:val="auto"/>
                <w:sz w:val="21"/>
                <w:szCs w:val="15"/>
                <w:highlight w:val="none"/>
              </w:rPr>
              <w:t>PDU</w:t>
            </w:r>
          </w:p>
        </w:tc>
        <w:tc>
          <w:tcPr>
            <w:tcW w:w="660" w:type="dxa"/>
            <w:tcBorders>
              <w:top w:val="single" w:color="000000" w:sz="4" w:space="0"/>
              <w:left w:val="nil"/>
              <w:bottom w:val="single" w:color="000000" w:sz="4" w:space="0"/>
              <w:right w:val="single" w:color="000000" w:sz="4" w:space="0"/>
            </w:tcBorders>
            <w:vAlign w:val="center"/>
          </w:tcPr>
          <w:p w14:paraId="56D13166">
            <w:pPr>
              <w:widowControl/>
              <w:spacing w:line="276" w:lineRule="auto"/>
              <w:rPr>
                <w:i w:val="0"/>
                <w:iCs w:val="0"/>
                <w:color w:val="auto"/>
                <w:sz w:val="21"/>
                <w:szCs w:val="15"/>
                <w:highlight w:val="none"/>
              </w:rPr>
            </w:pPr>
            <w:r>
              <w:rPr>
                <w:rFonts w:hint="eastAsia"/>
                <w:i w:val="0"/>
                <w:iCs w:val="0"/>
                <w:color w:val="auto"/>
                <w:sz w:val="21"/>
                <w:szCs w:val="15"/>
                <w:highlight w:val="none"/>
              </w:rPr>
              <w:t>个</w:t>
            </w:r>
          </w:p>
        </w:tc>
        <w:tc>
          <w:tcPr>
            <w:tcW w:w="668" w:type="dxa"/>
            <w:tcBorders>
              <w:top w:val="single" w:color="000000" w:sz="4" w:space="0"/>
              <w:left w:val="nil"/>
              <w:bottom w:val="single" w:color="000000" w:sz="4" w:space="0"/>
              <w:right w:val="single" w:color="000000" w:sz="4" w:space="0"/>
            </w:tcBorders>
            <w:vAlign w:val="center"/>
          </w:tcPr>
          <w:p w14:paraId="56D13167">
            <w:pPr>
              <w:widowControl/>
              <w:spacing w:line="276" w:lineRule="auto"/>
              <w:rPr>
                <w:i w:val="0"/>
                <w:iCs w:val="0"/>
                <w:color w:val="auto"/>
                <w:sz w:val="21"/>
                <w:szCs w:val="15"/>
                <w:highlight w:val="none"/>
              </w:rPr>
            </w:pPr>
            <w:r>
              <w:rPr>
                <w:rFonts w:hint="eastAsia"/>
                <w:i w:val="0"/>
                <w:iCs w:val="0"/>
                <w:color w:val="auto"/>
                <w:sz w:val="21"/>
                <w:szCs w:val="15"/>
                <w:highlight w:val="none"/>
              </w:rPr>
              <w:t>34</w:t>
            </w:r>
          </w:p>
        </w:tc>
        <w:tc>
          <w:tcPr>
            <w:tcW w:w="1761" w:type="dxa"/>
            <w:tcBorders>
              <w:top w:val="single" w:color="000000" w:sz="4" w:space="0"/>
              <w:left w:val="nil"/>
              <w:bottom w:val="single" w:color="000000" w:sz="4" w:space="0"/>
              <w:right w:val="single" w:color="000000" w:sz="4" w:space="0"/>
            </w:tcBorders>
            <w:vAlign w:val="center"/>
          </w:tcPr>
          <w:p w14:paraId="56D13168">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16F">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6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3977" w:type="dxa"/>
            <w:tcBorders>
              <w:top w:val="nil"/>
              <w:left w:val="nil"/>
              <w:bottom w:val="single" w:color="000000" w:sz="4" w:space="0"/>
              <w:right w:val="single" w:color="000000" w:sz="4" w:space="0"/>
            </w:tcBorders>
            <w:vAlign w:val="center"/>
          </w:tcPr>
          <w:p w14:paraId="56D1316B">
            <w:pPr>
              <w:widowControl/>
              <w:spacing w:line="276" w:lineRule="auto"/>
              <w:rPr>
                <w:i w:val="0"/>
                <w:iCs w:val="0"/>
                <w:color w:val="auto"/>
                <w:sz w:val="21"/>
                <w:szCs w:val="15"/>
                <w:highlight w:val="none"/>
              </w:rPr>
            </w:pPr>
            <w:r>
              <w:rPr>
                <w:rFonts w:hint="eastAsia"/>
                <w:i w:val="0"/>
                <w:iCs w:val="0"/>
                <w:color w:val="auto"/>
                <w:sz w:val="21"/>
                <w:szCs w:val="15"/>
                <w:highlight w:val="none"/>
              </w:rPr>
              <w:t>管控平台智慧化应用升级改造</w:t>
            </w:r>
          </w:p>
        </w:tc>
        <w:tc>
          <w:tcPr>
            <w:tcW w:w="660" w:type="dxa"/>
            <w:tcBorders>
              <w:top w:val="nil"/>
              <w:left w:val="nil"/>
              <w:bottom w:val="single" w:color="000000" w:sz="4" w:space="0"/>
              <w:right w:val="single" w:color="000000" w:sz="4" w:space="0"/>
            </w:tcBorders>
            <w:vAlign w:val="center"/>
          </w:tcPr>
          <w:p w14:paraId="56D1316C">
            <w:pPr>
              <w:widowControl/>
              <w:spacing w:line="276" w:lineRule="auto"/>
              <w:rPr>
                <w:i w:val="0"/>
                <w:iCs w:val="0"/>
                <w:color w:val="auto"/>
                <w:sz w:val="21"/>
                <w:szCs w:val="15"/>
                <w:highlight w:val="none"/>
              </w:rPr>
            </w:pPr>
          </w:p>
        </w:tc>
        <w:tc>
          <w:tcPr>
            <w:tcW w:w="668" w:type="dxa"/>
            <w:tcBorders>
              <w:top w:val="nil"/>
              <w:left w:val="nil"/>
              <w:bottom w:val="single" w:color="000000" w:sz="4" w:space="0"/>
              <w:right w:val="single" w:color="000000" w:sz="4" w:space="0"/>
            </w:tcBorders>
            <w:vAlign w:val="center"/>
          </w:tcPr>
          <w:p w14:paraId="56D1316D">
            <w:pPr>
              <w:widowControl/>
              <w:spacing w:line="276" w:lineRule="auto"/>
              <w:rPr>
                <w:i w:val="0"/>
                <w:iCs w:val="0"/>
                <w:color w:val="auto"/>
                <w:sz w:val="21"/>
                <w:szCs w:val="15"/>
                <w:highlight w:val="none"/>
              </w:rPr>
            </w:pPr>
          </w:p>
        </w:tc>
        <w:tc>
          <w:tcPr>
            <w:tcW w:w="1761" w:type="dxa"/>
            <w:tcBorders>
              <w:top w:val="single" w:color="000000" w:sz="4" w:space="0"/>
              <w:left w:val="nil"/>
              <w:bottom w:val="single" w:color="000000" w:sz="4" w:space="0"/>
              <w:right w:val="single" w:color="000000" w:sz="4" w:space="0"/>
            </w:tcBorders>
            <w:vAlign w:val="center"/>
          </w:tcPr>
          <w:p w14:paraId="56D1316E">
            <w:pPr>
              <w:widowControl/>
              <w:spacing w:line="276" w:lineRule="auto"/>
              <w:rPr>
                <w:i w:val="0"/>
                <w:iCs w:val="0"/>
                <w:color w:val="auto"/>
                <w:sz w:val="21"/>
                <w:szCs w:val="15"/>
                <w:highlight w:val="none"/>
              </w:rPr>
            </w:pPr>
          </w:p>
        </w:tc>
      </w:tr>
      <w:tr w14:paraId="56D13175">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7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6.1</w:t>
            </w:r>
          </w:p>
        </w:tc>
        <w:tc>
          <w:tcPr>
            <w:tcW w:w="3977" w:type="dxa"/>
            <w:tcBorders>
              <w:top w:val="single" w:color="000000" w:sz="4" w:space="0"/>
              <w:left w:val="nil"/>
              <w:bottom w:val="single" w:color="000000" w:sz="4" w:space="0"/>
              <w:right w:val="single" w:color="000000" w:sz="4" w:space="0"/>
            </w:tcBorders>
            <w:vAlign w:val="center"/>
          </w:tcPr>
          <w:p w14:paraId="56D13171">
            <w:pPr>
              <w:widowControl/>
              <w:spacing w:line="276" w:lineRule="auto"/>
              <w:rPr>
                <w:i w:val="0"/>
                <w:iCs w:val="0"/>
                <w:color w:val="auto"/>
                <w:sz w:val="21"/>
                <w:szCs w:val="15"/>
                <w:highlight w:val="none"/>
              </w:rPr>
            </w:pPr>
            <w:r>
              <w:rPr>
                <w:rFonts w:hint="eastAsia"/>
                <w:i w:val="0"/>
                <w:iCs w:val="0"/>
                <w:color w:val="auto"/>
                <w:sz w:val="21"/>
                <w:szCs w:val="15"/>
                <w:highlight w:val="none"/>
              </w:rPr>
              <w:t>早间智能开站AI化升级</w:t>
            </w:r>
          </w:p>
        </w:tc>
        <w:tc>
          <w:tcPr>
            <w:tcW w:w="660" w:type="dxa"/>
            <w:tcBorders>
              <w:top w:val="single" w:color="000000" w:sz="4" w:space="0"/>
              <w:left w:val="nil"/>
              <w:bottom w:val="single" w:color="000000" w:sz="4" w:space="0"/>
              <w:right w:val="single" w:color="000000" w:sz="4" w:space="0"/>
            </w:tcBorders>
            <w:vAlign w:val="center"/>
          </w:tcPr>
          <w:p w14:paraId="56D13172">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73">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74">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17B">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7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6.2</w:t>
            </w:r>
          </w:p>
        </w:tc>
        <w:tc>
          <w:tcPr>
            <w:tcW w:w="3977" w:type="dxa"/>
            <w:tcBorders>
              <w:top w:val="single" w:color="000000" w:sz="4" w:space="0"/>
              <w:left w:val="nil"/>
              <w:bottom w:val="single" w:color="000000" w:sz="4" w:space="0"/>
              <w:right w:val="single" w:color="000000" w:sz="4" w:space="0"/>
            </w:tcBorders>
            <w:vAlign w:val="center"/>
          </w:tcPr>
          <w:p w14:paraId="56D13177">
            <w:pPr>
              <w:widowControl/>
              <w:spacing w:line="276" w:lineRule="auto"/>
              <w:rPr>
                <w:i w:val="0"/>
                <w:iCs w:val="0"/>
                <w:color w:val="auto"/>
                <w:sz w:val="21"/>
                <w:szCs w:val="15"/>
                <w:highlight w:val="none"/>
              </w:rPr>
            </w:pPr>
            <w:r>
              <w:rPr>
                <w:rFonts w:hint="eastAsia"/>
                <w:i w:val="0"/>
                <w:iCs w:val="0"/>
                <w:color w:val="auto"/>
                <w:sz w:val="21"/>
                <w:szCs w:val="15"/>
                <w:highlight w:val="none"/>
              </w:rPr>
              <w:t>晚间智能关站AI化升级</w:t>
            </w:r>
          </w:p>
        </w:tc>
        <w:tc>
          <w:tcPr>
            <w:tcW w:w="660" w:type="dxa"/>
            <w:tcBorders>
              <w:top w:val="single" w:color="000000" w:sz="4" w:space="0"/>
              <w:left w:val="nil"/>
              <w:bottom w:val="single" w:color="000000" w:sz="4" w:space="0"/>
              <w:right w:val="single" w:color="000000" w:sz="4" w:space="0"/>
            </w:tcBorders>
            <w:vAlign w:val="center"/>
          </w:tcPr>
          <w:p w14:paraId="56D13178">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79">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7A">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181">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7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6.3</w:t>
            </w:r>
          </w:p>
        </w:tc>
        <w:tc>
          <w:tcPr>
            <w:tcW w:w="3977" w:type="dxa"/>
            <w:tcBorders>
              <w:top w:val="single" w:color="000000" w:sz="4" w:space="0"/>
              <w:left w:val="nil"/>
              <w:bottom w:val="single" w:color="000000" w:sz="4" w:space="0"/>
              <w:right w:val="single" w:color="000000" w:sz="4" w:space="0"/>
            </w:tcBorders>
            <w:vAlign w:val="center"/>
          </w:tcPr>
          <w:p w14:paraId="56D1317D">
            <w:pPr>
              <w:widowControl/>
              <w:spacing w:line="276" w:lineRule="auto"/>
              <w:rPr>
                <w:i w:val="0"/>
                <w:iCs w:val="0"/>
                <w:color w:val="auto"/>
                <w:sz w:val="21"/>
                <w:szCs w:val="15"/>
                <w:highlight w:val="none"/>
              </w:rPr>
            </w:pPr>
            <w:r>
              <w:rPr>
                <w:rFonts w:hint="eastAsia"/>
                <w:i w:val="0"/>
                <w:iCs w:val="0"/>
                <w:color w:val="auto"/>
                <w:sz w:val="21"/>
                <w:szCs w:val="15"/>
                <w:highlight w:val="none"/>
              </w:rPr>
              <w:t>智能巡检应用AI化升级</w:t>
            </w:r>
          </w:p>
        </w:tc>
        <w:tc>
          <w:tcPr>
            <w:tcW w:w="660" w:type="dxa"/>
            <w:tcBorders>
              <w:top w:val="single" w:color="000000" w:sz="4" w:space="0"/>
              <w:left w:val="nil"/>
              <w:bottom w:val="single" w:color="000000" w:sz="4" w:space="0"/>
              <w:right w:val="single" w:color="000000" w:sz="4" w:space="0"/>
            </w:tcBorders>
            <w:vAlign w:val="center"/>
          </w:tcPr>
          <w:p w14:paraId="56D1317E">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7F">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80">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187">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8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6.4</w:t>
            </w:r>
          </w:p>
        </w:tc>
        <w:tc>
          <w:tcPr>
            <w:tcW w:w="3977" w:type="dxa"/>
            <w:tcBorders>
              <w:top w:val="single" w:color="000000" w:sz="4" w:space="0"/>
              <w:left w:val="nil"/>
              <w:bottom w:val="single" w:color="000000" w:sz="4" w:space="0"/>
              <w:right w:val="single" w:color="000000" w:sz="4" w:space="0"/>
            </w:tcBorders>
            <w:vAlign w:val="center"/>
          </w:tcPr>
          <w:p w14:paraId="56D13183">
            <w:pPr>
              <w:widowControl/>
              <w:spacing w:line="276" w:lineRule="auto"/>
              <w:rPr>
                <w:i w:val="0"/>
                <w:iCs w:val="0"/>
                <w:color w:val="auto"/>
                <w:sz w:val="21"/>
                <w:szCs w:val="15"/>
                <w:highlight w:val="none"/>
              </w:rPr>
            </w:pPr>
            <w:r>
              <w:rPr>
                <w:rFonts w:hint="eastAsia"/>
                <w:i w:val="0"/>
                <w:iCs w:val="0"/>
                <w:color w:val="auto"/>
                <w:sz w:val="21"/>
                <w:szCs w:val="15"/>
                <w:highlight w:val="none"/>
              </w:rPr>
              <w:t>智能开关站/巡检日报功能</w:t>
            </w:r>
          </w:p>
        </w:tc>
        <w:tc>
          <w:tcPr>
            <w:tcW w:w="660" w:type="dxa"/>
            <w:tcBorders>
              <w:top w:val="single" w:color="000000" w:sz="4" w:space="0"/>
              <w:left w:val="nil"/>
              <w:bottom w:val="single" w:color="000000" w:sz="4" w:space="0"/>
              <w:right w:val="single" w:color="000000" w:sz="4" w:space="0"/>
            </w:tcBorders>
            <w:vAlign w:val="center"/>
          </w:tcPr>
          <w:p w14:paraId="56D13184">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68" w:type="dxa"/>
            <w:tcBorders>
              <w:top w:val="single" w:color="000000" w:sz="4" w:space="0"/>
              <w:left w:val="nil"/>
              <w:bottom w:val="single" w:color="000000" w:sz="4" w:space="0"/>
              <w:right w:val="single" w:color="000000" w:sz="4" w:space="0"/>
            </w:tcBorders>
            <w:vAlign w:val="center"/>
          </w:tcPr>
          <w:p w14:paraId="56D13185">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86">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18D">
        <w:tblPrEx>
          <w:tblCellMar>
            <w:top w:w="0" w:type="dxa"/>
            <w:left w:w="108" w:type="dxa"/>
            <w:bottom w:w="0" w:type="dxa"/>
            <w:right w:w="108" w:type="dxa"/>
          </w:tblCellMar>
        </w:tblPrEx>
        <w:trPr>
          <w:trHeight w:val="23" w:hRule="atLeast"/>
          <w:jc w:val="center"/>
        </w:trPr>
        <w:tc>
          <w:tcPr>
            <w:tcW w:w="896" w:type="dxa"/>
            <w:tcBorders>
              <w:top w:val="single" w:color="000000" w:sz="4" w:space="0"/>
              <w:left w:val="single" w:color="000000" w:sz="4" w:space="0"/>
              <w:bottom w:val="single" w:color="000000" w:sz="4" w:space="0"/>
              <w:right w:val="single" w:color="000000" w:sz="4" w:space="0"/>
            </w:tcBorders>
            <w:vAlign w:val="center"/>
          </w:tcPr>
          <w:p w14:paraId="56D1318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7</w:t>
            </w:r>
          </w:p>
        </w:tc>
        <w:tc>
          <w:tcPr>
            <w:tcW w:w="3977" w:type="dxa"/>
            <w:tcBorders>
              <w:top w:val="single" w:color="000000" w:sz="4" w:space="0"/>
              <w:left w:val="nil"/>
              <w:bottom w:val="single" w:color="000000" w:sz="4" w:space="0"/>
              <w:right w:val="single" w:color="000000" w:sz="4" w:space="0"/>
            </w:tcBorders>
            <w:vAlign w:val="center"/>
          </w:tcPr>
          <w:p w14:paraId="56D13189">
            <w:pPr>
              <w:widowControl/>
              <w:spacing w:line="276" w:lineRule="auto"/>
              <w:rPr>
                <w:i w:val="0"/>
                <w:iCs w:val="0"/>
                <w:color w:val="auto"/>
                <w:sz w:val="21"/>
                <w:szCs w:val="15"/>
                <w:highlight w:val="none"/>
              </w:rPr>
            </w:pPr>
            <w:r>
              <w:rPr>
                <w:rFonts w:hint="eastAsia"/>
                <w:i w:val="0"/>
                <w:iCs w:val="0"/>
                <w:color w:val="auto"/>
                <w:sz w:val="21"/>
                <w:szCs w:val="15"/>
                <w:highlight w:val="none"/>
              </w:rPr>
              <w:t>既有视频监控配合的对接、调整</w:t>
            </w:r>
          </w:p>
        </w:tc>
        <w:tc>
          <w:tcPr>
            <w:tcW w:w="660" w:type="dxa"/>
            <w:tcBorders>
              <w:top w:val="single" w:color="000000" w:sz="4" w:space="0"/>
              <w:left w:val="nil"/>
              <w:bottom w:val="single" w:color="000000" w:sz="4" w:space="0"/>
              <w:right w:val="single" w:color="000000" w:sz="4" w:space="0"/>
            </w:tcBorders>
            <w:vAlign w:val="center"/>
          </w:tcPr>
          <w:p w14:paraId="56D1318A">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68" w:type="dxa"/>
            <w:tcBorders>
              <w:top w:val="single" w:color="000000" w:sz="4" w:space="0"/>
              <w:left w:val="nil"/>
              <w:bottom w:val="single" w:color="000000" w:sz="4" w:space="0"/>
              <w:right w:val="single" w:color="000000" w:sz="4" w:space="0"/>
            </w:tcBorders>
            <w:vAlign w:val="center"/>
          </w:tcPr>
          <w:p w14:paraId="56D1318B">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761" w:type="dxa"/>
            <w:tcBorders>
              <w:top w:val="single" w:color="000000" w:sz="4" w:space="0"/>
              <w:left w:val="nil"/>
              <w:bottom w:val="single" w:color="000000" w:sz="4" w:space="0"/>
              <w:right w:val="single" w:color="000000" w:sz="4" w:space="0"/>
            </w:tcBorders>
            <w:vAlign w:val="center"/>
          </w:tcPr>
          <w:p w14:paraId="56D1318C">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bl>
    <w:p w14:paraId="56D1318E">
      <w:pPr>
        <w:pStyle w:val="5"/>
        <w:ind w:left="0"/>
        <w:rPr>
          <w:i w:val="0"/>
          <w:iCs w:val="0"/>
          <w:color w:val="auto"/>
          <w:sz w:val="22"/>
          <w:szCs w:val="22"/>
          <w:highlight w:val="none"/>
          <w:lang w:val="en-US"/>
        </w:rPr>
      </w:pPr>
      <w:bookmarkStart w:id="354" w:name="_Toc14955"/>
      <w:r>
        <w:rPr>
          <w:rFonts w:hint="eastAsia"/>
          <w:i w:val="0"/>
          <w:iCs w:val="0"/>
          <w:color w:val="auto"/>
          <w:sz w:val="22"/>
          <w:szCs w:val="22"/>
          <w:highlight w:val="none"/>
          <w:lang w:val="en-US"/>
        </w:rPr>
        <w:t>主要材料表</w:t>
      </w:r>
      <w:bookmarkEnd w:id="354"/>
    </w:p>
    <w:tbl>
      <w:tblPr>
        <w:tblStyle w:val="88"/>
        <w:tblW w:w="7962" w:type="dxa"/>
        <w:jc w:val="center"/>
        <w:tblLayout w:type="autofit"/>
        <w:tblCellMar>
          <w:top w:w="0" w:type="dxa"/>
          <w:left w:w="108" w:type="dxa"/>
          <w:bottom w:w="0" w:type="dxa"/>
          <w:right w:w="108" w:type="dxa"/>
        </w:tblCellMar>
      </w:tblPr>
      <w:tblGrid>
        <w:gridCol w:w="853"/>
        <w:gridCol w:w="2404"/>
        <w:gridCol w:w="697"/>
        <w:gridCol w:w="843"/>
        <w:gridCol w:w="3165"/>
      </w:tblGrid>
      <w:tr w14:paraId="56D13194">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18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404" w:type="dxa"/>
            <w:tcBorders>
              <w:top w:val="single" w:color="000000" w:sz="4" w:space="0"/>
              <w:left w:val="nil"/>
              <w:bottom w:val="single" w:color="000000" w:sz="4" w:space="0"/>
              <w:right w:val="single" w:color="000000" w:sz="4" w:space="0"/>
            </w:tcBorders>
            <w:vAlign w:val="center"/>
          </w:tcPr>
          <w:p w14:paraId="56D1319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设备/功能模块名称</w:t>
            </w:r>
          </w:p>
        </w:tc>
        <w:tc>
          <w:tcPr>
            <w:tcW w:w="697" w:type="dxa"/>
            <w:tcBorders>
              <w:top w:val="single" w:color="000000" w:sz="4" w:space="0"/>
              <w:left w:val="nil"/>
              <w:bottom w:val="single" w:color="000000" w:sz="4" w:space="0"/>
              <w:right w:val="single" w:color="000000" w:sz="4" w:space="0"/>
            </w:tcBorders>
            <w:vAlign w:val="center"/>
          </w:tcPr>
          <w:p w14:paraId="56D1319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843" w:type="dxa"/>
            <w:tcBorders>
              <w:top w:val="single" w:color="000000" w:sz="4" w:space="0"/>
              <w:left w:val="nil"/>
              <w:bottom w:val="single" w:color="000000" w:sz="4" w:space="0"/>
              <w:right w:val="single" w:color="000000" w:sz="4" w:space="0"/>
            </w:tcBorders>
            <w:vAlign w:val="center"/>
          </w:tcPr>
          <w:p w14:paraId="56D1319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165" w:type="dxa"/>
            <w:tcBorders>
              <w:top w:val="single" w:color="000000" w:sz="4" w:space="0"/>
              <w:left w:val="nil"/>
              <w:bottom w:val="nil"/>
              <w:right w:val="single" w:color="000000" w:sz="4" w:space="0"/>
            </w:tcBorders>
            <w:vAlign w:val="center"/>
          </w:tcPr>
          <w:p w14:paraId="56D1319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19A">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19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404" w:type="dxa"/>
            <w:tcBorders>
              <w:top w:val="nil"/>
              <w:left w:val="nil"/>
              <w:bottom w:val="single" w:color="000000" w:sz="4" w:space="0"/>
              <w:right w:val="single" w:color="000000" w:sz="4" w:space="0"/>
            </w:tcBorders>
            <w:vAlign w:val="center"/>
          </w:tcPr>
          <w:p w14:paraId="56D13196">
            <w:pPr>
              <w:widowControl/>
              <w:spacing w:line="276" w:lineRule="auto"/>
              <w:rPr>
                <w:i w:val="0"/>
                <w:iCs w:val="0"/>
                <w:color w:val="auto"/>
                <w:sz w:val="21"/>
                <w:szCs w:val="15"/>
                <w:highlight w:val="none"/>
              </w:rPr>
            </w:pPr>
            <w:r>
              <w:rPr>
                <w:rFonts w:hint="eastAsia"/>
                <w:i w:val="0"/>
                <w:iCs w:val="0"/>
                <w:color w:val="auto"/>
                <w:sz w:val="21"/>
                <w:szCs w:val="15"/>
                <w:highlight w:val="none"/>
              </w:rPr>
              <w:t>WDZBN-YJY-3X6mm²</w:t>
            </w:r>
          </w:p>
        </w:tc>
        <w:tc>
          <w:tcPr>
            <w:tcW w:w="697" w:type="dxa"/>
            <w:tcBorders>
              <w:top w:val="nil"/>
              <w:left w:val="nil"/>
              <w:bottom w:val="single" w:color="000000" w:sz="4" w:space="0"/>
              <w:right w:val="single" w:color="000000" w:sz="4" w:space="0"/>
            </w:tcBorders>
            <w:vAlign w:val="center"/>
          </w:tcPr>
          <w:p w14:paraId="56D1319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843" w:type="dxa"/>
            <w:tcBorders>
              <w:top w:val="nil"/>
              <w:left w:val="nil"/>
              <w:bottom w:val="single" w:color="000000" w:sz="4" w:space="0"/>
              <w:right w:val="single" w:color="000000" w:sz="4" w:space="0"/>
            </w:tcBorders>
            <w:vAlign w:val="center"/>
          </w:tcPr>
          <w:p w14:paraId="56D1319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500</w:t>
            </w:r>
          </w:p>
        </w:tc>
        <w:tc>
          <w:tcPr>
            <w:tcW w:w="3165" w:type="dxa"/>
            <w:tcBorders>
              <w:top w:val="single" w:color="000000" w:sz="4" w:space="0"/>
              <w:left w:val="nil"/>
              <w:bottom w:val="single" w:color="000000" w:sz="4" w:space="0"/>
              <w:right w:val="single" w:color="000000" w:sz="4" w:space="0"/>
            </w:tcBorders>
            <w:vAlign w:val="center"/>
          </w:tcPr>
          <w:p w14:paraId="56D13199">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电源线，低烟无卤阻燃耐火，燃烧性能满足BI级</w:t>
            </w:r>
            <w:r>
              <w:rPr>
                <w:rFonts w:hint="eastAsia"/>
                <w:i w:val="0"/>
                <w:iCs w:val="0"/>
                <w:color w:val="auto"/>
                <w:sz w:val="21"/>
                <w:szCs w:val="15"/>
                <w:highlight w:val="none"/>
                <w:lang w:eastAsia="zh-CN"/>
              </w:rPr>
              <w:t>。</w:t>
            </w:r>
          </w:p>
        </w:tc>
      </w:tr>
      <w:tr w14:paraId="56D131A0">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19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404" w:type="dxa"/>
            <w:tcBorders>
              <w:top w:val="nil"/>
              <w:left w:val="nil"/>
              <w:bottom w:val="single" w:color="000000" w:sz="4" w:space="0"/>
              <w:right w:val="single" w:color="000000" w:sz="4" w:space="0"/>
            </w:tcBorders>
            <w:vAlign w:val="center"/>
          </w:tcPr>
          <w:p w14:paraId="56D1319C">
            <w:pPr>
              <w:widowControl/>
              <w:spacing w:line="276" w:lineRule="auto"/>
              <w:rPr>
                <w:i w:val="0"/>
                <w:iCs w:val="0"/>
                <w:color w:val="auto"/>
                <w:sz w:val="21"/>
                <w:szCs w:val="15"/>
                <w:highlight w:val="none"/>
              </w:rPr>
            </w:pPr>
            <w:r>
              <w:rPr>
                <w:rFonts w:hint="eastAsia"/>
                <w:i w:val="0"/>
                <w:iCs w:val="0"/>
                <w:color w:val="auto"/>
                <w:sz w:val="21"/>
                <w:szCs w:val="15"/>
                <w:highlight w:val="none"/>
              </w:rPr>
              <w:t>六类屏蔽双绞线</w:t>
            </w:r>
          </w:p>
        </w:tc>
        <w:tc>
          <w:tcPr>
            <w:tcW w:w="697" w:type="dxa"/>
            <w:tcBorders>
              <w:top w:val="nil"/>
              <w:left w:val="nil"/>
              <w:bottom w:val="single" w:color="000000" w:sz="4" w:space="0"/>
              <w:right w:val="single" w:color="000000" w:sz="4" w:space="0"/>
            </w:tcBorders>
            <w:vAlign w:val="center"/>
          </w:tcPr>
          <w:p w14:paraId="56D1319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843" w:type="dxa"/>
            <w:tcBorders>
              <w:top w:val="nil"/>
              <w:left w:val="nil"/>
              <w:bottom w:val="single" w:color="000000" w:sz="4" w:space="0"/>
              <w:right w:val="single" w:color="000000" w:sz="4" w:space="0"/>
            </w:tcBorders>
            <w:vAlign w:val="center"/>
          </w:tcPr>
          <w:p w14:paraId="56D1319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4000</w:t>
            </w:r>
          </w:p>
        </w:tc>
        <w:tc>
          <w:tcPr>
            <w:tcW w:w="3165" w:type="dxa"/>
            <w:tcBorders>
              <w:top w:val="single" w:color="000000" w:sz="4" w:space="0"/>
              <w:left w:val="nil"/>
              <w:bottom w:val="single" w:color="000000" w:sz="4" w:space="0"/>
              <w:right w:val="single" w:color="000000" w:sz="4" w:space="0"/>
            </w:tcBorders>
            <w:vAlign w:val="center"/>
          </w:tcPr>
          <w:p w14:paraId="56D1319F">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低烟无卤阻燃，CAT6</w:t>
            </w:r>
            <w:r>
              <w:rPr>
                <w:rFonts w:hint="eastAsia"/>
                <w:i w:val="0"/>
                <w:iCs w:val="0"/>
                <w:color w:val="auto"/>
                <w:sz w:val="21"/>
                <w:szCs w:val="15"/>
                <w:highlight w:val="none"/>
                <w:lang w:eastAsia="zh-CN"/>
              </w:rPr>
              <w:t>。</w:t>
            </w:r>
          </w:p>
        </w:tc>
      </w:tr>
      <w:tr w14:paraId="56D131A6">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1A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404" w:type="dxa"/>
            <w:tcBorders>
              <w:top w:val="nil"/>
              <w:left w:val="nil"/>
              <w:bottom w:val="single" w:color="000000" w:sz="4" w:space="0"/>
              <w:right w:val="single" w:color="000000" w:sz="4" w:space="0"/>
            </w:tcBorders>
            <w:vAlign w:val="center"/>
          </w:tcPr>
          <w:p w14:paraId="56D131A2">
            <w:pPr>
              <w:widowControl/>
              <w:spacing w:line="276" w:lineRule="auto"/>
              <w:rPr>
                <w:i w:val="0"/>
                <w:iCs w:val="0"/>
                <w:color w:val="auto"/>
                <w:sz w:val="21"/>
                <w:szCs w:val="15"/>
                <w:highlight w:val="none"/>
              </w:rPr>
            </w:pPr>
            <w:r>
              <w:rPr>
                <w:rFonts w:hint="eastAsia"/>
                <w:i w:val="0"/>
                <w:iCs w:val="0"/>
                <w:color w:val="auto"/>
                <w:sz w:val="21"/>
                <w:szCs w:val="15"/>
                <w:highlight w:val="none"/>
              </w:rPr>
              <w:t>辅材</w:t>
            </w:r>
          </w:p>
        </w:tc>
        <w:tc>
          <w:tcPr>
            <w:tcW w:w="697" w:type="dxa"/>
            <w:tcBorders>
              <w:top w:val="nil"/>
              <w:left w:val="nil"/>
              <w:bottom w:val="single" w:color="000000" w:sz="4" w:space="0"/>
              <w:right w:val="single" w:color="000000" w:sz="4" w:space="0"/>
            </w:tcBorders>
            <w:vAlign w:val="center"/>
          </w:tcPr>
          <w:p w14:paraId="56D131A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43" w:type="dxa"/>
            <w:tcBorders>
              <w:top w:val="nil"/>
              <w:left w:val="nil"/>
              <w:bottom w:val="single" w:color="000000" w:sz="4" w:space="0"/>
              <w:right w:val="single" w:color="000000" w:sz="4" w:space="0"/>
            </w:tcBorders>
            <w:vAlign w:val="center"/>
          </w:tcPr>
          <w:p w14:paraId="56D131A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165" w:type="dxa"/>
            <w:tcBorders>
              <w:top w:val="single" w:color="000000" w:sz="4" w:space="0"/>
              <w:left w:val="nil"/>
              <w:bottom w:val="single" w:color="000000" w:sz="4" w:space="0"/>
              <w:right w:val="single" w:color="000000" w:sz="4" w:space="0"/>
            </w:tcBorders>
            <w:vAlign w:val="center"/>
          </w:tcPr>
          <w:p w14:paraId="56D131A5">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螺丝、绝缘胶布、扎带等</w:t>
            </w:r>
            <w:r>
              <w:rPr>
                <w:rFonts w:hint="eastAsia"/>
                <w:i w:val="0"/>
                <w:iCs w:val="0"/>
                <w:color w:val="auto"/>
                <w:sz w:val="21"/>
                <w:szCs w:val="15"/>
                <w:highlight w:val="none"/>
                <w:lang w:eastAsia="zh-CN"/>
              </w:rPr>
              <w:t>。</w:t>
            </w:r>
          </w:p>
        </w:tc>
      </w:tr>
      <w:tr w14:paraId="56D131AC">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1A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2404" w:type="dxa"/>
            <w:tcBorders>
              <w:top w:val="single" w:color="000000" w:sz="4" w:space="0"/>
              <w:left w:val="nil"/>
              <w:bottom w:val="single" w:color="000000" w:sz="4" w:space="0"/>
              <w:right w:val="single" w:color="000000" w:sz="4" w:space="0"/>
            </w:tcBorders>
            <w:vAlign w:val="center"/>
          </w:tcPr>
          <w:p w14:paraId="56D131A8">
            <w:pPr>
              <w:widowControl/>
              <w:spacing w:line="276" w:lineRule="auto"/>
              <w:rPr>
                <w:i w:val="0"/>
                <w:iCs w:val="0"/>
                <w:color w:val="auto"/>
                <w:sz w:val="21"/>
                <w:szCs w:val="15"/>
                <w:highlight w:val="none"/>
              </w:rPr>
            </w:pPr>
            <w:r>
              <w:rPr>
                <w:rFonts w:hint="eastAsia"/>
                <w:i w:val="0"/>
                <w:iCs w:val="0"/>
                <w:color w:val="auto"/>
                <w:sz w:val="21"/>
                <w:szCs w:val="15"/>
                <w:highlight w:val="none"/>
              </w:rPr>
              <w:t>警务室接收终端</w:t>
            </w:r>
          </w:p>
        </w:tc>
        <w:tc>
          <w:tcPr>
            <w:tcW w:w="697" w:type="dxa"/>
            <w:tcBorders>
              <w:top w:val="single" w:color="000000" w:sz="4" w:space="0"/>
              <w:left w:val="nil"/>
              <w:bottom w:val="single" w:color="000000" w:sz="4" w:space="0"/>
              <w:right w:val="single" w:color="000000" w:sz="4" w:space="0"/>
            </w:tcBorders>
            <w:vAlign w:val="center"/>
          </w:tcPr>
          <w:p w14:paraId="56D131A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843" w:type="dxa"/>
            <w:tcBorders>
              <w:top w:val="single" w:color="000000" w:sz="4" w:space="0"/>
              <w:left w:val="nil"/>
              <w:bottom w:val="single" w:color="000000" w:sz="4" w:space="0"/>
              <w:right w:val="single" w:color="000000" w:sz="4" w:space="0"/>
            </w:tcBorders>
            <w:vAlign w:val="center"/>
          </w:tcPr>
          <w:p w14:paraId="56D131A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34</w:t>
            </w:r>
          </w:p>
        </w:tc>
        <w:tc>
          <w:tcPr>
            <w:tcW w:w="3165" w:type="dxa"/>
            <w:tcBorders>
              <w:top w:val="single" w:color="000000" w:sz="4" w:space="0"/>
              <w:left w:val="nil"/>
              <w:bottom w:val="single" w:color="000000" w:sz="4" w:space="0"/>
              <w:right w:val="single" w:color="000000" w:sz="4" w:space="0"/>
            </w:tcBorders>
            <w:vAlign w:val="center"/>
          </w:tcPr>
          <w:p w14:paraId="56D131AB">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设备甲供</w:t>
            </w:r>
            <w:r>
              <w:rPr>
                <w:rFonts w:hint="eastAsia"/>
                <w:i w:val="0"/>
                <w:iCs w:val="0"/>
                <w:color w:val="auto"/>
                <w:sz w:val="21"/>
                <w:szCs w:val="15"/>
                <w:highlight w:val="none"/>
                <w:lang w:eastAsia="zh-CN"/>
              </w:rPr>
              <w:t>。</w:t>
            </w:r>
          </w:p>
        </w:tc>
      </w:tr>
    </w:tbl>
    <w:p w14:paraId="56D131AD">
      <w:pPr>
        <w:pStyle w:val="4"/>
        <w:rPr>
          <w:i w:val="0"/>
          <w:iCs w:val="0"/>
          <w:color w:val="auto"/>
          <w:sz w:val="24"/>
          <w:szCs w:val="21"/>
          <w:highlight w:val="none"/>
        </w:rPr>
      </w:pPr>
      <w:bookmarkStart w:id="355" w:name="_Toc23671"/>
      <w:r>
        <w:rPr>
          <w:rFonts w:hint="eastAsia"/>
          <w:i w:val="0"/>
          <w:iCs w:val="0"/>
          <w:color w:val="auto"/>
          <w:sz w:val="24"/>
          <w:szCs w:val="21"/>
          <w:highlight w:val="none"/>
        </w:rPr>
        <w:t>FAS与ACS系统联动主要设备材料表</w:t>
      </w:r>
      <w:bookmarkEnd w:id="355"/>
    </w:p>
    <w:p w14:paraId="56D131AE">
      <w:pPr>
        <w:pStyle w:val="5"/>
        <w:ind w:left="0"/>
        <w:rPr>
          <w:i w:val="0"/>
          <w:iCs w:val="0"/>
          <w:color w:val="auto"/>
          <w:sz w:val="22"/>
          <w:szCs w:val="22"/>
          <w:highlight w:val="none"/>
          <w:lang w:val="en-US"/>
        </w:rPr>
      </w:pPr>
      <w:bookmarkStart w:id="356" w:name="_Toc3884"/>
      <w:r>
        <w:rPr>
          <w:rFonts w:hint="eastAsia"/>
          <w:i w:val="0"/>
          <w:iCs w:val="0"/>
          <w:color w:val="auto"/>
          <w:sz w:val="22"/>
          <w:szCs w:val="22"/>
          <w:highlight w:val="none"/>
          <w:lang w:val="en-US"/>
        </w:rPr>
        <w:t>主要设备表</w:t>
      </w:r>
      <w:bookmarkEnd w:id="356"/>
    </w:p>
    <w:tbl>
      <w:tblPr>
        <w:tblStyle w:val="88"/>
        <w:tblW w:w="0" w:type="auto"/>
        <w:jc w:val="center"/>
        <w:tblLayout w:type="fixed"/>
        <w:tblCellMar>
          <w:top w:w="15" w:type="dxa"/>
          <w:left w:w="15" w:type="dxa"/>
          <w:bottom w:w="15" w:type="dxa"/>
          <w:right w:w="15" w:type="dxa"/>
        </w:tblCellMar>
      </w:tblPr>
      <w:tblGrid>
        <w:gridCol w:w="704"/>
        <w:gridCol w:w="2818"/>
        <w:gridCol w:w="762"/>
        <w:gridCol w:w="720"/>
        <w:gridCol w:w="3083"/>
      </w:tblGrid>
      <w:tr w14:paraId="56D131B4">
        <w:tblPrEx>
          <w:tblCellMar>
            <w:top w:w="15" w:type="dxa"/>
            <w:left w:w="15" w:type="dxa"/>
            <w:bottom w:w="15" w:type="dxa"/>
            <w:right w:w="15" w:type="dxa"/>
          </w:tblCellMar>
        </w:tblPrEx>
        <w:trPr>
          <w:trHeight w:val="23" w:hRule="atLeast"/>
          <w:jc w:val="center"/>
        </w:trPr>
        <w:tc>
          <w:tcPr>
            <w:tcW w:w="704" w:type="dxa"/>
            <w:tcBorders>
              <w:top w:val="single" w:color="000000" w:sz="4" w:space="0"/>
              <w:left w:val="single" w:color="000000" w:sz="4" w:space="0"/>
              <w:bottom w:val="single" w:color="000000" w:sz="4" w:space="0"/>
              <w:right w:val="single" w:color="000000" w:sz="4" w:space="0"/>
            </w:tcBorders>
            <w:noWrap/>
            <w:vAlign w:val="center"/>
          </w:tcPr>
          <w:p w14:paraId="56D131A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818" w:type="dxa"/>
            <w:tcBorders>
              <w:top w:val="single" w:color="000000" w:sz="4" w:space="0"/>
              <w:left w:val="nil"/>
              <w:bottom w:val="single" w:color="000000" w:sz="4" w:space="0"/>
              <w:right w:val="single" w:color="000000" w:sz="4" w:space="0"/>
            </w:tcBorders>
            <w:vAlign w:val="center"/>
          </w:tcPr>
          <w:p w14:paraId="56D131B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762" w:type="dxa"/>
            <w:tcBorders>
              <w:top w:val="single" w:color="000000" w:sz="4" w:space="0"/>
              <w:left w:val="nil"/>
              <w:bottom w:val="single" w:color="000000" w:sz="4" w:space="0"/>
              <w:right w:val="single" w:color="000000" w:sz="4" w:space="0"/>
            </w:tcBorders>
            <w:noWrap/>
            <w:vAlign w:val="center"/>
          </w:tcPr>
          <w:p w14:paraId="56D131B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720" w:type="dxa"/>
            <w:tcBorders>
              <w:top w:val="single" w:color="000000" w:sz="4" w:space="0"/>
              <w:left w:val="nil"/>
              <w:bottom w:val="single" w:color="000000" w:sz="4" w:space="0"/>
              <w:right w:val="single" w:color="000000" w:sz="4" w:space="0"/>
            </w:tcBorders>
            <w:noWrap/>
            <w:vAlign w:val="center"/>
          </w:tcPr>
          <w:p w14:paraId="56D131B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083" w:type="dxa"/>
            <w:tcBorders>
              <w:top w:val="single" w:color="000000" w:sz="4" w:space="0"/>
              <w:left w:val="nil"/>
              <w:bottom w:val="single" w:color="000000" w:sz="4" w:space="0"/>
              <w:right w:val="single" w:color="000000" w:sz="4" w:space="0"/>
            </w:tcBorders>
            <w:vAlign w:val="center"/>
          </w:tcPr>
          <w:p w14:paraId="56D131B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1C0">
        <w:tblPrEx>
          <w:tblCellMar>
            <w:top w:w="15" w:type="dxa"/>
            <w:left w:w="15" w:type="dxa"/>
            <w:bottom w:w="15" w:type="dxa"/>
            <w:right w:w="15" w:type="dxa"/>
          </w:tblCellMar>
        </w:tblPrEx>
        <w:trPr>
          <w:trHeight w:val="23" w:hRule="atLeast"/>
          <w:jc w:val="center"/>
        </w:trPr>
        <w:tc>
          <w:tcPr>
            <w:tcW w:w="704" w:type="dxa"/>
            <w:tcBorders>
              <w:top w:val="single" w:color="000000" w:sz="4" w:space="0"/>
              <w:left w:val="single" w:color="000000" w:sz="4" w:space="0"/>
              <w:bottom w:val="single" w:color="000000" w:sz="4" w:space="0"/>
              <w:right w:val="single" w:color="000000" w:sz="4" w:space="0"/>
            </w:tcBorders>
            <w:noWrap/>
            <w:vAlign w:val="center"/>
          </w:tcPr>
          <w:p w14:paraId="56D131BB">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1</w:t>
            </w:r>
          </w:p>
        </w:tc>
        <w:tc>
          <w:tcPr>
            <w:tcW w:w="2818" w:type="dxa"/>
            <w:tcBorders>
              <w:top w:val="single" w:color="000000" w:sz="4" w:space="0"/>
              <w:left w:val="nil"/>
              <w:bottom w:val="single" w:color="000000" w:sz="4" w:space="0"/>
              <w:right w:val="single" w:color="000000" w:sz="4" w:space="0"/>
            </w:tcBorders>
            <w:vAlign w:val="center"/>
          </w:tcPr>
          <w:p w14:paraId="56D131BC">
            <w:pPr>
              <w:widowControl/>
              <w:spacing w:line="276" w:lineRule="auto"/>
              <w:rPr>
                <w:i w:val="0"/>
                <w:iCs w:val="0"/>
                <w:color w:val="auto"/>
                <w:sz w:val="21"/>
                <w:szCs w:val="15"/>
                <w:highlight w:val="none"/>
              </w:rPr>
            </w:pPr>
            <w:r>
              <w:rPr>
                <w:rFonts w:hint="eastAsia"/>
                <w:i w:val="0"/>
                <w:iCs w:val="0"/>
                <w:color w:val="auto"/>
                <w:sz w:val="21"/>
                <w:szCs w:val="15"/>
                <w:highlight w:val="none"/>
              </w:rPr>
              <w:t>综合监控平台软件改造</w:t>
            </w:r>
          </w:p>
        </w:tc>
        <w:tc>
          <w:tcPr>
            <w:tcW w:w="762" w:type="dxa"/>
            <w:tcBorders>
              <w:top w:val="single" w:color="000000" w:sz="4" w:space="0"/>
              <w:left w:val="nil"/>
              <w:bottom w:val="single" w:color="000000" w:sz="4" w:space="0"/>
              <w:right w:val="single" w:color="000000" w:sz="4" w:space="0"/>
            </w:tcBorders>
            <w:noWrap/>
            <w:vAlign w:val="center"/>
          </w:tcPr>
          <w:p w14:paraId="56D131B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720" w:type="dxa"/>
            <w:tcBorders>
              <w:top w:val="single" w:color="000000" w:sz="4" w:space="0"/>
              <w:left w:val="nil"/>
              <w:bottom w:val="single" w:color="000000" w:sz="4" w:space="0"/>
              <w:right w:val="single" w:color="000000" w:sz="4" w:space="0"/>
            </w:tcBorders>
            <w:noWrap/>
            <w:vAlign w:val="center"/>
          </w:tcPr>
          <w:p w14:paraId="56D131B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083" w:type="dxa"/>
            <w:tcBorders>
              <w:top w:val="single" w:color="000000" w:sz="4" w:space="0"/>
              <w:left w:val="nil"/>
              <w:bottom w:val="single" w:color="000000" w:sz="4" w:space="0"/>
              <w:right w:val="single" w:color="000000" w:sz="4" w:space="0"/>
            </w:tcBorders>
            <w:vAlign w:val="center"/>
          </w:tcPr>
          <w:p w14:paraId="56D131BF">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部署在34个车站</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1C6">
        <w:tblPrEx>
          <w:tblCellMar>
            <w:top w:w="15" w:type="dxa"/>
            <w:left w:w="15" w:type="dxa"/>
            <w:bottom w:w="15" w:type="dxa"/>
            <w:right w:w="15" w:type="dxa"/>
          </w:tblCellMar>
        </w:tblPrEx>
        <w:trPr>
          <w:trHeight w:val="23" w:hRule="atLeast"/>
          <w:jc w:val="center"/>
        </w:trPr>
        <w:tc>
          <w:tcPr>
            <w:tcW w:w="704" w:type="dxa"/>
            <w:tcBorders>
              <w:top w:val="single" w:color="000000" w:sz="4" w:space="0"/>
              <w:left w:val="single" w:color="000000" w:sz="4" w:space="0"/>
              <w:bottom w:val="single" w:color="000000" w:sz="4" w:space="0"/>
              <w:right w:val="single" w:color="000000" w:sz="4" w:space="0"/>
            </w:tcBorders>
            <w:noWrap/>
            <w:vAlign w:val="center"/>
          </w:tcPr>
          <w:p w14:paraId="56D131C1">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2</w:t>
            </w:r>
          </w:p>
        </w:tc>
        <w:tc>
          <w:tcPr>
            <w:tcW w:w="2818" w:type="dxa"/>
            <w:tcBorders>
              <w:top w:val="single" w:color="000000" w:sz="4" w:space="0"/>
              <w:left w:val="nil"/>
              <w:bottom w:val="single" w:color="000000" w:sz="4" w:space="0"/>
              <w:right w:val="single" w:color="000000" w:sz="4" w:space="0"/>
            </w:tcBorders>
            <w:vAlign w:val="center"/>
          </w:tcPr>
          <w:p w14:paraId="56D131C2">
            <w:pPr>
              <w:widowControl/>
              <w:spacing w:line="276" w:lineRule="auto"/>
              <w:rPr>
                <w:i w:val="0"/>
                <w:iCs w:val="0"/>
                <w:color w:val="auto"/>
                <w:sz w:val="21"/>
                <w:szCs w:val="15"/>
                <w:highlight w:val="none"/>
              </w:rPr>
            </w:pPr>
            <w:r>
              <w:rPr>
                <w:rFonts w:hint="eastAsia"/>
                <w:i w:val="0"/>
                <w:iCs w:val="0"/>
                <w:color w:val="auto"/>
                <w:sz w:val="21"/>
                <w:szCs w:val="15"/>
                <w:highlight w:val="none"/>
              </w:rPr>
              <w:t>语音播报装置</w:t>
            </w:r>
          </w:p>
        </w:tc>
        <w:tc>
          <w:tcPr>
            <w:tcW w:w="762" w:type="dxa"/>
            <w:tcBorders>
              <w:top w:val="single" w:color="000000" w:sz="4" w:space="0"/>
              <w:left w:val="nil"/>
              <w:bottom w:val="single" w:color="000000" w:sz="4" w:space="0"/>
              <w:right w:val="single" w:color="000000" w:sz="4" w:space="0"/>
            </w:tcBorders>
            <w:noWrap/>
            <w:vAlign w:val="center"/>
          </w:tcPr>
          <w:p w14:paraId="56D131C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20" w:type="dxa"/>
            <w:tcBorders>
              <w:top w:val="single" w:color="000000" w:sz="4" w:space="0"/>
              <w:left w:val="nil"/>
              <w:bottom w:val="single" w:color="000000" w:sz="4" w:space="0"/>
              <w:right w:val="single" w:color="000000" w:sz="4" w:space="0"/>
            </w:tcBorders>
            <w:noWrap/>
            <w:vAlign w:val="center"/>
          </w:tcPr>
          <w:p w14:paraId="56D131C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600</w:t>
            </w:r>
          </w:p>
        </w:tc>
        <w:tc>
          <w:tcPr>
            <w:tcW w:w="3083" w:type="dxa"/>
            <w:tcBorders>
              <w:top w:val="single" w:color="000000" w:sz="4" w:space="0"/>
              <w:left w:val="nil"/>
              <w:bottom w:val="single" w:color="000000" w:sz="4" w:space="0"/>
              <w:right w:val="single" w:color="000000" w:sz="4" w:space="0"/>
            </w:tcBorders>
            <w:vAlign w:val="center"/>
          </w:tcPr>
          <w:p w14:paraId="56D131C5">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安装在各车站气灭房间</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bl>
    <w:p w14:paraId="56D131C7">
      <w:pPr>
        <w:pStyle w:val="5"/>
        <w:ind w:left="0"/>
        <w:rPr>
          <w:i w:val="0"/>
          <w:iCs w:val="0"/>
          <w:color w:val="auto"/>
          <w:sz w:val="22"/>
          <w:szCs w:val="22"/>
          <w:highlight w:val="none"/>
          <w:lang w:val="en-US"/>
        </w:rPr>
      </w:pPr>
      <w:bookmarkStart w:id="357" w:name="_Toc13293"/>
      <w:r>
        <w:rPr>
          <w:rFonts w:hint="eastAsia"/>
          <w:i w:val="0"/>
          <w:iCs w:val="0"/>
          <w:color w:val="auto"/>
          <w:sz w:val="22"/>
          <w:szCs w:val="22"/>
          <w:highlight w:val="none"/>
          <w:lang w:val="en-US"/>
        </w:rPr>
        <w:t>主要材料</w:t>
      </w:r>
      <w:bookmarkEnd w:id="357"/>
    </w:p>
    <w:tbl>
      <w:tblPr>
        <w:tblStyle w:val="88"/>
        <w:tblW w:w="0" w:type="auto"/>
        <w:jc w:val="center"/>
        <w:tblLayout w:type="fixed"/>
        <w:tblCellMar>
          <w:top w:w="15" w:type="dxa"/>
          <w:left w:w="15" w:type="dxa"/>
          <w:bottom w:w="15" w:type="dxa"/>
          <w:right w:w="15" w:type="dxa"/>
        </w:tblCellMar>
      </w:tblPr>
      <w:tblGrid>
        <w:gridCol w:w="704"/>
        <w:gridCol w:w="2629"/>
        <w:gridCol w:w="728"/>
        <w:gridCol w:w="780"/>
        <w:gridCol w:w="3314"/>
      </w:tblGrid>
      <w:tr w14:paraId="56D131CD">
        <w:tblPrEx>
          <w:tblCellMar>
            <w:top w:w="15" w:type="dxa"/>
            <w:left w:w="15" w:type="dxa"/>
            <w:bottom w:w="15" w:type="dxa"/>
            <w:right w:w="15" w:type="dxa"/>
          </w:tblCellMar>
        </w:tblPrEx>
        <w:trPr>
          <w:trHeight w:val="23" w:hRule="atLeast"/>
          <w:jc w:val="center"/>
        </w:trPr>
        <w:tc>
          <w:tcPr>
            <w:tcW w:w="704" w:type="dxa"/>
            <w:tcBorders>
              <w:top w:val="single" w:color="000000" w:sz="4" w:space="0"/>
              <w:left w:val="single" w:color="000000" w:sz="4" w:space="0"/>
              <w:bottom w:val="single" w:color="000000" w:sz="4" w:space="0"/>
              <w:right w:val="single" w:color="000000" w:sz="4" w:space="0"/>
            </w:tcBorders>
            <w:noWrap/>
            <w:vAlign w:val="center"/>
          </w:tcPr>
          <w:p w14:paraId="56D131C8">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2629" w:type="dxa"/>
            <w:tcBorders>
              <w:top w:val="single" w:color="000000" w:sz="4" w:space="0"/>
              <w:left w:val="nil"/>
              <w:bottom w:val="single" w:color="000000" w:sz="4" w:space="0"/>
              <w:right w:val="single" w:color="000000" w:sz="4" w:space="0"/>
            </w:tcBorders>
            <w:vAlign w:val="center"/>
          </w:tcPr>
          <w:p w14:paraId="56D131C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728" w:type="dxa"/>
            <w:tcBorders>
              <w:top w:val="single" w:color="000000" w:sz="4" w:space="0"/>
              <w:left w:val="nil"/>
              <w:bottom w:val="single" w:color="000000" w:sz="4" w:space="0"/>
              <w:right w:val="single" w:color="000000" w:sz="4" w:space="0"/>
            </w:tcBorders>
            <w:noWrap/>
            <w:vAlign w:val="center"/>
          </w:tcPr>
          <w:p w14:paraId="56D131C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780" w:type="dxa"/>
            <w:tcBorders>
              <w:top w:val="single" w:color="000000" w:sz="4" w:space="0"/>
              <w:left w:val="nil"/>
              <w:bottom w:val="single" w:color="000000" w:sz="4" w:space="0"/>
              <w:right w:val="single" w:color="000000" w:sz="4" w:space="0"/>
            </w:tcBorders>
            <w:noWrap/>
            <w:vAlign w:val="center"/>
          </w:tcPr>
          <w:p w14:paraId="56D131C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314" w:type="dxa"/>
            <w:tcBorders>
              <w:top w:val="single" w:color="000000" w:sz="4" w:space="0"/>
              <w:left w:val="nil"/>
              <w:bottom w:val="single" w:color="000000" w:sz="4" w:space="0"/>
              <w:right w:val="single" w:color="000000" w:sz="4" w:space="0"/>
            </w:tcBorders>
            <w:vAlign w:val="center"/>
          </w:tcPr>
          <w:p w14:paraId="56D131C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1D3">
        <w:tblPrEx>
          <w:tblCellMar>
            <w:top w:w="15" w:type="dxa"/>
            <w:left w:w="15" w:type="dxa"/>
            <w:bottom w:w="15" w:type="dxa"/>
            <w:right w:w="15" w:type="dxa"/>
          </w:tblCellMar>
        </w:tblPrEx>
        <w:trPr>
          <w:trHeight w:val="23" w:hRule="atLeast"/>
          <w:jc w:val="center"/>
        </w:trPr>
        <w:tc>
          <w:tcPr>
            <w:tcW w:w="704" w:type="dxa"/>
            <w:tcBorders>
              <w:top w:val="single" w:color="000000" w:sz="4" w:space="0"/>
              <w:left w:val="single" w:color="000000" w:sz="4" w:space="0"/>
              <w:bottom w:val="single" w:color="000000" w:sz="4" w:space="0"/>
              <w:right w:val="single" w:color="000000" w:sz="4" w:space="0"/>
            </w:tcBorders>
            <w:noWrap/>
            <w:vAlign w:val="center"/>
          </w:tcPr>
          <w:p w14:paraId="56D131C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629" w:type="dxa"/>
            <w:tcBorders>
              <w:top w:val="single" w:color="000000" w:sz="4" w:space="0"/>
              <w:left w:val="nil"/>
              <w:bottom w:val="single" w:color="000000" w:sz="4" w:space="0"/>
              <w:right w:val="single" w:color="000000" w:sz="4" w:space="0"/>
            </w:tcBorders>
            <w:vAlign w:val="center"/>
          </w:tcPr>
          <w:p w14:paraId="56D131CF">
            <w:pPr>
              <w:widowControl/>
              <w:spacing w:line="276" w:lineRule="auto"/>
              <w:rPr>
                <w:i w:val="0"/>
                <w:iCs w:val="0"/>
                <w:color w:val="auto"/>
                <w:sz w:val="21"/>
                <w:szCs w:val="15"/>
                <w:highlight w:val="none"/>
              </w:rPr>
            </w:pPr>
            <w:r>
              <w:rPr>
                <w:rFonts w:hint="eastAsia"/>
                <w:i w:val="0"/>
                <w:iCs w:val="0"/>
                <w:color w:val="auto"/>
                <w:sz w:val="21"/>
                <w:szCs w:val="15"/>
                <w:highlight w:val="none"/>
              </w:rPr>
              <w:t>WDZBN-RYYSP-2x2x1.0</w:t>
            </w:r>
          </w:p>
        </w:tc>
        <w:tc>
          <w:tcPr>
            <w:tcW w:w="728" w:type="dxa"/>
            <w:tcBorders>
              <w:top w:val="single" w:color="000000" w:sz="4" w:space="0"/>
              <w:left w:val="nil"/>
              <w:bottom w:val="single" w:color="000000" w:sz="4" w:space="0"/>
              <w:right w:val="single" w:color="000000" w:sz="4" w:space="0"/>
            </w:tcBorders>
            <w:noWrap/>
            <w:vAlign w:val="center"/>
          </w:tcPr>
          <w:p w14:paraId="56D131D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80" w:type="dxa"/>
            <w:tcBorders>
              <w:top w:val="single" w:color="000000" w:sz="4" w:space="0"/>
              <w:left w:val="nil"/>
              <w:bottom w:val="single" w:color="000000" w:sz="4" w:space="0"/>
              <w:right w:val="single" w:color="000000" w:sz="4" w:space="0"/>
            </w:tcBorders>
            <w:noWrap/>
            <w:vAlign w:val="center"/>
          </w:tcPr>
          <w:p w14:paraId="56D131D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3000</w:t>
            </w:r>
          </w:p>
        </w:tc>
        <w:tc>
          <w:tcPr>
            <w:tcW w:w="3314" w:type="dxa"/>
            <w:tcBorders>
              <w:top w:val="single" w:color="000000" w:sz="4" w:space="0"/>
              <w:left w:val="nil"/>
              <w:bottom w:val="single" w:color="000000" w:sz="4" w:space="0"/>
              <w:right w:val="single" w:color="000000" w:sz="4" w:space="0"/>
            </w:tcBorders>
            <w:vAlign w:val="center"/>
          </w:tcPr>
          <w:p w14:paraId="56D131D2">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屏蔽双绞线，低烟无卤耐火阻燃，燃烧性能满足B1级</w:t>
            </w:r>
            <w:r>
              <w:rPr>
                <w:rFonts w:hint="eastAsia"/>
                <w:i w:val="0"/>
                <w:iCs w:val="0"/>
                <w:color w:val="auto"/>
                <w:sz w:val="21"/>
                <w:szCs w:val="15"/>
                <w:highlight w:val="none"/>
                <w:lang w:eastAsia="zh-CN"/>
              </w:rPr>
              <w:t>。</w:t>
            </w:r>
          </w:p>
        </w:tc>
      </w:tr>
    </w:tbl>
    <w:p w14:paraId="56D131D4">
      <w:pPr>
        <w:rPr>
          <w:rFonts w:eastAsia="等线"/>
          <w:i w:val="0"/>
          <w:iCs w:val="0"/>
          <w:color w:val="auto"/>
          <w:sz w:val="15"/>
          <w:szCs w:val="15"/>
          <w:highlight w:val="none"/>
        </w:rPr>
      </w:pPr>
    </w:p>
    <w:p w14:paraId="56D131D5">
      <w:pPr>
        <w:pStyle w:val="4"/>
        <w:rPr>
          <w:i w:val="0"/>
          <w:iCs w:val="0"/>
          <w:color w:val="auto"/>
          <w:sz w:val="24"/>
          <w:szCs w:val="21"/>
          <w:highlight w:val="none"/>
        </w:rPr>
      </w:pPr>
      <w:bookmarkStart w:id="358" w:name="_Toc14525"/>
      <w:r>
        <w:rPr>
          <w:rFonts w:hint="eastAsia"/>
          <w:i w:val="0"/>
          <w:iCs w:val="0"/>
          <w:color w:val="auto"/>
          <w:sz w:val="24"/>
          <w:szCs w:val="21"/>
          <w:highlight w:val="none"/>
        </w:rPr>
        <w:t>列车司机行为分析系统主要设备材料表</w:t>
      </w:r>
      <w:bookmarkEnd w:id="358"/>
    </w:p>
    <w:p w14:paraId="56D131D6">
      <w:pPr>
        <w:pStyle w:val="5"/>
        <w:ind w:left="0"/>
        <w:rPr>
          <w:i w:val="0"/>
          <w:iCs w:val="0"/>
          <w:color w:val="auto"/>
          <w:sz w:val="22"/>
          <w:szCs w:val="22"/>
          <w:highlight w:val="none"/>
        </w:rPr>
      </w:pPr>
      <w:bookmarkStart w:id="359" w:name="_Toc5121"/>
      <w:r>
        <w:rPr>
          <w:rFonts w:hint="eastAsia"/>
          <w:i w:val="0"/>
          <w:iCs w:val="0"/>
          <w:color w:val="auto"/>
          <w:sz w:val="22"/>
          <w:szCs w:val="22"/>
          <w:highlight w:val="none"/>
          <w:lang w:val="en-US"/>
        </w:rPr>
        <w:t>主要设备表</w:t>
      </w:r>
      <w:bookmarkEnd w:id="359"/>
    </w:p>
    <w:tbl>
      <w:tblPr>
        <w:tblStyle w:val="88"/>
        <w:tblW w:w="0" w:type="auto"/>
        <w:tblInd w:w="113" w:type="dxa"/>
        <w:tblLayout w:type="fixed"/>
        <w:tblCellMar>
          <w:top w:w="15" w:type="dxa"/>
          <w:left w:w="15" w:type="dxa"/>
          <w:bottom w:w="15" w:type="dxa"/>
          <w:right w:w="15" w:type="dxa"/>
        </w:tblCellMar>
      </w:tblPr>
      <w:tblGrid>
        <w:gridCol w:w="644"/>
        <w:gridCol w:w="1403"/>
        <w:gridCol w:w="670"/>
        <w:gridCol w:w="750"/>
        <w:gridCol w:w="4733"/>
      </w:tblGrid>
      <w:tr w14:paraId="56D131DC">
        <w:tblPrEx>
          <w:tblCellMar>
            <w:top w:w="15" w:type="dxa"/>
            <w:left w:w="15" w:type="dxa"/>
            <w:bottom w:w="15" w:type="dxa"/>
            <w:right w:w="15" w:type="dxa"/>
          </w:tblCellMar>
        </w:tblPrEx>
        <w:trPr>
          <w:trHeight w:val="23" w:hRule="atLeast"/>
        </w:trPr>
        <w:tc>
          <w:tcPr>
            <w:tcW w:w="644" w:type="dxa"/>
            <w:tcBorders>
              <w:top w:val="single" w:color="000000" w:sz="4" w:space="0"/>
              <w:left w:val="single" w:color="000000" w:sz="4" w:space="0"/>
              <w:bottom w:val="single" w:color="000000" w:sz="4" w:space="0"/>
              <w:right w:val="single" w:color="000000" w:sz="4" w:space="0"/>
            </w:tcBorders>
            <w:noWrap/>
            <w:vAlign w:val="center"/>
          </w:tcPr>
          <w:p w14:paraId="56D131D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1403" w:type="dxa"/>
            <w:tcBorders>
              <w:top w:val="single" w:color="000000" w:sz="4" w:space="0"/>
              <w:left w:val="nil"/>
              <w:bottom w:val="single" w:color="000000" w:sz="4" w:space="0"/>
              <w:right w:val="single" w:color="000000" w:sz="4" w:space="0"/>
            </w:tcBorders>
            <w:vAlign w:val="center"/>
          </w:tcPr>
          <w:p w14:paraId="56D131D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670" w:type="dxa"/>
            <w:tcBorders>
              <w:top w:val="single" w:color="000000" w:sz="4" w:space="0"/>
              <w:left w:val="nil"/>
              <w:bottom w:val="single" w:color="000000" w:sz="4" w:space="0"/>
              <w:right w:val="single" w:color="000000" w:sz="4" w:space="0"/>
            </w:tcBorders>
            <w:noWrap/>
            <w:vAlign w:val="center"/>
          </w:tcPr>
          <w:p w14:paraId="56D131D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750" w:type="dxa"/>
            <w:tcBorders>
              <w:top w:val="single" w:color="000000" w:sz="4" w:space="0"/>
              <w:left w:val="nil"/>
              <w:bottom w:val="single" w:color="000000" w:sz="4" w:space="0"/>
              <w:right w:val="single" w:color="000000" w:sz="4" w:space="0"/>
            </w:tcBorders>
            <w:noWrap/>
            <w:vAlign w:val="center"/>
          </w:tcPr>
          <w:p w14:paraId="56D131D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4733" w:type="dxa"/>
            <w:tcBorders>
              <w:top w:val="single" w:color="000000" w:sz="4" w:space="0"/>
              <w:left w:val="nil"/>
              <w:bottom w:val="single" w:color="000000" w:sz="4" w:space="0"/>
              <w:right w:val="single" w:color="000000" w:sz="4" w:space="0"/>
            </w:tcBorders>
            <w:vAlign w:val="center"/>
          </w:tcPr>
          <w:p w14:paraId="56D131D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1E2">
        <w:tblPrEx>
          <w:tblCellMar>
            <w:top w:w="15" w:type="dxa"/>
            <w:left w:w="15" w:type="dxa"/>
            <w:bottom w:w="15" w:type="dxa"/>
            <w:right w:w="15" w:type="dxa"/>
          </w:tblCellMar>
        </w:tblPrEx>
        <w:trPr>
          <w:trHeight w:val="23" w:hRule="atLeast"/>
        </w:trPr>
        <w:tc>
          <w:tcPr>
            <w:tcW w:w="644" w:type="dxa"/>
            <w:tcBorders>
              <w:top w:val="single" w:color="000000" w:sz="4" w:space="0"/>
              <w:left w:val="single" w:color="000000" w:sz="4" w:space="0"/>
              <w:bottom w:val="single" w:color="000000" w:sz="4" w:space="0"/>
              <w:right w:val="single" w:color="000000" w:sz="4" w:space="0"/>
            </w:tcBorders>
            <w:noWrap/>
            <w:vAlign w:val="center"/>
          </w:tcPr>
          <w:p w14:paraId="56D131D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403" w:type="dxa"/>
            <w:tcBorders>
              <w:top w:val="single" w:color="000000" w:sz="4" w:space="0"/>
              <w:left w:val="nil"/>
              <w:bottom w:val="single" w:color="000000" w:sz="4" w:space="0"/>
              <w:right w:val="single" w:color="000000" w:sz="4" w:space="0"/>
            </w:tcBorders>
            <w:vAlign w:val="center"/>
          </w:tcPr>
          <w:p w14:paraId="56D131D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工作站</w:t>
            </w:r>
          </w:p>
        </w:tc>
        <w:tc>
          <w:tcPr>
            <w:tcW w:w="670" w:type="dxa"/>
            <w:tcBorders>
              <w:top w:val="single" w:color="000000" w:sz="4" w:space="0"/>
              <w:left w:val="nil"/>
              <w:bottom w:val="single" w:color="000000" w:sz="4" w:space="0"/>
              <w:right w:val="single" w:color="000000" w:sz="4" w:space="0"/>
            </w:tcBorders>
            <w:noWrap/>
            <w:vAlign w:val="center"/>
          </w:tcPr>
          <w:p w14:paraId="56D131D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50" w:type="dxa"/>
            <w:tcBorders>
              <w:top w:val="single" w:color="000000" w:sz="4" w:space="0"/>
              <w:left w:val="nil"/>
              <w:bottom w:val="single" w:color="000000" w:sz="4" w:space="0"/>
              <w:right w:val="single" w:color="000000" w:sz="4" w:space="0"/>
            </w:tcBorders>
            <w:noWrap/>
            <w:vAlign w:val="center"/>
          </w:tcPr>
          <w:p w14:paraId="56D131E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22</w:t>
            </w:r>
          </w:p>
        </w:tc>
        <w:tc>
          <w:tcPr>
            <w:tcW w:w="4733" w:type="dxa"/>
            <w:tcBorders>
              <w:top w:val="single" w:color="000000" w:sz="4" w:space="0"/>
              <w:left w:val="nil"/>
              <w:bottom w:val="single" w:color="000000" w:sz="4" w:space="0"/>
              <w:right w:val="single" w:color="000000" w:sz="4" w:space="0"/>
            </w:tcBorders>
            <w:vAlign w:val="center"/>
          </w:tcPr>
          <w:p w14:paraId="56D131E1">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甲供，含显示器</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1E8">
        <w:tblPrEx>
          <w:tblCellMar>
            <w:top w:w="15" w:type="dxa"/>
            <w:left w:w="15" w:type="dxa"/>
            <w:bottom w:w="15" w:type="dxa"/>
            <w:right w:w="15" w:type="dxa"/>
          </w:tblCellMar>
        </w:tblPrEx>
        <w:trPr>
          <w:trHeight w:val="23" w:hRule="atLeast"/>
        </w:trPr>
        <w:tc>
          <w:tcPr>
            <w:tcW w:w="644" w:type="dxa"/>
            <w:tcBorders>
              <w:top w:val="single" w:color="000000" w:sz="4" w:space="0"/>
              <w:left w:val="single" w:color="000000" w:sz="4" w:space="0"/>
              <w:bottom w:val="single" w:color="000000" w:sz="4" w:space="0"/>
              <w:right w:val="single" w:color="000000" w:sz="4" w:space="0"/>
            </w:tcBorders>
            <w:noWrap/>
            <w:vAlign w:val="center"/>
          </w:tcPr>
          <w:p w14:paraId="56D131E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1403" w:type="dxa"/>
            <w:tcBorders>
              <w:top w:val="single" w:color="000000" w:sz="4" w:space="0"/>
              <w:left w:val="nil"/>
              <w:bottom w:val="single" w:color="000000" w:sz="4" w:space="0"/>
              <w:right w:val="single" w:color="000000" w:sz="4" w:space="0"/>
            </w:tcBorders>
            <w:vAlign w:val="center"/>
          </w:tcPr>
          <w:p w14:paraId="56D131E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8口</w:t>
            </w:r>
            <w:r>
              <w:rPr>
                <w:rFonts w:hint="eastAsia"/>
                <w:i w:val="0"/>
                <w:iCs w:val="0"/>
                <w:color w:val="auto"/>
                <w:sz w:val="21"/>
                <w:szCs w:val="15"/>
                <w:highlight w:val="none"/>
                <w:lang w:val="en-US" w:eastAsia="zh-CN"/>
              </w:rPr>
              <w:t>光纤接入</w:t>
            </w:r>
            <w:r>
              <w:rPr>
                <w:rFonts w:hint="eastAsia"/>
                <w:i w:val="0"/>
                <w:iCs w:val="0"/>
                <w:color w:val="auto"/>
                <w:sz w:val="21"/>
                <w:szCs w:val="15"/>
                <w:highlight w:val="none"/>
              </w:rPr>
              <w:t>交换机</w:t>
            </w:r>
          </w:p>
        </w:tc>
        <w:tc>
          <w:tcPr>
            <w:tcW w:w="670" w:type="dxa"/>
            <w:tcBorders>
              <w:top w:val="single" w:color="000000" w:sz="4" w:space="0"/>
              <w:left w:val="nil"/>
              <w:bottom w:val="single" w:color="000000" w:sz="4" w:space="0"/>
              <w:right w:val="single" w:color="000000" w:sz="4" w:space="0"/>
            </w:tcBorders>
            <w:noWrap/>
            <w:vAlign w:val="center"/>
          </w:tcPr>
          <w:p w14:paraId="56D131E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50" w:type="dxa"/>
            <w:tcBorders>
              <w:top w:val="single" w:color="000000" w:sz="4" w:space="0"/>
              <w:left w:val="nil"/>
              <w:bottom w:val="single" w:color="000000" w:sz="4" w:space="0"/>
              <w:right w:val="single" w:color="000000" w:sz="4" w:space="0"/>
            </w:tcBorders>
            <w:noWrap/>
            <w:vAlign w:val="center"/>
          </w:tcPr>
          <w:p w14:paraId="56D131E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4733" w:type="dxa"/>
            <w:tcBorders>
              <w:top w:val="single" w:color="000000" w:sz="4" w:space="0"/>
              <w:left w:val="nil"/>
              <w:bottom w:val="single" w:color="000000" w:sz="4" w:space="0"/>
              <w:right w:val="single" w:color="000000" w:sz="4" w:space="0"/>
            </w:tcBorders>
            <w:vAlign w:val="center"/>
          </w:tcPr>
          <w:p w14:paraId="56D131E7">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rPr>
              <w:t>DCC和停车场、正线4个车站司机派班室分别部署。8口千兆小型企业级非网管型交换机，8个标准RJ45接口</w:t>
            </w:r>
            <w:r>
              <w:rPr>
                <w:rFonts w:hint="eastAsia"/>
                <w:i w:val="0"/>
                <w:iCs w:val="0"/>
                <w:color w:val="auto"/>
                <w:sz w:val="21"/>
                <w:szCs w:val="15"/>
                <w:highlight w:val="none"/>
                <w:lang w:val="en-US" w:eastAsia="zh-CN"/>
              </w:rPr>
              <w:t>+2个光口</w:t>
            </w:r>
            <w:r>
              <w:rPr>
                <w:rFonts w:hint="eastAsia"/>
                <w:i w:val="0"/>
                <w:iCs w:val="0"/>
                <w:color w:val="auto"/>
                <w:sz w:val="21"/>
                <w:szCs w:val="15"/>
                <w:highlight w:val="none"/>
              </w:rPr>
              <w:t>，即插即用，无风扇设计。</w:t>
            </w:r>
            <w:r>
              <w:rPr>
                <w:rFonts w:hint="eastAsia"/>
                <w:i w:val="0"/>
                <w:iCs w:val="0"/>
                <w:color w:val="auto"/>
                <w:sz w:val="21"/>
                <w:szCs w:val="15"/>
                <w:highlight w:val="none"/>
                <w:lang w:val="en-US" w:eastAsia="zh-CN"/>
              </w:rPr>
              <w:t>硬件。</w:t>
            </w:r>
          </w:p>
        </w:tc>
      </w:tr>
      <w:tr w14:paraId="56D131EE">
        <w:tblPrEx>
          <w:tblCellMar>
            <w:top w:w="15" w:type="dxa"/>
            <w:left w:w="15" w:type="dxa"/>
            <w:bottom w:w="15" w:type="dxa"/>
            <w:right w:w="15" w:type="dxa"/>
          </w:tblCellMar>
        </w:tblPrEx>
        <w:trPr>
          <w:trHeight w:val="23" w:hRule="atLeast"/>
        </w:trPr>
        <w:tc>
          <w:tcPr>
            <w:tcW w:w="644" w:type="dxa"/>
            <w:tcBorders>
              <w:top w:val="single" w:color="000000" w:sz="4" w:space="0"/>
              <w:left w:val="single" w:color="000000" w:sz="4" w:space="0"/>
              <w:bottom w:val="single" w:color="000000" w:sz="4" w:space="0"/>
              <w:right w:val="single" w:color="000000" w:sz="4" w:space="0"/>
            </w:tcBorders>
            <w:noWrap/>
            <w:vAlign w:val="center"/>
          </w:tcPr>
          <w:p w14:paraId="56D131E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1403" w:type="dxa"/>
            <w:tcBorders>
              <w:top w:val="single" w:color="000000" w:sz="4" w:space="0"/>
              <w:left w:val="nil"/>
              <w:bottom w:val="single" w:color="000000" w:sz="4" w:space="0"/>
              <w:right w:val="single" w:color="000000" w:sz="4" w:space="0"/>
            </w:tcBorders>
            <w:vAlign w:val="center"/>
          </w:tcPr>
          <w:p w14:paraId="56D131E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PDU</w:t>
            </w:r>
          </w:p>
        </w:tc>
        <w:tc>
          <w:tcPr>
            <w:tcW w:w="670" w:type="dxa"/>
            <w:tcBorders>
              <w:top w:val="single" w:color="000000" w:sz="4" w:space="0"/>
              <w:left w:val="nil"/>
              <w:bottom w:val="single" w:color="000000" w:sz="4" w:space="0"/>
              <w:right w:val="single" w:color="000000" w:sz="4" w:space="0"/>
            </w:tcBorders>
            <w:noWrap/>
            <w:vAlign w:val="center"/>
          </w:tcPr>
          <w:p w14:paraId="56D131E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50" w:type="dxa"/>
            <w:tcBorders>
              <w:top w:val="single" w:color="000000" w:sz="4" w:space="0"/>
              <w:left w:val="nil"/>
              <w:bottom w:val="single" w:color="000000" w:sz="4" w:space="0"/>
              <w:right w:val="single" w:color="000000" w:sz="4" w:space="0"/>
            </w:tcBorders>
            <w:noWrap/>
            <w:vAlign w:val="center"/>
          </w:tcPr>
          <w:p w14:paraId="56D131E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12</w:t>
            </w:r>
          </w:p>
        </w:tc>
        <w:tc>
          <w:tcPr>
            <w:tcW w:w="4733" w:type="dxa"/>
            <w:tcBorders>
              <w:top w:val="single" w:color="000000" w:sz="4" w:space="0"/>
              <w:left w:val="nil"/>
              <w:bottom w:val="single" w:color="000000" w:sz="4" w:space="0"/>
              <w:right w:val="single" w:color="000000" w:sz="4" w:space="0"/>
            </w:tcBorders>
            <w:vAlign w:val="center"/>
          </w:tcPr>
          <w:p w14:paraId="56D131ED">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工业级，10联单回路，额定电流10A，额定电压250Vac,最大功率2500W</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1F4">
        <w:tblPrEx>
          <w:tblCellMar>
            <w:top w:w="15" w:type="dxa"/>
            <w:left w:w="15" w:type="dxa"/>
            <w:bottom w:w="15" w:type="dxa"/>
            <w:right w:w="15" w:type="dxa"/>
          </w:tblCellMar>
        </w:tblPrEx>
        <w:trPr>
          <w:trHeight w:val="23" w:hRule="atLeast"/>
        </w:trPr>
        <w:tc>
          <w:tcPr>
            <w:tcW w:w="644" w:type="dxa"/>
            <w:tcBorders>
              <w:top w:val="single" w:color="000000" w:sz="4" w:space="0"/>
              <w:left w:val="single" w:color="000000" w:sz="4" w:space="0"/>
              <w:bottom w:val="single" w:color="000000" w:sz="4" w:space="0"/>
              <w:right w:val="single" w:color="000000" w:sz="4" w:space="0"/>
            </w:tcBorders>
            <w:noWrap/>
            <w:vAlign w:val="center"/>
          </w:tcPr>
          <w:p w14:paraId="56D131E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1403" w:type="dxa"/>
            <w:tcBorders>
              <w:top w:val="single" w:color="000000" w:sz="4" w:space="0"/>
              <w:left w:val="nil"/>
              <w:bottom w:val="single" w:color="000000" w:sz="4" w:space="0"/>
              <w:right w:val="single" w:color="000000" w:sz="4" w:space="0"/>
            </w:tcBorders>
            <w:shd w:val="clear" w:color="auto" w:fill="auto"/>
            <w:vAlign w:val="center"/>
          </w:tcPr>
          <w:p w14:paraId="56D131F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语音告警装置</w:t>
            </w:r>
          </w:p>
        </w:tc>
        <w:tc>
          <w:tcPr>
            <w:tcW w:w="670" w:type="dxa"/>
            <w:tcBorders>
              <w:top w:val="single" w:color="000000" w:sz="4" w:space="0"/>
              <w:left w:val="nil"/>
              <w:bottom w:val="single" w:color="000000" w:sz="4" w:space="0"/>
              <w:right w:val="single" w:color="000000" w:sz="4" w:space="0"/>
            </w:tcBorders>
            <w:shd w:val="clear" w:color="auto" w:fill="auto"/>
            <w:noWrap/>
            <w:vAlign w:val="center"/>
          </w:tcPr>
          <w:p w14:paraId="56D131F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50" w:type="dxa"/>
            <w:tcBorders>
              <w:top w:val="single" w:color="000000" w:sz="4" w:space="0"/>
              <w:left w:val="nil"/>
              <w:bottom w:val="single" w:color="000000" w:sz="4" w:space="0"/>
              <w:right w:val="single" w:color="000000" w:sz="4" w:space="0"/>
            </w:tcBorders>
            <w:shd w:val="clear" w:color="auto" w:fill="auto"/>
            <w:noWrap/>
            <w:vAlign w:val="center"/>
          </w:tcPr>
          <w:p w14:paraId="56D131F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102</w:t>
            </w:r>
          </w:p>
        </w:tc>
        <w:tc>
          <w:tcPr>
            <w:tcW w:w="4733" w:type="dxa"/>
            <w:tcBorders>
              <w:top w:val="single" w:color="000000" w:sz="4" w:space="0"/>
              <w:left w:val="nil"/>
              <w:bottom w:val="single" w:color="000000" w:sz="4" w:space="0"/>
              <w:right w:val="single" w:color="000000" w:sz="4" w:space="0"/>
            </w:tcBorders>
            <w:vAlign w:val="center"/>
          </w:tcPr>
          <w:p w14:paraId="56D131F3">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rPr>
              <w:t>列车司机异常行为语音播报，含内部线缆。</w:t>
            </w:r>
            <w:r>
              <w:rPr>
                <w:rFonts w:hint="eastAsia"/>
                <w:i w:val="0"/>
                <w:iCs w:val="0"/>
                <w:color w:val="auto"/>
                <w:sz w:val="21"/>
                <w:szCs w:val="15"/>
                <w:highlight w:val="none"/>
                <w:lang w:val="en-US" w:eastAsia="zh-CN"/>
              </w:rPr>
              <w:t>硬件。</w:t>
            </w:r>
          </w:p>
        </w:tc>
      </w:tr>
    </w:tbl>
    <w:p w14:paraId="56D131F5">
      <w:pPr>
        <w:pStyle w:val="5"/>
        <w:ind w:left="0"/>
        <w:rPr>
          <w:i w:val="0"/>
          <w:iCs w:val="0"/>
          <w:color w:val="auto"/>
          <w:sz w:val="22"/>
          <w:szCs w:val="22"/>
          <w:highlight w:val="none"/>
        </w:rPr>
      </w:pPr>
      <w:bookmarkStart w:id="360" w:name="_Toc15432"/>
      <w:r>
        <w:rPr>
          <w:rFonts w:hint="eastAsia"/>
          <w:i w:val="0"/>
          <w:iCs w:val="0"/>
          <w:color w:val="auto"/>
          <w:sz w:val="22"/>
          <w:szCs w:val="22"/>
          <w:highlight w:val="none"/>
          <w:lang w:val="en-US"/>
        </w:rPr>
        <w:t>主要材料表</w:t>
      </w:r>
      <w:bookmarkEnd w:id="360"/>
    </w:p>
    <w:tbl>
      <w:tblPr>
        <w:tblStyle w:val="88"/>
        <w:tblW w:w="0" w:type="auto"/>
        <w:tblInd w:w="113" w:type="dxa"/>
        <w:tblLayout w:type="fixed"/>
        <w:tblCellMar>
          <w:top w:w="15" w:type="dxa"/>
          <w:left w:w="15" w:type="dxa"/>
          <w:bottom w:w="15" w:type="dxa"/>
          <w:right w:w="15" w:type="dxa"/>
        </w:tblCellMar>
      </w:tblPr>
      <w:tblGrid>
        <w:gridCol w:w="766"/>
        <w:gridCol w:w="2299"/>
        <w:gridCol w:w="712"/>
        <w:gridCol w:w="737"/>
        <w:gridCol w:w="3677"/>
      </w:tblGrid>
      <w:tr w14:paraId="56D131FB">
        <w:tblPrEx>
          <w:tblCellMar>
            <w:top w:w="15" w:type="dxa"/>
            <w:left w:w="15" w:type="dxa"/>
            <w:bottom w:w="15" w:type="dxa"/>
            <w:right w:w="15" w:type="dxa"/>
          </w:tblCellMar>
        </w:tblPrEx>
        <w:trPr>
          <w:trHeight w:val="23" w:hRule="atLeast"/>
        </w:trPr>
        <w:tc>
          <w:tcPr>
            <w:tcW w:w="766" w:type="dxa"/>
            <w:tcBorders>
              <w:top w:val="single" w:color="000000" w:sz="4" w:space="0"/>
              <w:left w:val="single" w:color="000000" w:sz="4" w:space="0"/>
              <w:bottom w:val="single" w:color="000000" w:sz="4" w:space="0"/>
              <w:right w:val="single" w:color="000000" w:sz="4" w:space="0"/>
            </w:tcBorders>
            <w:noWrap/>
            <w:vAlign w:val="center"/>
          </w:tcPr>
          <w:p w14:paraId="56D131F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299" w:type="dxa"/>
            <w:tcBorders>
              <w:top w:val="single" w:color="000000" w:sz="4" w:space="0"/>
              <w:left w:val="nil"/>
              <w:bottom w:val="single" w:color="000000" w:sz="4" w:space="0"/>
              <w:right w:val="single" w:color="000000" w:sz="4" w:space="0"/>
            </w:tcBorders>
            <w:vAlign w:val="center"/>
          </w:tcPr>
          <w:p w14:paraId="56D131F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712" w:type="dxa"/>
            <w:tcBorders>
              <w:top w:val="single" w:color="000000" w:sz="4" w:space="0"/>
              <w:left w:val="nil"/>
              <w:bottom w:val="single" w:color="000000" w:sz="4" w:space="0"/>
              <w:right w:val="single" w:color="000000" w:sz="4" w:space="0"/>
            </w:tcBorders>
            <w:noWrap/>
            <w:vAlign w:val="center"/>
          </w:tcPr>
          <w:p w14:paraId="56D131F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737" w:type="dxa"/>
            <w:tcBorders>
              <w:top w:val="single" w:color="000000" w:sz="4" w:space="0"/>
              <w:left w:val="nil"/>
              <w:bottom w:val="single" w:color="000000" w:sz="4" w:space="0"/>
              <w:right w:val="single" w:color="000000" w:sz="4" w:space="0"/>
            </w:tcBorders>
            <w:noWrap/>
            <w:vAlign w:val="center"/>
          </w:tcPr>
          <w:p w14:paraId="56D131F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677" w:type="dxa"/>
            <w:tcBorders>
              <w:top w:val="single" w:color="000000" w:sz="4" w:space="0"/>
              <w:left w:val="nil"/>
              <w:bottom w:val="single" w:color="000000" w:sz="4" w:space="0"/>
              <w:right w:val="single" w:color="000000" w:sz="4" w:space="0"/>
            </w:tcBorders>
            <w:vAlign w:val="center"/>
          </w:tcPr>
          <w:p w14:paraId="56D131F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201">
        <w:tblPrEx>
          <w:tblCellMar>
            <w:top w:w="15" w:type="dxa"/>
            <w:left w:w="15" w:type="dxa"/>
            <w:bottom w:w="15" w:type="dxa"/>
            <w:right w:w="15" w:type="dxa"/>
          </w:tblCellMar>
        </w:tblPrEx>
        <w:trPr>
          <w:trHeight w:val="23" w:hRule="atLeast"/>
        </w:trPr>
        <w:tc>
          <w:tcPr>
            <w:tcW w:w="766" w:type="dxa"/>
            <w:tcBorders>
              <w:top w:val="single" w:color="000000" w:sz="4" w:space="0"/>
              <w:left w:val="single" w:color="000000" w:sz="4" w:space="0"/>
              <w:bottom w:val="single" w:color="000000" w:sz="4" w:space="0"/>
              <w:right w:val="single" w:color="000000" w:sz="4" w:space="0"/>
            </w:tcBorders>
            <w:noWrap/>
            <w:vAlign w:val="center"/>
          </w:tcPr>
          <w:p w14:paraId="56D131F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299" w:type="dxa"/>
            <w:tcBorders>
              <w:top w:val="single" w:color="000000" w:sz="4" w:space="0"/>
              <w:left w:val="nil"/>
              <w:bottom w:val="single" w:color="000000" w:sz="4" w:space="0"/>
              <w:right w:val="single" w:color="000000" w:sz="4" w:space="0"/>
            </w:tcBorders>
            <w:vAlign w:val="center"/>
          </w:tcPr>
          <w:p w14:paraId="56D131F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4芯单模光缆</w:t>
            </w:r>
          </w:p>
        </w:tc>
        <w:tc>
          <w:tcPr>
            <w:tcW w:w="712" w:type="dxa"/>
            <w:tcBorders>
              <w:top w:val="single" w:color="000000" w:sz="4" w:space="0"/>
              <w:left w:val="nil"/>
              <w:bottom w:val="single" w:color="000000" w:sz="4" w:space="0"/>
              <w:right w:val="single" w:color="000000" w:sz="4" w:space="0"/>
            </w:tcBorders>
            <w:noWrap/>
            <w:vAlign w:val="center"/>
          </w:tcPr>
          <w:p w14:paraId="56D131F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37" w:type="dxa"/>
            <w:tcBorders>
              <w:top w:val="single" w:color="000000" w:sz="4" w:space="0"/>
              <w:left w:val="nil"/>
              <w:bottom w:val="single" w:color="000000" w:sz="4" w:space="0"/>
              <w:right w:val="single" w:color="000000" w:sz="4" w:space="0"/>
            </w:tcBorders>
            <w:noWrap/>
            <w:vAlign w:val="center"/>
          </w:tcPr>
          <w:p w14:paraId="56D131F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900</w:t>
            </w:r>
          </w:p>
        </w:tc>
        <w:tc>
          <w:tcPr>
            <w:tcW w:w="3677" w:type="dxa"/>
            <w:tcBorders>
              <w:top w:val="single" w:color="000000" w:sz="4" w:space="0"/>
              <w:left w:val="nil"/>
              <w:bottom w:val="single" w:color="000000" w:sz="4" w:space="0"/>
              <w:right w:val="single" w:color="000000" w:sz="4" w:space="0"/>
            </w:tcBorders>
            <w:vAlign w:val="center"/>
          </w:tcPr>
          <w:p w14:paraId="56D13200">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低烟无卤阻燃</w:t>
            </w:r>
            <w:r>
              <w:rPr>
                <w:rFonts w:hint="eastAsia"/>
                <w:i w:val="0"/>
                <w:iCs w:val="0"/>
                <w:color w:val="auto"/>
                <w:sz w:val="21"/>
                <w:szCs w:val="15"/>
                <w:highlight w:val="none"/>
                <w:lang w:eastAsia="zh-CN"/>
              </w:rPr>
              <w:t>。</w:t>
            </w:r>
          </w:p>
        </w:tc>
      </w:tr>
      <w:tr w14:paraId="56D13207">
        <w:tblPrEx>
          <w:tblCellMar>
            <w:top w:w="15" w:type="dxa"/>
            <w:left w:w="15" w:type="dxa"/>
            <w:bottom w:w="15" w:type="dxa"/>
            <w:right w:w="15" w:type="dxa"/>
          </w:tblCellMar>
        </w:tblPrEx>
        <w:trPr>
          <w:trHeight w:val="23" w:hRule="atLeast"/>
        </w:trPr>
        <w:tc>
          <w:tcPr>
            <w:tcW w:w="766" w:type="dxa"/>
            <w:tcBorders>
              <w:top w:val="single" w:color="000000" w:sz="4" w:space="0"/>
              <w:left w:val="single" w:color="000000" w:sz="4" w:space="0"/>
              <w:bottom w:val="single" w:color="000000" w:sz="4" w:space="0"/>
              <w:right w:val="single" w:color="000000" w:sz="4" w:space="0"/>
            </w:tcBorders>
            <w:noWrap/>
            <w:vAlign w:val="center"/>
          </w:tcPr>
          <w:p w14:paraId="56D1320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299" w:type="dxa"/>
            <w:tcBorders>
              <w:top w:val="single" w:color="000000" w:sz="4" w:space="0"/>
              <w:left w:val="nil"/>
              <w:bottom w:val="single" w:color="000000" w:sz="4" w:space="0"/>
              <w:right w:val="single" w:color="000000" w:sz="4" w:space="0"/>
            </w:tcBorders>
            <w:vAlign w:val="center"/>
          </w:tcPr>
          <w:p w14:paraId="56D1320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超五类屏蔽双绞线</w:t>
            </w:r>
          </w:p>
        </w:tc>
        <w:tc>
          <w:tcPr>
            <w:tcW w:w="712" w:type="dxa"/>
            <w:tcBorders>
              <w:top w:val="single" w:color="000000" w:sz="4" w:space="0"/>
              <w:left w:val="nil"/>
              <w:bottom w:val="single" w:color="000000" w:sz="4" w:space="0"/>
              <w:right w:val="single" w:color="000000" w:sz="4" w:space="0"/>
            </w:tcBorders>
            <w:noWrap/>
            <w:vAlign w:val="center"/>
          </w:tcPr>
          <w:p w14:paraId="56D1320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37" w:type="dxa"/>
            <w:tcBorders>
              <w:top w:val="single" w:color="000000" w:sz="4" w:space="0"/>
              <w:left w:val="nil"/>
              <w:bottom w:val="single" w:color="000000" w:sz="4" w:space="0"/>
              <w:right w:val="single" w:color="000000" w:sz="4" w:space="0"/>
            </w:tcBorders>
            <w:noWrap/>
            <w:vAlign w:val="center"/>
          </w:tcPr>
          <w:p w14:paraId="56D1320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200</w:t>
            </w:r>
          </w:p>
        </w:tc>
        <w:tc>
          <w:tcPr>
            <w:tcW w:w="3677" w:type="dxa"/>
            <w:tcBorders>
              <w:top w:val="single" w:color="000000" w:sz="4" w:space="0"/>
              <w:left w:val="nil"/>
              <w:bottom w:val="single" w:color="000000" w:sz="4" w:space="0"/>
              <w:right w:val="single" w:color="000000" w:sz="4" w:space="0"/>
            </w:tcBorders>
            <w:vAlign w:val="center"/>
          </w:tcPr>
          <w:p w14:paraId="56D13206">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低烟无卤阻燃，燃烧性能满足BI级。</w:t>
            </w:r>
          </w:p>
        </w:tc>
      </w:tr>
      <w:tr w14:paraId="56D1320D">
        <w:tblPrEx>
          <w:tblCellMar>
            <w:top w:w="15" w:type="dxa"/>
            <w:left w:w="15" w:type="dxa"/>
            <w:bottom w:w="15" w:type="dxa"/>
            <w:right w:w="15" w:type="dxa"/>
          </w:tblCellMar>
        </w:tblPrEx>
        <w:trPr>
          <w:trHeight w:val="23" w:hRule="atLeast"/>
        </w:trPr>
        <w:tc>
          <w:tcPr>
            <w:tcW w:w="766" w:type="dxa"/>
            <w:tcBorders>
              <w:top w:val="single" w:color="000000" w:sz="4" w:space="0"/>
              <w:left w:val="single" w:color="000000" w:sz="4" w:space="0"/>
              <w:bottom w:val="single" w:color="000000" w:sz="4" w:space="0"/>
              <w:right w:val="single" w:color="000000" w:sz="4" w:space="0"/>
            </w:tcBorders>
            <w:noWrap/>
            <w:vAlign w:val="center"/>
          </w:tcPr>
          <w:p w14:paraId="56D1320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299" w:type="dxa"/>
            <w:tcBorders>
              <w:top w:val="single" w:color="000000" w:sz="4" w:space="0"/>
              <w:left w:val="nil"/>
              <w:bottom w:val="single" w:color="000000" w:sz="4" w:space="0"/>
              <w:right w:val="single" w:color="000000" w:sz="4" w:space="0"/>
            </w:tcBorders>
            <w:vAlign w:val="center"/>
          </w:tcPr>
          <w:p w14:paraId="56D13209">
            <w:pPr>
              <w:widowControl/>
              <w:spacing w:line="276" w:lineRule="auto"/>
              <w:jc w:val="center"/>
              <w:rPr>
                <w:rFonts w:hint="eastAsia" w:ascii="宋体" w:hAnsi="宋体" w:eastAsia="宋体"/>
                <w:i w:val="0"/>
                <w:iCs w:val="0"/>
                <w:color w:val="auto"/>
                <w:sz w:val="18"/>
                <w:szCs w:val="18"/>
                <w:highlight w:val="none"/>
              </w:rPr>
            </w:pPr>
            <w:r>
              <w:rPr>
                <w:rFonts w:hint="eastAsia"/>
                <w:i w:val="0"/>
                <w:iCs w:val="0"/>
                <w:color w:val="auto"/>
                <w:sz w:val="21"/>
                <w:szCs w:val="15"/>
                <w:highlight w:val="none"/>
              </w:rPr>
              <w:t>WDZBN-YJY-3X2.5mm</w:t>
            </w:r>
            <w:r>
              <w:rPr>
                <w:rFonts w:hint="eastAsia" w:ascii="宋体" w:hAnsi="宋体" w:eastAsia="宋体"/>
                <w:i w:val="0"/>
                <w:iCs w:val="0"/>
                <w:color w:val="auto"/>
                <w:sz w:val="18"/>
                <w:szCs w:val="18"/>
                <w:highlight w:val="none"/>
              </w:rPr>
              <w:t>²</w:t>
            </w:r>
          </w:p>
        </w:tc>
        <w:tc>
          <w:tcPr>
            <w:tcW w:w="712" w:type="dxa"/>
            <w:tcBorders>
              <w:top w:val="single" w:color="000000" w:sz="4" w:space="0"/>
              <w:left w:val="nil"/>
              <w:bottom w:val="single" w:color="000000" w:sz="4" w:space="0"/>
              <w:right w:val="single" w:color="000000" w:sz="4" w:space="0"/>
            </w:tcBorders>
            <w:noWrap/>
            <w:vAlign w:val="center"/>
          </w:tcPr>
          <w:p w14:paraId="56D1320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37" w:type="dxa"/>
            <w:tcBorders>
              <w:top w:val="single" w:color="000000" w:sz="4" w:space="0"/>
              <w:left w:val="nil"/>
              <w:bottom w:val="single" w:color="000000" w:sz="4" w:space="0"/>
              <w:right w:val="single" w:color="000000" w:sz="4" w:space="0"/>
            </w:tcBorders>
            <w:noWrap/>
            <w:vAlign w:val="center"/>
          </w:tcPr>
          <w:p w14:paraId="56D1320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900</w:t>
            </w:r>
          </w:p>
        </w:tc>
        <w:tc>
          <w:tcPr>
            <w:tcW w:w="3677" w:type="dxa"/>
            <w:tcBorders>
              <w:top w:val="single" w:color="000000" w:sz="4" w:space="0"/>
              <w:left w:val="nil"/>
              <w:bottom w:val="single" w:color="000000" w:sz="4" w:space="0"/>
              <w:right w:val="single" w:color="000000" w:sz="4" w:space="0"/>
            </w:tcBorders>
            <w:vAlign w:val="center"/>
          </w:tcPr>
          <w:p w14:paraId="56D1320C">
            <w:pPr>
              <w:widowControl/>
              <w:spacing w:line="276" w:lineRule="auto"/>
              <w:rPr>
                <w:i w:val="0"/>
                <w:iCs w:val="0"/>
                <w:color w:val="auto"/>
                <w:sz w:val="21"/>
                <w:szCs w:val="15"/>
                <w:highlight w:val="none"/>
              </w:rPr>
            </w:pPr>
            <w:r>
              <w:rPr>
                <w:rFonts w:hint="eastAsia"/>
                <w:i w:val="0"/>
                <w:iCs w:val="0"/>
                <w:color w:val="auto"/>
                <w:sz w:val="21"/>
                <w:szCs w:val="15"/>
                <w:highlight w:val="none"/>
              </w:rPr>
              <w:t>电源线，低烟无卤阻燃耐火，燃烧性能满足BI级。</w:t>
            </w:r>
          </w:p>
        </w:tc>
      </w:tr>
    </w:tbl>
    <w:p w14:paraId="56D1320E">
      <w:pPr>
        <w:widowControl/>
        <w:spacing w:line="276" w:lineRule="auto"/>
        <w:rPr>
          <w:i w:val="0"/>
          <w:iCs w:val="0"/>
          <w:color w:val="auto"/>
          <w:sz w:val="21"/>
          <w:szCs w:val="15"/>
          <w:highlight w:val="none"/>
        </w:rPr>
      </w:pPr>
    </w:p>
    <w:p w14:paraId="56D1320F">
      <w:pPr>
        <w:pStyle w:val="4"/>
        <w:rPr>
          <w:i w:val="0"/>
          <w:iCs w:val="0"/>
          <w:color w:val="auto"/>
          <w:sz w:val="24"/>
          <w:szCs w:val="21"/>
          <w:highlight w:val="none"/>
        </w:rPr>
      </w:pPr>
      <w:bookmarkStart w:id="361" w:name="_Toc28584"/>
      <w:r>
        <w:rPr>
          <w:rFonts w:hint="eastAsia"/>
          <w:i w:val="0"/>
          <w:iCs w:val="0"/>
          <w:color w:val="auto"/>
          <w:sz w:val="24"/>
          <w:szCs w:val="21"/>
          <w:highlight w:val="none"/>
        </w:rPr>
        <w:t>人脸门禁系统设备清单</w:t>
      </w:r>
      <w:bookmarkEnd w:id="361"/>
    </w:p>
    <w:p w14:paraId="56D13210">
      <w:pPr>
        <w:pStyle w:val="5"/>
        <w:ind w:left="0"/>
        <w:rPr>
          <w:i w:val="0"/>
          <w:iCs w:val="0"/>
          <w:color w:val="auto"/>
          <w:sz w:val="22"/>
          <w:szCs w:val="22"/>
          <w:highlight w:val="none"/>
        </w:rPr>
      </w:pPr>
      <w:bookmarkStart w:id="362" w:name="bookmark102"/>
      <w:bookmarkEnd w:id="362"/>
      <w:bookmarkStart w:id="363" w:name="_Toc411"/>
      <w:r>
        <w:rPr>
          <w:rFonts w:hint="eastAsia"/>
          <w:i w:val="0"/>
          <w:iCs w:val="0"/>
          <w:color w:val="auto"/>
          <w:sz w:val="22"/>
          <w:szCs w:val="22"/>
          <w:highlight w:val="none"/>
          <w:lang w:val="en-US"/>
        </w:rPr>
        <w:t>主要设备清单</w:t>
      </w:r>
      <w:bookmarkEnd w:id="363"/>
    </w:p>
    <w:tbl>
      <w:tblPr>
        <w:tblStyle w:val="88"/>
        <w:tblW w:w="7858" w:type="dxa"/>
        <w:jc w:val="center"/>
        <w:tblLayout w:type="autofit"/>
        <w:tblCellMar>
          <w:top w:w="0" w:type="dxa"/>
          <w:left w:w="108" w:type="dxa"/>
          <w:bottom w:w="0" w:type="dxa"/>
          <w:right w:w="108" w:type="dxa"/>
        </w:tblCellMar>
      </w:tblPr>
      <w:tblGrid>
        <w:gridCol w:w="689"/>
        <w:gridCol w:w="2575"/>
        <w:gridCol w:w="709"/>
        <w:gridCol w:w="644"/>
        <w:gridCol w:w="3241"/>
      </w:tblGrid>
      <w:tr w14:paraId="56D13216">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11">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2575" w:type="dxa"/>
            <w:tcBorders>
              <w:top w:val="single" w:color="000000" w:sz="4" w:space="0"/>
              <w:left w:val="nil"/>
              <w:bottom w:val="single" w:color="000000" w:sz="4" w:space="0"/>
              <w:right w:val="single" w:color="000000" w:sz="4" w:space="0"/>
            </w:tcBorders>
            <w:vAlign w:val="center"/>
          </w:tcPr>
          <w:p w14:paraId="56D13212">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709" w:type="dxa"/>
            <w:tcBorders>
              <w:top w:val="single" w:color="000000" w:sz="4" w:space="0"/>
              <w:left w:val="nil"/>
              <w:bottom w:val="single" w:color="000000" w:sz="4" w:space="0"/>
              <w:right w:val="single" w:color="000000" w:sz="4" w:space="0"/>
            </w:tcBorders>
            <w:vAlign w:val="center"/>
          </w:tcPr>
          <w:p w14:paraId="56D13213">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644" w:type="dxa"/>
            <w:tcBorders>
              <w:top w:val="single" w:color="000000" w:sz="4" w:space="0"/>
              <w:left w:val="nil"/>
              <w:bottom w:val="single" w:color="000000" w:sz="4" w:space="0"/>
              <w:right w:val="single" w:color="000000" w:sz="4" w:space="0"/>
            </w:tcBorders>
            <w:vAlign w:val="center"/>
          </w:tcPr>
          <w:p w14:paraId="56D13214">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3241" w:type="dxa"/>
            <w:tcBorders>
              <w:top w:val="single" w:color="000000" w:sz="4" w:space="0"/>
              <w:left w:val="nil"/>
              <w:bottom w:val="nil"/>
              <w:right w:val="single" w:color="000000" w:sz="4" w:space="0"/>
            </w:tcBorders>
            <w:vAlign w:val="center"/>
          </w:tcPr>
          <w:p w14:paraId="56D13215">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21C">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1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575" w:type="dxa"/>
            <w:tcBorders>
              <w:top w:val="single" w:color="000000" w:sz="4" w:space="0"/>
              <w:left w:val="nil"/>
              <w:bottom w:val="single" w:color="000000" w:sz="4" w:space="0"/>
              <w:right w:val="single" w:color="000000" w:sz="4" w:space="0"/>
            </w:tcBorders>
            <w:vAlign w:val="center"/>
          </w:tcPr>
          <w:p w14:paraId="56D13218">
            <w:pPr>
              <w:widowControl/>
              <w:spacing w:line="276" w:lineRule="auto"/>
              <w:rPr>
                <w:i w:val="0"/>
                <w:iCs w:val="0"/>
                <w:color w:val="auto"/>
                <w:sz w:val="21"/>
                <w:szCs w:val="15"/>
                <w:highlight w:val="none"/>
              </w:rPr>
            </w:pPr>
            <w:r>
              <w:rPr>
                <w:rFonts w:hint="eastAsia"/>
                <w:i w:val="0"/>
                <w:iCs w:val="0"/>
                <w:color w:val="auto"/>
                <w:sz w:val="21"/>
                <w:szCs w:val="15"/>
                <w:highlight w:val="none"/>
              </w:rPr>
              <w:t>中央门禁平台接口改造</w:t>
            </w:r>
          </w:p>
        </w:tc>
        <w:tc>
          <w:tcPr>
            <w:tcW w:w="709" w:type="dxa"/>
            <w:tcBorders>
              <w:top w:val="single" w:color="000000" w:sz="4" w:space="0"/>
              <w:left w:val="nil"/>
              <w:bottom w:val="single" w:color="000000" w:sz="4" w:space="0"/>
              <w:right w:val="single" w:color="000000" w:sz="4" w:space="0"/>
            </w:tcBorders>
            <w:vAlign w:val="center"/>
          </w:tcPr>
          <w:p w14:paraId="56D13219">
            <w:pPr>
              <w:widowControl/>
              <w:spacing w:line="276" w:lineRule="auto"/>
              <w:rPr>
                <w:i w:val="0"/>
                <w:iCs w:val="0"/>
                <w:color w:val="auto"/>
                <w:sz w:val="21"/>
                <w:szCs w:val="15"/>
                <w:highlight w:val="none"/>
              </w:rPr>
            </w:pPr>
          </w:p>
        </w:tc>
        <w:tc>
          <w:tcPr>
            <w:tcW w:w="644" w:type="dxa"/>
            <w:tcBorders>
              <w:top w:val="single" w:color="000000" w:sz="4" w:space="0"/>
              <w:left w:val="nil"/>
              <w:bottom w:val="single" w:color="000000" w:sz="4" w:space="0"/>
              <w:right w:val="single" w:color="000000" w:sz="4" w:space="0"/>
            </w:tcBorders>
            <w:vAlign w:val="center"/>
          </w:tcPr>
          <w:p w14:paraId="56D1321A">
            <w:pPr>
              <w:widowControl/>
              <w:spacing w:line="276" w:lineRule="auto"/>
              <w:rPr>
                <w:i w:val="0"/>
                <w:iCs w:val="0"/>
                <w:color w:val="auto"/>
                <w:sz w:val="21"/>
                <w:szCs w:val="15"/>
                <w:highlight w:val="none"/>
              </w:rPr>
            </w:pPr>
          </w:p>
        </w:tc>
        <w:tc>
          <w:tcPr>
            <w:tcW w:w="3241" w:type="dxa"/>
            <w:tcBorders>
              <w:top w:val="single" w:color="000000" w:sz="4" w:space="0"/>
              <w:left w:val="nil"/>
              <w:bottom w:val="single" w:color="000000" w:sz="4" w:space="0"/>
              <w:right w:val="single" w:color="000000" w:sz="4" w:space="0"/>
            </w:tcBorders>
            <w:vAlign w:val="center"/>
          </w:tcPr>
          <w:p w14:paraId="56D1321B">
            <w:pPr>
              <w:widowControl/>
              <w:spacing w:line="276" w:lineRule="auto"/>
              <w:rPr>
                <w:i w:val="0"/>
                <w:iCs w:val="0"/>
                <w:color w:val="auto"/>
                <w:sz w:val="21"/>
                <w:szCs w:val="15"/>
                <w:highlight w:val="none"/>
              </w:rPr>
            </w:pPr>
          </w:p>
        </w:tc>
      </w:tr>
      <w:tr w14:paraId="56D13222">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1D">
            <w:pPr>
              <w:widowControl/>
              <w:spacing w:line="276" w:lineRule="auto"/>
              <w:jc w:val="center"/>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1.1</w:t>
            </w:r>
          </w:p>
        </w:tc>
        <w:tc>
          <w:tcPr>
            <w:tcW w:w="2575" w:type="dxa"/>
            <w:tcBorders>
              <w:top w:val="single" w:color="000000" w:sz="4" w:space="0"/>
              <w:left w:val="nil"/>
              <w:bottom w:val="single" w:color="000000" w:sz="4" w:space="0"/>
              <w:right w:val="single" w:color="000000" w:sz="4" w:space="0"/>
            </w:tcBorders>
            <w:vAlign w:val="center"/>
          </w:tcPr>
          <w:p w14:paraId="56D1321E">
            <w:pPr>
              <w:widowControl/>
              <w:spacing w:line="276" w:lineRule="auto"/>
              <w:rPr>
                <w:i w:val="0"/>
                <w:iCs w:val="0"/>
                <w:color w:val="auto"/>
                <w:sz w:val="21"/>
                <w:szCs w:val="15"/>
                <w:highlight w:val="none"/>
              </w:rPr>
            </w:pPr>
            <w:r>
              <w:rPr>
                <w:rFonts w:hint="eastAsia"/>
                <w:i w:val="0"/>
                <w:iCs w:val="0"/>
                <w:color w:val="auto"/>
                <w:sz w:val="21"/>
                <w:szCs w:val="15"/>
                <w:highlight w:val="none"/>
              </w:rPr>
              <w:t>中央门禁平台接口改造</w:t>
            </w:r>
          </w:p>
        </w:tc>
        <w:tc>
          <w:tcPr>
            <w:tcW w:w="709" w:type="dxa"/>
            <w:tcBorders>
              <w:top w:val="single" w:color="000000" w:sz="4" w:space="0"/>
              <w:left w:val="nil"/>
              <w:bottom w:val="single" w:color="000000" w:sz="4" w:space="0"/>
              <w:right w:val="single" w:color="000000" w:sz="4" w:space="0"/>
            </w:tcBorders>
            <w:vAlign w:val="center"/>
          </w:tcPr>
          <w:p w14:paraId="56D1321F">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44" w:type="dxa"/>
            <w:tcBorders>
              <w:top w:val="single" w:color="000000" w:sz="4" w:space="0"/>
              <w:left w:val="nil"/>
              <w:bottom w:val="single" w:color="000000" w:sz="4" w:space="0"/>
              <w:right w:val="single" w:color="000000" w:sz="4" w:space="0"/>
            </w:tcBorders>
            <w:vAlign w:val="center"/>
          </w:tcPr>
          <w:p w14:paraId="56D13220">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1" w:type="dxa"/>
            <w:tcBorders>
              <w:top w:val="single" w:color="000000" w:sz="4" w:space="0"/>
              <w:left w:val="nil"/>
              <w:bottom w:val="single" w:color="000000" w:sz="4" w:space="0"/>
              <w:right w:val="single" w:color="000000" w:sz="4" w:space="0"/>
            </w:tcBorders>
            <w:vAlign w:val="center"/>
          </w:tcPr>
          <w:p w14:paraId="56D13221">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228">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23">
            <w:pPr>
              <w:widowControl/>
              <w:spacing w:line="276" w:lineRule="auto"/>
              <w:jc w:val="center"/>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1.2</w:t>
            </w:r>
          </w:p>
        </w:tc>
        <w:tc>
          <w:tcPr>
            <w:tcW w:w="2575" w:type="dxa"/>
            <w:tcBorders>
              <w:top w:val="single" w:color="000000" w:sz="4" w:space="0"/>
              <w:left w:val="nil"/>
              <w:bottom w:val="single" w:color="000000" w:sz="4" w:space="0"/>
              <w:right w:val="single" w:color="000000" w:sz="4" w:space="0"/>
            </w:tcBorders>
            <w:vAlign w:val="center"/>
          </w:tcPr>
          <w:p w14:paraId="56D13224">
            <w:pPr>
              <w:widowControl/>
              <w:spacing w:line="276" w:lineRule="auto"/>
              <w:rPr>
                <w:i w:val="0"/>
                <w:iCs w:val="0"/>
                <w:color w:val="auto"/>
                <w:sz w:val="21"/>
                <w:szCs w:val="15"/>
                <w:highlight w:val="none"/>
              </w:rPr>
            </w:pPr>
            <w:r>
              <w:rPr>
                <w:rFonts w:hint="eastAsia"/>
                <w:i w:val="0"/>
                <w:iCs w:val="0"/>
                <w:color w:val="auto"/>
                <w:sz w:val="21"/>
                <w:szCs w:val="15"/>
                <w:highlight w:val="none"/>
              </w:rPr>
              <w:t>综合监控系统接口改造</w:t>
            </w:r>
          </w:p>
        </w:tc>
        <w:tc>
          <w:tcPr>
            <w:tcW w:w="709" w:type="dxa"/>
            <w:tcBorders>
              <w:top w:val="single" w:color="000000" w:sz="4" w:space="0"/>
              <w:left w:val="nil"/>
              <w:bottom w:val="single" w:color="000000" w:sz="4" w:space="0"/>
              <w:right w:val="single" w:color="000000" w:sz="4" w:space="0"/>
            </w:tcBorders>
            <w:vAlign w:val="center"/>
          </w:tcPr>
          <w:p w14:paraId="56D13225">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44" w:type="dxa"/>
            <w:tcBorders>
              <w:top w:val="single" w:color="000000" w:sz="4" w:space="0"/>
              <w:left w:val="nil"/>
              <w:bottom w:val="single" w:color="000000" w:sz="4" w:space="0"/>
              <w:right w:val="single" w:color="000000" w:sz="4" w:space="0"/>
            </w:tcBorders>
            <w:vAlign w:val="center"/>
          </w:tcPr>
          <w:p w14:paraId="56D13226">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1" w:type="dxa"/>
            <w:tcBorders>
              <w:top w:val="single" w:color="000000" w:sz="4" w:space="0"/>
              <w:left w:val="nil"/>
              <w:bottom w:val="single" w:color="000000" w:sz="4" w:space="0"/>
              <w:right w:val="single" w:color="000000" w:sz="4" w:space="0"/>
            </w:tcBorders>
            <w:vAlign w:val="center"/>
          </w:tcPr>
          <w:p w14:paraId="56D13227">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22E">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2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575" w:type="dxa"/>
            <w:tcBorders>
              <w:top w:val="single" w:color="000000" w:sz="4" w:space="0"/>
              <w:left w:val="nil"/>
              <w:bottom w:val="single" w:color="000000" w:sz="4" w:space="0"/>
              <w:right w:val="single" w:color="000000" w:sz="4" w:space="0"/>
            </w:tcBorders>
            <w:vAlign w:val="center"/>
          </w:tcPr>
          <w:p w14:paraId="56D1322A">
            <w:pPr>
              <w:widowControl/>
              <w:spacing w:line="276" w:lineRule="auto"/>
              <w:rPr>
                <w:i w:val="0"/>
                <w:iCs w:val="0"/>
                <w:color w:val="auto"/>
                <w:sz w:val="21"/>
                <w:szCs w:val="15"/>
                <w:highlight w:val="none"/>
              </w:rPr>
            </w:pPr>
            <w:r>
              <w:rPr>
                <w:rFonts w:hint="eastAsia"/>
                <w:i w:val="0"/>
                <w:iCs w:val="0"/>
                <w:color w:val="auto"/>
                <w:sz w:val="21"/>
                <w:szCs w:val="15"/>
                <w:highlight w:val="none"/>
              </w:rPr>
              <w:t>人脸门禁平台软件</w:t>
            </w:r>
          </w:p>
        </w:tc>
        <w:tc>
          <w:tcPr>
            <w:tcW w:w="709" w:type="dxa"/>
            <w:tcBorders>
              <w:top w:val="single" w:color="000000" w:sz="4" w:space="0"/>
              <w:left w:val="nil"/>
              <w:bottom w:val="single" w:color="000000" w:sz="4" w:space="0"/>
              <w:right w:val="single" w:color="000000" w:sz="4" w:space="0"/>
            </w:tcBorders>
            <w:vAlign w:val="center"/>
          </w:tcPr>
          <w:p w14:paraId="56D1322B">
            <w:pPr>
              <w:widowControl/>
              <w:spacing w:line="276" w:lineRule="auto"/>
              <w:rPr>
                <w:i w:val="0"/>
                <w:iCs w:val="0"/>
                <w:color w:val="auto"/>
                <w:sz w:val="21"/>
                <w:szCs w:val="15"/>
                <w:highlight w:val="none"/>
              </w:rPr>
            </w:pPr>
          </w:p>
        </w:tc>
        <w:tc>
          <w:tcPr>
            <w:tcW w:w="644" w:type="dxa"/>
            <w:tcBorders>
              <w:top w:val="single" w:color="000000" w:sz="4" w:space="0"/>
              <w:left w:val="nil"/>
              <w:bottom w:val="single" w:color="000000" w:sz="4" w:space="0"/>
              <w:right w:val="single" w:color="000000" w:sz="4" w:space="0"/>
            </w:tcBorders>
            <w:vAlign w:val="center"/>
          </w:tcPr>
          <w:p w14:paraId="56D1322C">
            <w:pPr>
              <w:widowControl/>
              <w:spacing w:line="276" w:lineRule="auto"/>
              <w:rPr>
                <w:i w:val="0"/>
                <w:iCs w:val="0"/>
                <w:color w:val="auto"/>
                <w:sz w:val="21"/>
                <w:szCs w:val="15"/>
                <w:highlight w:val="none"/>
              </w:rPr>
            </w:pPr>
          </w:p>
        </w:tc>
        <w:tc>
          <w:tcPr>
            <w:tcW w:w="3241" w:type="dxa"/>
            <w:tcBorders>
              <w:top w:val="single" w:color="000000" w:sz="4" w:space="0"/>
              <w:left w:val="nil"/>
              <w:bottom w:val="single" w:color="000000" w:sz="4" w:space="0"/>
              <w:right w:val="single" w:color="000000" w:sz="4" w:space="0"/>
            </w:tcBorders>
            <w:vAlign w:val="center"/>
          </w:tcPr>
          <w:p w14:paraId="56D1322D">
            <w:pPr>
              <w:widowControl/>
              <w:spacing w:line="276" w:lineRule="auto"/>
              <w:rPr>
                <w:rFonts w:hint="eastAsia" w:eastAsia="仿宋"/>
                <w:i w:val="0"/>
                <w:iCs w:val="0"/>
                <w:color w:val="auto"/>
                <w:sz w:val="21"/>
                <w:szCs w:val="15"/>
                <w:highlight w:val="none"/>
                <w:lang w:val="en-US" w:eastAsia="zh-CN"/>
              </w:rPr>
            </w:pPr>
          </w:p>
        </w:tc>
      </w:tr>
      <w:tr w14:paraId="56D13234">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2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2.1</w:t>
            </w:r>
          </w:p>
        </w:tc>
        <w:tc>
          <w:tcPr>
            <w:tcW w:w="2575" w:type="dxa"/>
            <w:tcBorders>
              <w:top w:val="single" w:color="000000" w:sz="4" w:space="0"/>
              <w:left w:val="nil"/>
              <w:bottom w:val="single" w:color="000000" w:sz="4" w:space="0"/>
              <w:right w:val="single" w:color="000000" w:sz="4" w:space="0"/>
            </w:tcBorders>
            <w:vAlign w:val="center"/>
          </w:tcPr>
          <w:p w14:paraId="56D13230">
            <w:pPr>
              <w:widowControl/>
              <w:spacing w:line="276" w:lineRule="auto"/>
              <w:rPr>
                <w:i w:val="0"/>
                <w:iCs w:val="0"/>
                <w:color w:val="auto"/>
                <w:sz w:val="21"/>
                <w:szCs w:val="15"/>
                <w:highlight w:val="none"/>
              </w:rPr>
            </w:pPr>
            <w:r>
              <w:rPr>
                <w:rFonts w:hint="eastAsia"/>
                <w:i w:val="0"/>
                <w:iCs w:val="0"/>
                <w:color w:val="auto"/>
                <w:sz w:val="21"/>
                <w:szCs w:val="15"/>
                <w:highlight w:val="none"/>
              </w:rPr>
              <w:t>人脸平台软件定制开发</w:t>
            </w:r>
          </w:p>
        </w:tc>
        <w:tc>
          <w:tcPr>
            <w:tcW w:w="709" w:type="dxa"/>
            <w:tcBorders>
              <w:top w:val="single" w:color="000000" w:sz="4" w:space="0"/>
              <w:left w:val="nil"/>
              <w:bottom w:val="single" w:color="000000" w:sz="4" w:space="0"/>
              <w:right w:val="single" w:color="000000" w:sz="4" w:space="0"/>
            </w:tcBorders>
            <w:vAlign w:val="center"/>
          </w:tcPr>
          <w:p w14:paraId="56D13231">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44" w:type="dxa"/>
            <w:tcBorders>
              <w:top w:val="single" w:color="000000" w:sz="4" w:space="0"/>
              <w:left w:val="nil"/>
              <w:bottom w:val="single" w:color="000000" w:sz="4" w:space="0"/>
              <w:right w:val="single" w:color="000000" w:sz="4" w:space="0"/>
            </w:tcBorders>
            <w:vAlign w:val="center"/>
          </w:tcPr>
          <w:p w14:paraId="56D13232">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1" w:type="dxa"/>
            <w:tcBorders>
              <w:top w:val="single" w:color="000000" w:sz="4" w:space="0"/>
              <w:left w:val="nil"/>
              <w:bottom w:val="single" w:color="000000" w:sz="4" w:space="0"/>
              <w:right w:val="single" w:color="000000" w:sz="4" w:space="0"/>
            </w:tcBorders>
            <w:vAlign w:val="center"/>
          </w:tcPr>
          <w:p w14:paraId="56D13233">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23A">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3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2.2</w:t>
            </w:r>
          </w:p>
        </w:tc>
        <w:tc>
          <w:tcPr>
            <w:tcW w:w="2575" w:type="dxa"/>
            <w:tcBorders>
              <w:top w:val="single" w:color="000000" w:sz="4" w:space="0"/>
              <w:left w:val="nil"/>
              <w:bottom w:val="single" w:color="000000" w:sz="4" w:space="0"/>
              <w:right w:val="single" w:color="000000" w:sz="4" w:space="0"/>
            </w:tcBorders>
            <w:vAlign w:val="center"/>
          </w:tcPr>
          <w:p w14:paraId="56D13236">
            <w:pPr>
              <w:widowControl/>
              <w:spacing w:line="276" w:lineRule="auto"/>
              <w:rPr>
                <w:i w:val="0"/>
                <w:iCs w:val="0"/>
                <w:color w:val="auto"/>
                <w:sz w:val="21"/>
                <w:szCs w:val="15"/>
                <w:highlight w:val="none"/>
              </w:rPr>
            </w:pPr>
            <w:r>
              <w:rPr>
                <w:rFonts w:hint="eastAsia"/>
                <w:i w:val="0"/>
                <w:iCs w:val="0"/>
                <w:color w:val="auto"/>
                <w:sz w:val="21"/>
                <w:szCs w:val="15"/>
                <w:highlight w:val="none"/>
              </w:rPr>
              <w:t>软件现场部署和调试</w:t>
            </w:r>
          </w:p>
        </w:tc>
        <w:tc>
          <w:tcPr>
            <w:tcW w:w="709" w:type="dxa"/>
            <w:tcBorders>
              <w:top w:val="single" w:color="000000" w:sz="4" w:space="0"/>
              <w:left w:val="nil"/>
              <w:bottom w:val="single" w:color="000000" w:sz="4" w:space="0"/>
              <w:right w:val="single" w:color="000000" w:sz="4" w:space="0"/>
            </w:tcBorders>
            <w:vAlign w:val="center"/>
          </w:tcPr>
          <w:p w14:paraId="56D13237">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44" w:type="dxa"/>
            <w:tcBorders>
              <w:top w:val="single" w:color="000000" w:sz="4" w:space="0"/>
              <w:left w:val="nil"/>
              <w:bottom w:val="single" w:color="000000" w:sz="4" w:space="0"/>
              <w:right w:val="single" w:color="000000" w:sz="4" w:space="0"/>
            </w:tcBorders>
            <w:vAlign w:val="center"/>
          </w:tcPr>
          <w:p w14:paraId="56D13238">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1" w:type="dxa"/>
            <w:tcBorders>
              <w:top w:val="single" w:color="000000" w:sz="4" w:space="0"/>
              <w:left w:val="nil"/>
              <w:bottom w:val="single" w:color="000000" w:sz="4" w:space="0"/>
              <w:right w:val="single" w:color="000000" w:sz="4" w:space="0"/>
            </w:tcBorders>
            <w:vAlign w:val="center"/>
          </w:tcPr>
          <w:p w14:paraId="56D13239">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246">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41">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3</w:t>
            </w:r>
          </w:p>
        </w:tc>
        <w:tc>
          <w:tcPr>
            <w:tcW w:w="2575" w:type="dxa"/>
            <w:tcBorders>
              <w:top w:val="single" w:color="000000" w:sz="4" w:space="0"/>
              <w:left w:val="nil"/>
              <w:bottom w:val="single" w:color="000000" w:sz="4" w:space="0"/>
              <w:right w:val="single" w:color="000000" w:sz="4" w:space="0"/>
            </w:tcBorders>
            <w:vAlign w:val="center"/>
          </w:tcPr>
          <w:p w14:paraId="56D13242">
            <w:pPr>
              <w:widowControl/>
              <w:spacing w:line="276" w:lineRule="auto"/>
              <w:rPr>
                <w:i w:val="0"/>
                <w:iCs w:val="0"/>
                <w:color w:val="auto"/>
                <w:sz w:val="21"/>
                <w:szCs w:val="15"/>
                <w:highlight w:val="none"/>
              </w:rPr>
            </w:pPr>
            <w:r>
              <w:rPr>
                <w:rFonts w:hint="eastAsia"/>
                <w:i w:val="0"/>
                <w:iCs w:val="0"/>
                <w:color w:val="auto"/>
                <w:sz w:val="21"/>
                <w:szCs w:val="15"/>
                <w:highlight w:val="none"/>
              </w:rPr>
              <w:t>人脸信息录入终端</w:t>
            </w:r>
          </w:p>
        </w:tc>
        <w:tc>
          <w:tcPr>
            <w:tcW w:w="709" w:type="dxa"/>
            <w:tcBorders>
              <w:top w:val="single" w:color="000000" w:sz="4" w:space="0"/>
              <w:left w:val="nil"/>
              <w:bottom w:val="single" w:color="000000" w:sz="4" w:space="0"/>
              <w:right w:val="single" w:color="000000" w:sz="4" w:space="0"/>
            </w:tcBorders>
            <w:vAlign w:val="center"/>
          </w:tcPr>
          <w:p w14:paraId="56D13243">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644" w:type="dxa"/>
            <w:tcBorders>
              <w:top w:val="single" w:color="000000" w:sz="4" w:space="0"/>
              <w:left w:val="nil"/>
              <w:bottom w:val="single" w:color="000000" w:sz="4" w:space="0"/>
              <w:right w:val="single" w:color="000000" w:sz="4" w:space="0"/>
            </w:tcBorders>
            <w:vAlign w:val="center"/>
          </w:tcPr>
          <w:p w14:paraId="56D13244">
            <w:pPr>
              <w:widowControl/>
              <w:spacing w:line="276" w:lineRule="auto"/>
              <w:rPr>
                <w:i w:val="0"/>
                <w:iCs w:val="0"/>
                <w:color w:val="auto"/>
                <w:sz w:val="21"/>
                <w:szCs w:val="15"/>
                <w:highlight w:val="none"/>
              </w:rPr>
            </w:pPr>
            <w:r>
              <w:rPr>
                <w:rFonts w:hint="eastAsia"/>
                <w:i w:val="0"/>
                <w:iCs w:val="0"/>
                <w:color w:val="auto"/>
                <w:sz w:val="21"/>
                <w:szCs w:val="15"/>
                <w:highlight w:val="none"/>
              </w:rPr>
              <w:t>8</w:t>
            </w:r>
          </w:p>
        </w:tc>
        <w:tc>
          <w:tcPr>
            <w:tcW w:w="3241" w:type="dxa"/>
            <w:tcBorders>
              <w:top w:val="single" w:color="000000" w:sz="4" w:space="0"/>
              <w:left w:val="nil"/>
              <w:bottom w:val="single" w:color="000000" w:sz="4" w:space="0"/>
              <w:right w:val="single" w:color="000000" w:sz="4" w:space="0"/>
            </w:tcBorders>
            <w:vAlign w:val="center"/>
          </w:tcPr>
          <w:p w14:paraId="56D13245">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24C">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47">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4</w:t>
            </w:r>
          </w:p>
        </w:tc>
        <w:tc>
          <w:tcPr>
            <w:tcW w:w="2575" w:type="dxa"/>
            <w:tcBorders>
              <w:top w:val="single" w:color="000000" w:sz="4" w:space="0"/>
              <w:left w:val="nil"/>
              <w:bottom w:val="single" w:color="000000" w:sz="4" w:space="0"/>
              <w:right w:val="single" w:color="000000" w:sz="4" w:space="0"/>
            </w:tcBorders>
            <w:vAlign w:val="center"/>
          </w:tcPr>
          <w:p w14:paraId="56D13248">
            <w:pPr>
              <w:widowControl/>
              <w:spacing w:line="276" w:lineRule="auto"/>
              <w:rPr>
                <w:i w:val="0"/>
                <w:iCs w:val="0"/>
                <w:color w:val="auto"/>
                <w:sz w:val="21"/>
                <w:szCs w:val="15"/>
                <w:highlight w:val="none"/>
              </w:rPr>
            </w:pPr>
            <w:r>
              <w:rPr>
                <w:rFonts w:hint="eastAsia"/>
                <w:i w:val="0"/>
                <w:iCs w:val="0"/>
                <w:color w:val="auto"/>
                <w:sz w:val="21"/>
                <w:szCs w:val="15"/>
                <w:highlight w:val="none"/>
              </w:rPr>
              <w:t>人脸读卡器</w:t>
            </w:r>
          </w:p>
        </w:tc>
        <w:tc>
          <w:tcPr>
            <w:tcW w:w="709" w:type="dxa"/>
            <w:tcBorders>
              <w:top w:val="single" w:color="000000" w:sz="4" w:space="0"/>
              <w:left w:val="nil"/>
              <w:bottom w:val="single" w:color="000000" w:sz="4" w:space="0"/>
              <w:right w:val="single" w:color="000000" w:sz="4" w:space="0"/>
            </w:tcBorders>
            <w:vAlign w:val="center"/>
          </w:tcPr>
          <w:p w14:paraId="56D13249">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644" w:type="dxa"/>
            <w:tcBorders>
              <w:top w:val="single" w:color="000000" w:sz="4" w:space="0"/>
              <w:left w:val="nil"/>
              <w:bottom w:val="single" w:color="000000" w:sz="4" w:space="0"/>
              <w:right w:val="single" w:color="000000" w:sz="4" w:space="0"/>
            </w:tcBorders>
            <w:vAlign w:val="center"/>
          </w:tcPr>
          <w:p w14:paraId="56D1324A">
            <w:pPr>
              <w:widowControl/>
              <w:spacing w:line="276" w:lineRule="auto"/>
              <w:rPr>
                <w:i w:val="0"/>
                <w:iCs w:val="0"/>
                <w:color w:val="auto"/>
                <w:sz w:val="21"/>
                <w:szCs w:val="15"/>
                <w:highlight w:val="none"/>
              </w:rPr>
            </w:pPr>
            <w:r>
              <w:rPr>
                <w:rFonts w:hint="eastAsia"/>
                <w:i w:val="0"/>
                <w:iCs w:val="0"/>
                <w:color w:val="auto"/>
                <w:sz w:val="21"/>
                <w:szCs w:val="15"/>
                <w:highlight w:val="none"/>
              </w:rPr>
              <w:t>68</w:t>
            </w:r>
          </w:p>
        </w:tc>
        <w:tc>
          <w:tcPr>
            <w:tcW w:w="3241" w:type="dxa"/>
            <w:tcBorders>
              <w:top w:val="single" w:color="000000" w:sz="4" w:space="0"/>
              <w:left w:val="nil"/>
              <w:bottom w:val="single" w:color="000000" w:sz="4" w:space="0"/>
              <w:right w:val="single" w:color="000000" w:sz="4" w:space="0"/>
            </w:tcBorders>
            <w:vAlign w:val="center"/>
          </w:tcPr>
          <w:p w14:paraId="56D1324B">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含至就地控制器电源线及通信线</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252">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4D">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5</w:t>
            </w:r>
          </w:p>
        </w:tc>
        <w:tc>
          <w:tcPr>
            <w:tcW w:w="2575" w:type="dxa"/>
            <w:tcBorders>
              <w:top w:val="single" w:color="000000" w:sz="4" w:space="0"/>
              <w:left w:val="nil"/>
              <w:bottom w:val="single" w:color="000000" w:sz="4" w:space="0"/>
              <w:right w:val="single" w:color="000000" w:sz="4" w:space="0"/>
            </w:tcBorders>
            <w:vAlign w:val="center"/>
          </w:tcPr>
          <w:p w14:paraId="56D1324E">
            <w:pPr>
              <w:widowControl/>
              <w:spacing w:line="276" w:lineRule="auto"/>
              <w:rPr>
                <w:i w:val="0"/>
                <w:iCs w:val="0"/>
                <w:color w:val="auto"/>
                <w:sz w:val="21"/>
                <w:szCs w:val="15"/>
                <w:highlight w:val="none"/>
              </w:rPr>
            </w:pPr>
            <w:r>
              <w:rPr>
                <w:rFonts w:hint="eastAsia"/>
                <w:i w:val="0"/>
                <w:iCs w:val="0"/>
                <w:color w:val="auto"/>
                <w:sz w:val="21"/>
                <w:szCs w:val="15"/>
                <w:highlight w:val="none"/>
              </w:rPr>
              <w:t>交换机</w:t>
            </w:r>
          </w:p>
        </w:tc>
        <w:tc>
          <w:tcPr>
            <w:tcW w:w="709" w:type="dxa"/>
            <w:tcBorders>
              <w:top w:val="single" w:color="000000" w:sz="4" w:space="0"/>
              <w:left w:val="nil"/>
              <w:bottom w:val="single" w:color="000000" w:sz="4" w:space="0"/>
              <w:right w:val="single" w:color="000000" w:sz="4" w:space="0"/>
            </w:tcBorders>
            <w:vAlign w:val="center"/>
          </w:tcPr>
          <w:p w14:paraId="56D1324F">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644" w:type="dxa"/>
            <w:tcBorders>
              <w:top w:val="single" w:color="000000" w:sz="4" w:space="0"/>
              <w:left w:val="nil"/>
              <w:bottom w:val="single" w:color="000000" w:sz="4" w:space="0"/>
              <w:right w:val="single" w:color="000000" w:sz="4" w:space="0"/>
            </w:tcBorders>
            <w:vAlign w:val="center"/>
          </w:tcPr>
          <w:p w14:paraId="56D13250">
            <w:pPr>
              <w:widowControl/>
              <w:spacing w:line="276" w:lineRule="auto"/>
              <w:rPr>
                <w:i w:val="0"/>
                <w:iCs w:val="0"/>
                <w:color w:val="auto"/>
                <w:sz w:val="21"/>
                <w:szCs w:val="15"/>
                <w:highlight w:val="none"/>
              </w:rPr>
            </w:pPr>
            <w:r>
              <w:rPr>
                <w:rFonts w:hint="eastAsia"/>
                <w:i w:val="0"/>
                <w:iCs w:val="0"/>
                <w:color w:val="auto"/>
                <w:sz w:val="21"/>
                <w:szCs w:val="15"/>
                <w:highlight w:val="none"/>
              </w:rPr>
              <w:t>34</w:t>
            </w:r>
          </w:p>
        </w:tc>
        <w:tc>
          <w:tcPr>
            <w:tcW w:w="3241" w:type="dxa"/>
            <w:tcBorders>
              <w:top w:val="single" w:color="000000" w:sz="4" w:space="0"/>
              <w:left w:val="nil"/>
              <w:bottom w:val="single" w:color="000000" w:sz="4" w:space="0"/>
              <w:right w:val="single" w:color="000000" w:sz="4" w:space="0"/>
            </w:tcBorders>
            <w:vAlign w:val="center"/>
          </w:tcPr>
          <w:p w14:paraId="56D13251">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甲供，</w:t>
            </w:r>
            <w:r>
              <w:rPr>
                <w:rFonts w:hint="eastAsia"/>
                <w:i w:val="0"/>
                <w:iCs w:val="0"/>
                <w:color w:val="auto"/>
                <w:sz w:val="21"/>
                <w:szCs w:val="15"/>
                <w:highlight w:val="none"/>
              </w:rPr>
              <w:t>非网管型交换机，8个百兆RJ45电口</w:t>
            </w:r>
            <w:r>
              <w:rPr>
                <w:rFonts w:hint="eastAsia"/>
                <w:i w:val="0"/>
                <w:iCs w:val="0"/>
                <w:color w:val="auto"/>
                <w:sz w:val="21"/>
                <w:szCs w:val="15"/>
                <w:highlight w:val="none"/>
                <w:lang w:eastAsia="zh-CN"/>
              </w:rPr>
              <w:t>，</w:t>
            </w:r>
            <w:r>
              <w:rPr>
                <w:rFonts w:hint="eastAsia"/>
                <w:i w:val="0"/>
                <w:iCs w:val="0"/>
                <w:color w:val="auto"/>
                <w:sz w:val="21"/>
                <w:szCs w:val="15"/>
                <w:highlight w:val="none"/>
              </w:rPr>
              <w:t>不低于IP30</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258">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53">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6</w:t>
            </w:r>
          </w:p>
        </w:tc>
        <w:tc>
          <w:tcPr>
            <w:tcW w:w="2575" w:type="dxa"/>
            <w:tcBorders>
              <w:top w:val="single" w:color="000000" w:sz="4" w:space="0"/>
              <w:left w:val="nil"/>
              <w:bottom w:val="single" w:color="000000" w:sz="4" w:space="0"/>
              <w:right w:val="single" w:color="000000" w:sz="4" w:space="0"/>
            </w:tcBorders>
            <w:vAlign w:val="center"/>
          </w:tcPr>
          <w:p w14:paraId="56D13254">
            <w:pPr>
              <w:widowControl/>
              <w:spacing w:line="276" w:lineRule="auto"/>
              <w:rPr>
                <w:i w:val="0"/>
                <w:iCs w:val="0"/>
                <w:color w:val="auto"/>
                <w:sz w:val="21"/>
                <w:szCs w:val="15"/>
                <w:highlight w:val="none"/>
              </w:rPr>
            </w:pPr>
            <w:r>
              <w:rPr>
                <w:rFonts w:hint="eastAsia"/>
                <w:i w:val="0"/>
                <w:iCs w:val="0"/>
                <w:color w:val="auto"/>
                <w:sz w:val="21"/>
                <w:szCs w:val="15"/>
                <w:highlight w:val="none"/>
              </w:rPr>
              <w:t>就地控制器</w:t>
            </w:r>
          </w:p>
        </w:tc>
        <w:tc>
          <w:tcPr>
            <w:tcW w:w="709" w:type="dxa"/>
            <w:tcBorders>
              <w:top w:val="single" w:color="000000" w:sz="4" w:space="0"/>
              <w:left w:val="nil"/>
              <w:bottom w:val="single" w:color="000000" w:sz="4" w:space="0"/>
              <w:right w:val="single" w:color="000000" w:sz="4" w:space="0"/>
            </w:tcBorders>
            <w:vAlign w:val="center"/>
          </w:tcPr>
          <w:p w14:paraId="56D13255">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644" w:type="dxa"/>
            <w:tcBorders>
              <w:top w:val="single" w:color="000000" w:sz="4" w:space="0"/>
              <w:left w:val="nil"/>
              <w:bottom w:val="single" w:color="000000" w:sz="4" w:space="0"/>
              <w:right w:val="single" w:color="000000" w:sz="4" w:space="0"/>
            </w:tcBorders>
            <w:vAlign w:val="center"/>
          </w:tcPr>
          <w:p w14:paraId="56D13256">
            <w:pPr>
              <w:widowControl/>
              <w:spacing w:line="276" w:lineRule="auto"/>
              <w:rPr>
                <w:i w:val="0"/>
                <w:iCs w:val="0"/>
                <w:color w:val="auto"/>
                <w:sz w:val="21"/>
                <w:szCs w:val="15"/>
                <w:highlight w:val="none"/>
              </w:rPr>
            </w:pPr>
            <w:r>
              <w:rPr>
                <w:rFonts w:hint="eastAsia"/>
                <w:i w:val="0"/>
                <w:iCs w:val="0"/>
                <w:color w:val="auto"/>
                <w:sz w:val="21"/>
                <w:szCs w:val="15"/>
                <w:highlight w:val="none"/>
              </w:rPr>
              <w:t>68</w:t>
            </w:r>
          </w:p>
        </w:tc>
        <w:tc>
          <w:tcPr>
            <w:tcW w:w="3241" w:type="dxa"/>
            <w:tcBorders>
              <w:top w:val="single" w:color="000000" w:sz="4" w:space="0"/>
              <w:left w:val="nil"/>
              <w:bottom w:val="single" w:color="000000" w:sz="4" w:space="0"/>
              <w:right w:val="single" w:color="000000" w:sz="4" w:space="0"/>
            </w:tcBorders>
            <w:vAlign w:val="center"/>
          </w:tcPr>
          <w:p w14:paraId="56D13257">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含电源</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25E">
        <w:tblPrEx>
          <w:tblCellMar>
            <w:top w:w="0" w:type="dxa"/>
            <w:left w:w="108" w:type="dxa"/>
            <w:bottom w:w="0" w:type="dxa"/>
            <w:right w:w="108" w:type="dxa"/>
          </w:tblCellMar>
        </w:tblPrEx>
        <w:trPr>
          <w:trHeight w:val="23" w:hRule="atLeast"/>
          <w:jc w:val="center"/>
        </w:trPr>
        <w:tc>
          <w:tcPr>
            <w:tcW w:w="689" w:type="dxa"/>
            <w:tcBorders>
              <w:top w:val="single" w:color="000000" w:sz="4" w:space="0"/>
              <w:left w:val="single" w:color="000000" w:sz="4" w:space="0"/>
              <w:bottom w:val="single" w:color="000000" w:sz="4" w:space="0"/>
              <w:right w:val="single" w:color="000000" w:sz="4" w:space="0"/>
            </w:tcBorders>
            <w:vAlign w:val="center"/>
          </w:tcPr>
          <w:p w14:paraId="56D13259">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7</w:t>
            </w:r>
          </w:p>
        </w:tc>
        <w:tc>
          <w:tcPr>
            <w:tcW w:w="2575" w:type="dxa"/>
            <w:tcBorders>
              <w:top w:val="single" w:color="000000" w:sz="4" w:space="0"/>
              <w:left w:val="nil"/>
              <w:bottom w:val="single" w:color="000000" w:sz="4" w:space="0"/>
              <w:right w:val="single" w:color="000000" w:sz="4" w:space="0"/>
            </w:tcBorders>
            <w:vAlign w:val="center"/>
          </w:tcPr>
          <w:p w14:paraId="56D1325A">
            <w:pPr>
              <w:widowControl/>
              <w:spacing w:line="276" w:lineRule="auto"/>
              <w:rPr>
                <w:i w:val="0"/>
                <w:iCs w:val="0"/>
                <w:color w:val="auto"/>
                <w:sz w:val="21"/>
                <w:szCs w:val="15"/>
                <w:highlight w:val="none"/>
              </w:rPr>
            </w:pPr>
            <w:r>
              <w:rPr>
                <w:rFonts w:hint="eastAsia"/>
                <w:i w:val="0"/>
                <w:iCs w:val="0"/>
                <w:color w:val="auto"/>
                <w:sz w:val="21"/>
                <w:szCs w:val="15"/>
                <w:highlight w:val="none"/>
              </w:rPr>
              <w:t>光电转换器</w:t>
            </w:r>
          </w:p>
        </w:tc>
        <w:tc>
          <w:tcPr>
            <w:tcW w:w="709" w:type="dxa"/>
            <w:tcBorders>
              <w:top w:val="single" w:color="000000" w:sz="4" w:space="0"/>
              <w:left w:val="nil"/>
              <w:bottom w:val="single" w:color="000000" w:sz="4" w:space="0"/>
              <w:right w:val="single" w:color="000000" w:sz="4" w:space="0"/>
            </w:tcBorders>
            <w:vAlign w:val="center"/>
          </w:tcPr>
          <w:p w14:paraId="56D1325B">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644" w:type="dxa"/>
            <w:tcBorders>
              <w:top w:val="single" w:color="000000" w:sz="4" w:space="0"/>
              <w:left w:val="nil"/>
              <w:bottom w:val="single" w:color="000000" w:sz="4" w:space="0"/>
              <w:right w:val="single" w:color="000000" w:sz="4" w:space="0"/>
            </w:tcBorders>
            <w:vAlign w:val="center"/>
          </w:tcPr>
          <w:p w14:paraId="56D1325C">
            <w:pPr>
              <w:widowControl/>
              <w:spacing w:line="276" w:lineRule="auto"/>
              <w:rPr>
                <w:i w:val="0"/>
                <w:iCs w:val="0"/>
                <w:color w:val="auto"/>
                <w:sz w:val="21"/>
                <w:szCs w:val="15"/>
                <w:highlight w:val="none"/>
              </w:rPr>
            </w:pPr>
            <w:r>
              <w:rPr>
                <w:rFonts w:hint="eastAsia"/>
                <w:i w:val="0"/>
                <w:iCs w:val="0"/>
                <w:color w:val="auto"/>
                <w:sz w:val="21"/>
                <w:szCs w:val="15"/>
                <w:highlight w:val="none"/>
              </w:rPr>
              <w:t>34</w:t>
            </w:r>
          </w:p>
        </w:tc>
        <w:tc>
          <w:tcPr>
            <w:tcW w:w="3241" w:type="dxa"/>
            <w:tcBorders>
              <w:top w:val="single" w:color="000000" w:sz="4" w:space="0"/>
              <w:left w:val="nil"/>
              <w:bottom w:val="single" w:color="000000" w:sz="4" w:space="0"/>
              <w:right w:val="single" w:color="000000" w:sz="4" w:space="0"/>
            </w:tcBorders>
            <w:vAlign w:val="center"/>
          </w:tcPr>
          <w:p w14:paraId="56D1325D">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含安装箱</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bl>
    <w:p w14:paraId="56D1325F">
      <w:pPr>
        <w:rPr>
          <w:rFonts w:hint="eastAsia" w:ascii="等线" w:hAnsi="等线" w:eastAsia="等线" w:cs="宋体"/>
          <w:i w:val="0"/>
          <w:iCs w:val="0"/>
          <w:color w:val="auto"/>
          <w:sz w:val="15"/>
          <w:szCs w:val="15"/>
          <w:highlight w:val="none"/>
        </w:rPr>
      </w:pPr>
    </w:p>
    <w:p w14:paraId="56D13260">
      <w:pPr>
        <w:pStyle w:val="5"/>
        <w:ind w:left="0"/>
        <w:rPr>
          <w:i w:val="0"/>
          <w:iCs w:val="0"/>
          <w:color w:val="auto"/>
          <w:sz w:val="22"/>
          <w:szCs w:val="22"/>
          <w:highlight w:val="none"/>
        </w:rPr>
      </w:pPr>
      <w:bookmarkStart w:id="364" w:name="bookmark103"/>
      <w:bookmarkEnd w:id="364"/>
      <w:bookmarkStart w:id="365" w:name="_Toc30075"/>
      <w:r>
        <w:rPr>
          <w:rFonts w:hint="eastAsia"/>
          <w:i w:val="0"/>
          <w:iCs w:val="0"/>
          <w:color w:val="auto"/>
          <w:sz w:val="22"/>
          <w:szCs w:val="22"/>
          <w:highlight w:val="none"/>
          <w:lang w:val="en-US"/>
        </w:rPr>
        <w:t>主要材料清单</w:t>
      </w:r>
      <w:bookmarkEnd w:id="365"/>
    </w:p>
    <w:tbl>
      <w:tblPr>
        <w:tblStyle w:val="88"/>
        <w:tblW w:w="8066" w:type="dxa"/>
        <w:jc w:val="center"/>
        <w:tblLayout w:type="fixed"/>
        <w:tblCellMar>
          <w:top w:w="0" w:type="dxa"/>
          <w:left w:w="108" w:type="dxa"/>
          <w:bottom w:w="0" w:type="dxa"/>
          <w:right w:w="108" w:type="dxa"/>
        </w:tblCellMar>
      </w:tblPr>
      <w:tblGrid>
        <w:gridCol w:w="668"/>
        <w:gridCol w:w="2432"/>
        <w:gridCol w:w="699"/>
        <w:gridCol w:w="938"/>
        <w:gridCol w:w="3329"/>
      </w:tblGrid>
      <w:tr w14:paraId="56D13266">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61">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2432" w:type="dxa"/>
            <w:tcBorders>
              <w:top w:val="single" w:color="000000" w:sz="4" w:space="0"/>
              <w:left w:val="nil"/>
              <w:bottom w:val="single" w:color="000000" w:sz="4" w:space="0"/>
              <w:right w:val="single" w:color="000000" w:sz="4" w:space="0"/>
            </w:tcBorders>
            <w:vAlign w:val="center"/>
          </w:tcPr>
          <w:p w14:paraId="56D13262">
            <w:pPr>
              <w:widowControl/>
              <w:spacing w:line="276" w:lineRule="auto"/>
              <w:rPr>
                <w:i w:val="0"/>
                <w:iCs w:val="0"/>
                <w:color w:val="auto"/>
                <w:sz w:val="21"/>
                <w:szCs w:val="15"/>
                <w:highlight w:val="none"/>
              </w:rPr>
            </w:pPr>
            <w:r>
              <w:rPr>
                <w:rFonts w:hint="eastAsia"/>
                <w:i w:val="0"/>
                <w:iCs w:val="0"/>
                <w:color w:val="auto"/>
                <w:sz w:val="21"/>
                <w:szCs w:val="15"/>
                <w:highlight w:val="none"/>
              </w:rPr>
              <w:t>名称及规格</w:t>
            </w:r>
          </w:p>
        </w:tc>
        <w:tc>
          <w:tcPr>
            <w:tcW w:w="699" w:type="dxa"/>
            <w:tcBorders>
              <w:top w:val="single" w:color="000000" w:sz="4" w:space="0"/>
              <w:left w:val="nil"/>
              <w:bottom w:val="single" w:color="000000" w:sz="4" w:space="0"/>
              <w:right w:val="single" w:color="000000" w:sz="4" w:space="0"/>
            </w:tcBorders>
            <w:vAlign w:val="center"/>
          </w:tcPr>
          <w:p w14:paraId="56D13263">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938" w:type="dxa"/>
            <w:tcBorders>
              <w:top w:val="single" w:color="000000" w:sz="4" w:space="0"/>
              <w:left w:val="nil"/>
              <w:bottom w:val="single" w:color="000000" w:sz="4" w:space="0"/>
              <w:right w:val="single" w:color="000000" w:sz="4" w:space="0"/>
            </w:tcBorders>
            <w:vAlign w:val="center"/>
          </w:tcPr>
          <w:p w14:paraId="56D1326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329" w:type="dxa"/>
            <w:tcBorders>
              <w:top w:val="single" w:color="000000" w:sz="4" w:space="0"/>
              <w:left w:val="nil"/>
              <w:bottom w:val="single" w:color="000000" w:sz="4" w:space="0"/>
              <w:right w:val="single" w:color="000000" w:sz="4" w:space="0"/>
            </w:tcBorders>
            <w:vAlign w:val="center"/>
          </w:tcPr>
          <w:p w14:paraId="56D13265">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26C">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6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432" w:type="dxa"/>
            <w:tcBorders>
              <w:top w:val="nil"/>
              <w:left w:val="nil"/>
              <w:bottom w:val="single" w:color="000000" w:sz="4" w:space="0"/>
              <w:right w:val="single" w:color="000000" w:sz="4" w:space="0"/>
            </w:tcBorders>
            <w:vAlign w:val="center"/>
          </w:tcPr>
          <w:p w14:paraId="56D13268">
            <w:pPr>
              <w:widowControl/>
              <w:spacing w:line="276" w:lineRule="auto"/>
              <w:rPr>
                <w:i w:val="0"/>
                <w:iCs w:val="0"/>
                <w:color w:val="auto"/>
                <w:sz w:val="21"/>
                <w:szCs w:val="15"/>
                <w:highlight w:val="none"/>
              </w:rPr>
            </w:pPr>
            <w:r>
              <w:rPr>
                <w:rFonts w:hint="eastAsia"/>
                <w:i w:val="0"/>
                <w:iCs w:val="0"/>
                <w:color w:val="auto"/>
                <w:sz w:val="21"/>
                <w:szCs w:val="15"/>
                <w:highlight w:val="none"/>
              </w:rPr>
              <w:t>4芯单模光缆</w:t>
            </w:r>
          </w:p>
        </w:tc>
        <w:tc>
          <w:tcPr>
            <w:tcW w:w="699" w:type="dxa"/>
            <w:tcBorders>
              <w:top w:val="nil"/>
              <w:left w:val="nil"/>
              <w:bottom w:val="single" w:color="000000" w:sz="4" w:space="0"/>
              <w:right w:val="single" w:color="000000" w:sz="4" w:space="0"/>
            </w:tcBorders>
            <w:vAlign w:val="center"/>
          </w:tcPr>
          <w:p w14:paraId="56D1326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38" w:type="dxa"/>
            <w:tcBorders>
              <w:top w:val="nil"/>
              <w:left w:val="nil"/>
              <w:bottom w:val="single" w:color="000000" w:sz="4" w:space="0"/>
              <w:right w:val="single" w:color="000000" w:sz="4" w:space="0"/>
            </w:tcBorders>
            <w:vAlign w:val="center"/>
          </w:tcPr>
          <w:p w14:paraId="56D1326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6000</w:t>
            </w:r>
          </w:p>
        </w:tc>
        <w:tc>
          <w:tcPr>
            <w:tcW w:w="3329" w:type="dxa"/>
            <w:tcBorders>
              <w:top w:val="single" w:color="000000" w:sz="4" w:space="0"/>
              <w:left w:val="nil"/>
              <w:bottom w:val="single" w:color="000000" w:sz="4" w:space="0"/>
              <w:right w:val="single" w:color="000000" w:sz="4" w:space="0"/>
            </w:tcBorders>
            <w:vAlign w:val="center"/>
          </w:tcPr>
          <w:p w14:paraId="56D1326B">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w:t>
            </w:r>
          </w:p>
        </w:tc>
      </w:tr>
      <w:tr w14:paraId="56D13272">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6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432" w:type="dxa"/>
            <w:tcBorders>
              <w:top w:val="nil"/>
              <w:left w:val="nil"/>
              <w:bottom w:val="single" w:color="000000" w:sz="4" w:space="0"/>
              <w:right w:val="single" w:color="000000" w:sz="4" w:space="0"/>
            </w:tcBorders>
            <w:vAlign w:val="center"/>
          </w:tcPr>
          <w:p w14:paraId="56D1326E">
            <w:pPr>
              <w:widowControl/>
              <w:spacing w:line="276" w:lineRule="auto"/>
              <w:rPr>
                <w:i w:val="0"/>
                <w:iCs w:val="0"/>
                <w:color w:val="auto"/>
                <w:sz w:val="21"/>
                <w:szCs w:val="15"/>
                <w:highlight w:val="none"/>
              </w:rPr>
            </w:pPr>
            <w:r>
              <w:rPr>
                <w:rFonts w:hint="eastAsia"/>
                <w:i w:val="0"/>
                <w:iCs w:val="0"/>
                <w:color w:val="auto"/>
                <w:sz w:val="21"/>
                <w:szCs w:val="15"/>
                <w:highlight w:val="none"/>
              </w:rPr>
              <w:t>超五类屏蔽双绞线</w:t>
            </w:r>
          </w:p>
        </w:tc>
        <w:tc>
          <w:tcPr>
            <w:tcW w:w="699" w:type="dxa"/>
            <w:tcBorders>
              <w:top w:val="nil"/>
              <w:left w:val="nil"/>
              <w:bottom w:val="single" w:color="000000" w:sz="4" w:space="0"/>
              <w:right w:val="single" w:color="000000" w:sz="4" w:space="0"/>
            </w:tcBorders>
            <w:vAlign w:val="center"/>
          </w:tcPr>
          <w:p w14:paraId="56D1326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38" w:type="dxa"/>
            <w:tcBorders>
              <w:top w:val="nil"/>
              <w:left w:val="nil"/>
              <w:bottom w:val="single" w:color="000000" w:sz="4" w:space="0"/>
              <w:right w:val="single" w:color="000000" w:sz="4" w:space="0"/>
            </w:tcBorders>
            <w:vAlign w:val="center"/>
          </w:tcPr>
          <w:p w14:paraId="56D1327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7500</w:t>
            </w:r>
          </w:p>
        </w:tc>
        <w:tc>
          <w:tcPr>
            <w:tcW w:w="3329" w:type="dxa"/>
            <w:tcBorders>
              <w:top w:val="single" w:color="000000" w:sz="4" w:space="0"/>
              <w:left w:val="nil"/>
              <w:bottom w:val="single" w:color="000000" w:sz="4" w:space="0"/>
              <w:right w:val="single" w:color="000000" w:sz="4" w:space="0"/>
            </w:tcBorders>
            <w:vAlign w:val="center"/>
          </w:tcPr>
          <w:p w14:paraId="56D13271">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低烟无卤阻燃，燃烧性能满足B1级</w:t>
            </w:r>
          </w:p>
        </w:tc>
      </w:tr>
      <w:tr w14:paraId="56D13278">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7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432" w:type="dxa"/>
            <w:tcBorders>
              <w:top w:val="nil"/>
              <w:left w:val="nil"/>
              <w:bottom w:val="single" w:color="000000" w:sz="4" w:space="0"/>
              <w:right w:val="single" w:color="000000" w:sz="4" w:space="0"/>
            </w:tcBorders>
            <w:vAlign w:val="center"/>
          </w:tcPr>
          <w:p w14:paraId="56D13274">
            <w:pPr>
              <w:widowControl/>
              <w:spacing w:line="276" w:lineRule="auto"/>
              <w:rPr>
                <w:i w:val="0"/>
                <w:iCs w:val="0"/>
                <w:color w:val="auto"/>
                <w:sz w:val="21"/>
                <w:szCs w:val="15"/>
                <w:highlight w:val="none"/>
              </w:rPr>
            </w:pPr>
            <w:r>
              <w:rPr>
                <w:i w:val="0"/>
                <w:iCs w:val="0"/>
                <w:color w:val="auto"/>
                <w:sz w:val="21"/>
                <w:szCs w:val="15"/>
                <w:highlight w:val="none"/>
              </w:rPr>
              <w:t>WDZBN-</w:t>
            </w:r>
            <w:r>
              <w:rPr>
                <w:rFonts w:hint="eastAsia"/>
                <w:i w:val="0"/>
                <w:iCs w:val="0"/>
                <w:color w:val="auto"/>
                <w:sz w:val="21"/>
                <w:szCs w:val="15"/>
                <w:highlight w:val="none"/>
              </w:rPr>
              <w:t>RYYP</w:t>
            </w:r>
            <w:r>
              <w:rPr>
                <w:i w:val="0"/>
                <w:iCs w:val="0"/>
                <w:color w:val="auto"/>
                <w:sz w:val="21"/>
                <w:szCs w:val="15"/>
                <w:highlight w:val="none"/>
              </w:rPr>
              <w:t>-</w:t>
            </w:r>
            <w:r>
              <w:rPr>
                <w:rFonts w:hint="eastAsia"/>
                <w:i w:val="0"/>
                <w:iCs w:val="0"/>
                <w:color w:val="auto"/>
                <w:sz w:val="21"/>
                <w:szCs w:val="15"/>
                <w:highlight w:val="none"/>
              </w:rPr>
              <w:t>8</w:t>
            </w:r>
            <w:r>
              <w:rPr>
                <w:i w:val="0"/>
                <w:iCs w:val="0"/>
                <w:color w:val="auto"/>
                <w:sz w:val="21"/>
                <w:szCs w:val="15"/>
                <w:highlight w:val="none"/>
              </w:rPr>
              <w:t>x</w:t>
            </w:r>
            <w:r>
              <w:rPr>
                <w:rFonts w:hint="eastAsia"/>
                <w:i w:val="0"/>
                <w:iCs w:val="0"/>
                <w:color w:val="auto"/>
                <w:sz w:val="21"/>
                <w:szCs w:val="15"/>
                <w:highlight w:val="none"/>
              </w:rPr>
              <w:t>0.75</w:t>
            </w:r>
          </w:p>
        </w:tc>
        <w:tc>
          <w:tcPr>
            <w:tcW w:w="699" w:type="dxa"/>
            <w:tcBorders>
              <w:top w:val="nil"/>
              <w:left w:val="nil"/>
              <w:bottom w:val="single" w:color="000000" w:sz="4" w:space="0"/>
              <w:right w:val="single" w:color="000000" w:sz="4" w:space="0"/>
            </w:tcBorders>
            <w:vAlign w:val="center"/>
          </w:tcPr>
          <w:p w14:paraId="56D1327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38" w:type="dxa"/>
            <w:tcBorders>
              <w:top w:val="nil"/>
              <w:left w:val="nil"/>
              <w:bottom w:val="single" w:color="000000" w:sz="4" w:space="0"/>
              <w:right w:val="single" w:color="000000" w:sz="4" w:space="0"/>
            </w:tcBorders>
            <w:vAlign w:val="center"/>
          </w:tcPr>
          <w:p w14:paraId="56D1327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1000</w:t>
            </w:r>
          </w:p>
        </w:tc>
        <w:tc>
          <w:tcPr>
            <w:tcW w:w="3329" w:type="dxa"/>
            <w:tcBorders>
              <w:top w:val="single" w:color="000000" w:sz="4" w:space="0"/>
              <w:left w:val="nil"/>
              <w:bottom w:val="single" w:color="000000" w:sz="4" w:space="0"/>
              <w:right w:val="single" w:color="000000" w:sz="4" w:space="0"/>
            </w:tcBorders>
            <w:vAlign w:val="center"/>
          </w:tcPr>
          <w:p w14:paraId="56D13277">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低烟无卤阻燃，燃烧性能满足B1级</w:t>
            </w:r>
          </w:p>
        </w:tc>
      </w:tr>
      <w:tr w14:paraId="56D1327E">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7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2432" w:type="dxa"/>
            <w:tcBorders>
              <w:top w:val="nil"/>
              <w:left w:val="nil"/>
              <w:bottom w:val="single" w:color="000000" w:sz="4" w:space="0"/>
              <w:right w:val="single" w:color="000000" w:sz="4" w:space="0"/>
            </w:tcBorders>
            <w:vAlign w:val="center"/>
          </w:tcPr>
          <w:p w14:paraId="56D1327A">
            <w:pPr>
              <w:widowControl/>
              <w:spacing w:line="276" w:lineRule="auto"/>
              <w:rPr>
                <w:i w:val="0"/>
                <w:iCs w:val="0"/>
                <w:color w:val="auto"/>
                <w:sz w:val="21"/>
                <w:szCs w:val="15"/>
                <w:highlight w:val="none"/>
              </w:rPr>
            </w:pPr>
            <w:r>
              <w:rPr>
                <w:rFonts w:hint="eastAsia"/>
                <w:i w:val="0"/>
                <w:iCs w:val="0"/>
                <w:color w:val="auto"/>
                <w:sz w:val="21"/>
                <w:szCs w:val="15"/>
                <w:highlight w:val="none"/>
              </w:rPr>
              <w:t>WDZBN-YJY-3X2.5mm</w:t>
            </w:r>
            <w:r>
              <w:rPr>
                <w:rFonts w:hint="eastAsia" w:ascii="宋体" w:hAnsi="宋体" w:eastAsia="宋体"/>
                <w:i w:val="0"/>
                <w:iCs w:val="0"/>
                <w:color w:val="auto"/>
                <w:sz w:val="18"/>
                <w:szCs w:val="18"/>
                <w:highlight w:val="none"/>
              </w:rPr>
              <w:t>²</w:t>
            </w:r>
          </w:p>
        </w:tc>
        <w:tc>
          <w:tcPr>
            <w:tcW w:w="699" w:type="dxa"/>
            <w:tcBorders>
              <w:top w:val="nil"/>
              <w:left w:val="nil"/>
              <w:bottom w:val="single" w:color="000000" w:sz="4" w:space="0"/>
              <w:right w:val="single" w:color="000000" w:sz="4" w:space="0"/>
            </w:tcBorders>
            <w:vAlign w:val="center"/>
          </w:tcPr>
          <w:p w14:paraId="56D1327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38" w:type="dxa"/>
            <w:tcBorders>
              <w:top w:val="nil"/>
              <w:left w:val="nil"/>
              <w:bottom w:val="single" w:color="000000" w:sz="4" w:space="0"/>
              <w:right w:val="single" w:color="000000" w:sz="4" w:space="0"/>
            </w:tcBorders>
            <w:vAlign w:val="center"/>
          </w:tcPr>
          <w:p w14:paraId="56D1327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1800</w:t>
            </w:r>
          </w:p>
        </w:tc>
        <w:tc>
          <w:tcPr>
            <w:tcW w:w="3329" w:type="dxa"/>
            <w:tcBorders>
              <w:top w:val="single" w:color="000000" w:sz="4" w:space="0"/>
              <w:left w:val="nil"/>
              <w:bottom w:val="single" w:color="000000" w:sz="4" w:space="0"/>
              <w:right w:val="single" w:color="000000" w:sz="4" w:space="0"/>
            </w:tcBorders>
            <w:vAlign w:val="center"/>
          </w:tcPr>
          <w:p w14:paraId="56D1327D">
            <w:pPr>
              <w:widowControl/>
              <w:spacing w:line="276" w:lineRule="auto"/>
              <w:rPr>
                <w:i w:val="0"/>
                <w:iCs w:val="0"/>
                <w:color w:val="auto"/>
                <w:sz w:val="21"/>
                <w:szCs w:val="15"/>
                <w:highlight w:val="none"/>
              </w:rPr>
            </w:pPr>
            <w:r>
              <w:rPr>
                <w:rFonts w:hint="eastAsia"/>
                <w:i w:val="0"/>
                <w:iCs w:val="0"/>
                <w:color w:val="auto"/>
                <w:sz w:val="21"/>
                <w:szCs w:val="15"/>
                <w:highlight w:val="none"/>
              </w:rPr>
              <w:t>光转、就地控制器电源线</w:t>
            </w:r>
          </w:p>
        </w:tc>
      </w:tr>
      <w:tr w14:paraId="56D13284">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7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2432" w:type="dxa"/>
            <w:tcBorders>
              <w:top w:val="nil"/>
              <w:left w:val="nil"/>
              <w:bottom w:val="single" w:color="000000" w:sz="4" w:space="0"/>
              <w:right w:val="single" w:color="000000" w:sz="4" w:space="0"/>
            </w:tcBorders>
            <w:vAlign w:val="center"/>
          </w:tcPr>
          <w:p w14:paraId="56D13280">
            <w:pPr>
              <w:widowControl/>
              <w:spacing w:line="276" w:lineRule="auto"/>
              <w:rPr>
                <w:i w:val="0"/>
                <w:iCs w:val="0"/>
                <w:color w:val="auto"/>
                <w:sz w:val="21"/>
                <w:szCs w:val="15"/>
                <w:highlight w:val="none"/>
              </w:rPr>
            </w:pPr>
            <w:r>
              <w:rPr>
                <w:i w:val="0"/>
                <w:iCs w:val="0"/>
                <w:color w:val="auto"/>
                <w:sz w:val="21"/>
                <w:szCs w:val="15"/>
                <w:highlight w:val="none"/>
              </w:rPr>
              <w:t>WDZBN-RYSP-4x1.0</w:t>
            </w:r>
          </w:p>
        </w:tc>
        <w:tc>
          <w:tcPr>
            <w:tcW w:w="699" w:type="dxa"/>
            <w:tcBorders>
              <w:top w:val="nil"/>
              <w:left w:val="nil"/>
              <w:bottom w:val="single" w:color="000000" w:sz="4" w:space="0"/>
              <w:right w:val="single" w:color="000000" w:sz="4" w:space="0"/>
            </w:tcBorders>
            <w:vAlign w:val="center"/>
          </w:tcPr>
          <w:p w14:paraId="56D1328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38" w:type="dxa"/>
            <w:tcBorders>
              <w:top w:val="nil"/>
              <w:left w:val="nil"/>
              <w:bottom w:val="single" w:color="000000" w:sz="4" w:space="0"/>
              <w:right w:val="single" w:color="000000" w:sz="4" w:space="0"/>
            </w:tcBorders>
            <w:vAlign w:val="center"/>
          </w:tcPr>
          <w:p w14:paraId="56D1328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1800</w:t>
            </w:r>
          </w:p>
        </w:tc>
        <w:tc>
          <w:tcPr>
            <w:tcW w:w="3329" w:type="dxa"/>
            <w:tcBorders>
              <w:top w:val="single" w:color="000000" w:sz="4" w:space="0"/>
              <w:left w:val="nil"/>
              <w:bottom w:val="single" w:color="000000" w:sz="4" w:space="0"/>
              <w:right w:val="single" w:color="000000" w:sz="4" w:space="0"/>
            </w:tcBorders>
            <w:vAlign w:val="center"/>
          </w:tcPr>
          <w:p w14:paraId="56D13283">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低烟无卤阻燃，燃烧性能满足B1级</w:t>
            </w:r>
          </w:p>
        </w:tc>
      </w:tr>
      <w:tr w14:paraId="56D1328A">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8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2432" w:type="dxa"/>
            <w:tcBorders>
              <w:top w:val="nil"/>
              <w:left w:val="nil"/>
              <w:bottom w:val="single" w:color="000000" w:sz="4" w:space="0"/>
              <w:right w:val="single" w:color="000000" w:sz="4" w:space="0"/>
            </w:tcBorders>
            <w:vAlign w:val="center"/>
          </w:tcPr>
          <w:p w14:paraId="56D13286">
            <w:pPr>
              <w:widowControl/>
              <w:spacing w:line="276" w:lineRule="auto"/>
              <w:rPr>
                <w:i w:val="0"/>
                <w:iCs w:val="0"/>
                <w:color w:val="auto"/>
                <w:sz w:val="21"/>
                <w:szCs w:val="15"/>
                <w:highlight w:val="none"/>
              </w:rPr>
            </w:pPr>
            <w:r>
              <w:rPr>
                <w:i w:val="0"/>
                <w:iCs w:val="0"/>
                <w:color w:val="auto"/>
                <w:sz w:val="21"/>
                <w:szCs w:val="15"/>
                <w:highlight w:val="none"/>
              </w:rPr>
              <w:t>WDZBN-BY-25</w:t>
            </w:r>
          </w:p>
        </w:tc>
        <w:tc>
          <w:tcPr>
            <w:tcW w:w="699" w:type="dxa"/>
            <w:tcBorders>
              <w:top w:val="nil"/>
              <w:left w:val="nil"/>
              <w:bottom w:val="single" w:color="000000" w:sz="4" w:space="0"/>
              <w:right w:val="single" w:color="000000" w:sz="4" w:space="0"/>
            </w:tcBorders>
            <w:vAlign w:val="center"/>
          </w:tcPr>
          <w:p w14:paraId="56D1328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38" w:type="dxa"/>
            <w:tcBorders>
              <w:top w:val="nil"/>
              <w:left w:val="nil"/>
              <w:bottom w:val="single" w:color="000000" w:sz="4" w:space="0"/>
              <w:right w:val="single" w:color="000000" w:sz="4" w:space="0"/>
            </w:tcBorders>
            <w:vAlign w:val="center"/>
          </w:tcPr>
          <w:p w14:paraId="56D1328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2500</w:t>
            </w:r>
          </w:p>
        </w:tc>
        <w:tc>
          <w:tcPr>
            <w:tcW w:w="3329" w:type="dxa"/>
            <w:tcBorders>
              <w:top w:val="single" w:color="000000" w:sz="4" w:space="0"/>
              <w:left w:val="nil"/>
              <w:bottom w:val="single" w:color="000000" w:sz="4" w:space="0"/>
              <w:right w:val="single" w:color="000000" w:sz="4" w:space="0"/>
            </w:tcBorders>
            <w:vAlign w:val="center"/>
          </w:tcPr>
          <w:p w14:paraId="56D13289">
            <w:pPr>
              <w:widowControl/>
              <w:spacing w:line="276" w:lineRule="auto"/>
              <w:rPr>
                <w:i w:val="0"/>
                <w:iCs w:val="0"/>
                <w:color w:val="auto"/>
                <w:sz w:val="21"/>
                <w:szCs w:val="15"/>
                <w:highlight w:val="none"/>
              </w:rPr>
            </w:pPr>
            <w:r>
              <w:rPr>
                <w:rFonts w:hint="eastAsia"/>
                <w:i w:val="0"/>
                <w:iCs w:val="0"/>
                <w:color w:val="auto"/>
                <w:sz w:val="21"/>
                <w:szCs w:val="15"/>
                <w:highlight w:val="none"/>
              </w:rPr>
              <w:t>低烟无卤耐火阻燃</w:t>
            </w:r>
          </w:p>
        </w:tc>
      </w:tr>
      <w:tr w14:paraId="56D13290">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8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7</w:t>
            </w:r>
          </w:p>
        </w:tc>
        <w:tc>
          <w:tcPr>
            <w:tcW w:w="2432" w:type="dxa"/>
            <w:tcBorders>
              <w:top w:val="nil"/>
              <w:left w:val="nil"/>
              <w:bottom w:val="single" w:color="000000" w:sz="4" w:space="0"/>
              <w:right w:val="single" w:color="000000" w:sz="4" w:space="0"/>
            </w:tcBorders>
            <w:vAlign w:val="center"/>
          </w:tcPr>
          <w:p w14:paraId="56D1328C">
            <w:pPr>
              <w:widowControl/>
              <w:spacing w:line="276" w:lineRule="auto"/>
              <w:rPr>
                <w:i w:val="0"/>
                <w:iCs w:val="0"/>
                <w:color w:val="auto"/>
                <w:sz w:val="21"/>
                <w:szCs w:val="15"/>
                <w:highlight w:val="none"/>
              </w:rPr>
            </w:pPr>
            <w:r>
              <w:rPr>
                <w:rFonts w:hint="eastAsia"/>
                <w:i w:val="0"/>
                <w:iCs w:val="0"/>
                <w:color w:val="auto"/>
                <w:sz w:val="21"/>
                <w:szCs w:val="15"/>
                <w:highlight w:val="none"/>
              </w:rPr>
              <w:t>镀锌钢管SC25</w:t>
            </w:r>
          </w:p>
        </w:tc>
        <w:tc>
          <w:tcPr>
            <w:tcW w:w="699" w:type="dxa"/>
            <w:tcBorders>
              <w:top w:val="nil"/>
              <w:left w:val="nil"/>
              <w:bottom w:val="single" w:color="000000" w:sz="4" w:space="0"/>
              <w:right w:val="single" w:color="000000" w:sz="4" w:space="0"/>
            </w:tcBorders>
            <w:vAlign w:val="center"/>
          </w:tcPr>
          <w:p w14:paraId="56D1328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38" w:type="dxa"/>
            <w:tcBorders>
              <w:top w:val="nil"/>
              <w:left w:val="nil"/>
              <w:bottom w:val="single" w:color="000000" w:sz="4" w:space="0"/>
              <w:right w:val="single" w:color="000000" w:sz="4" w:space="0"/>
            </w:tcBorders>
            <w:vAlign w:val="center"/>
          </w:tcPr>
          <w:p w14:paraId="56D1328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4200</w:t>
            </w:r>
          </w:p>
        </w:tc>
        <w:tc>
          <w:tcPr>
            <w:tcW w:w="3329" w:type="dxa"/>
            <w:tcBorders>
              <w:top w:val="single" w:color="000000" w:sz="4" w:space="0"/>
              <w:left w:val="nil"/>
              <w:bottom w:val="single" w:color="000000" w:sz="4" w:space="0"/>
              <w:right w:val="single" w:color="000000" w:sz="4" w:space="0"/>
            </w:tcBorders>
            <w:vAlign w:val="center"/>
          </w:tcPr>
          <w:p w14:paraId="56D1328F">
            <w:pPr>
              <w:widowControl/>
              <w:spacing w:line="276" w:lineRule="auto"/>
              <w:rPr>
                <w:i w:val="0"/>
                <w:iCs w:val="0"/>
                <w:color w:val="auto"/>
                <w:sz w:val="21"/>
                <w:szCs w:val="15"/>
                <w:highlight w:val="none"/>
              </w:rPr>
            </w:pPr>
          </w:p>
        </w:tc>
      </w:tr>
      <w:tr w14:paraId="56D13296">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9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8</w:t>
            </w:r>
          </w:p>
        </w:tc>
        <w:tc>
          <w:tcPr>
            <w:tcW w:w="2432" w:type="dxa"/>
            <w:tcBorders>
              <w:top w:val="nil"/>
              <w:left w:val="nil"/>
              <w:bottom w:val="single" w:color="000000" w:sz="4" w:space="0"/>
              <w:right w:val="single" w:color="000000" w:sz="4" w:space="0"/>
            </w:tcBorders>
            <w:vAlign w:val="center"/>
          </w:tcPr>
          <w:p w14:paraId="56D13292">
            <w:pPr>
              <w:widowControl/>
              <w:spacing w:line="276" w:lineRule="auto"/>
              <w:rPr>
                <w:i w:val="0"/>
                <w:iCs w:val="0"/>
                <w:color w:val="auto"/>
                <w:sz w:val="21"/>
                <w:szCs w:val="15"/>
                <w:highlight w:val="none"/>
              </w:rPr>
            </w:pPr>
            <w:r>
              <w:rPr>
                <w:rFonts w:hint="eastAsia"/>
                <w:i w:val="0"/>
                <w:iCs w:val="0"/>
                <w:color w:val="auto"/>
                <w:sz w:val="21"/>
                <w:szCs w:val="15"/>
                <w:highlight w:val="none"/>
              </w:rPr>
              <w:t>金属软件</w:t>
            </w:r>
          </w:p>
        </w:tc>
        <w:tc>
          <w:tcPr>
            <w:tcW w:w="699" w:type="dxa"/>
            <w:tcBorders>
              <w:top w:val="nil"/>
              <w:left w:val="nil"/>
              <w:bottom w:val="single" w:color="000000" w:sz="4" w:space="0"/>
              <w:right w:val="single" w:color="000000" w:sz="4" w:space="0"/>
            </w:tcBorders>
            <w:vAlign w:val="center"/>
          </w:tcPr>
          <w:p w14:paraId="56D1329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38" w:type="dxa"/>
            <w:tcBorders>
              <w:top w:val="nil"/>
              <w:left w:val="nil"/>
              <w:bottom w:val="single" w:color="000000" w:sz="4" w:space="0"/>
              <w:right w:val="single" w:color="000000" w:sz="4" w:space="0"/>
            </w:tcBorders>
            <w:vAlign w:val="center"/>
          </w:tcPr>
          <w:p w14:paraId="56D1329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4200</w:t>
            </w:r>
          </w:p>
        </w:tc>
        <w:tc>
          <w:tcPr>
            <w:tcW w:w="3329" w:type="dxa"/>
            <w:tcBorders>
              <w:top w:val="single" w:color="000000" w:sz="4" w:space="0"/>
              <w:left w:val="nil"/>
              <w:bottom w:val="single" w:color="000000" w:sz="4" w:space="0"/>
              <w:right w:val="single" w:color="000000" w:sz="4" w:space="0"/>
            </w:tcBorders>
            <w:vAlign w:val="center"/>
          </w:tcPr>
          <w:p w14:paraId="56D13295">
            <w:pPr>
              <w:widowControl/>
              <w:spacing w:line="276" w:lineRule="auto"/>
              <w:rPr>
                <w:i w:val="0"/>
                <w:iCs w:val="0"/>
                <w:color w:val="auto"/>
                <w:sz w:val="21"/>
                <w:szCs w:val="15"/>
                <w:highlight w:val="none"/>
              </w:rPr>
            </w:pPr>
          </w:p>
        </w:tc>
      </w:tr>
      <w:tr w14:paraId="56D1329C">
        <w:tblPrEx>
          <w:tblCellMar>
            <w:top w:w="0" w:type="dxa"/>
            <w:left w:w="108" w:type="dxa"/>
            <w:bottom w:w="0" w:type="dxa"/>
            <w:right w:w="108" w:type="dxa"/>
          </w:tblCellMar>
        </w:tblPrEx>
        <w:trPr>
          <w:trHeight w:val="23" w:hRule="atLeast"/>
          <w:jc w:val="center"/>
        </w:trPr>
        <w:tc>
          <w:tcPr>
            <w:tcW w:w="668" w:type="dxa"/>
            <w:tcBorders>
              <w:top w:val="single" w:color="000000" w:sz="4" w:space="0"/>
              <w:left w:val="single" w:color="000000" w:sz="4" w:space="0"/>
              <w:bottom w:val="single" w:color="000000" w:sz="4" w:space="0"/>
              <w:right w:val="single" w:color="000000" w:sz="4" w:space="0"/>
            </w:tcBorders>
            <w:vAlign w:val="center"/>
          </w:tcPr>
          <w:p w14:paraId="56D1329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9</w:t>
            </w:r>
          </w:p>
        </w:tc>
        <w:tc>
          <w:tcPr>
            <w:tcW w:w="2432" w:type="dxa"/>
            <w:tcBorders>
              <w:top w:val="nil"/>
              <w:left w:val="nil"/>
              <w:bottom w:val="single" w:color="000000" w:sz="4" w:space="0"/>
              <w:right w:val="single" w:color="000000" w:sz="4" w:space="0"/>
            </w:tcBorders>
            <w:vAlign w:val="center"/>
          </w:tcPr>
          <w:p w14:paraId="56D13298">
            <w:pPr>
              <w:widowControl/>
              <w:spacing w:line="276" w:lineRule="auto"/>
              <w:rPr>
                <w:i w:val="0"/>
                <w:iCs w:val="0"/>
                <w:color w:val="auto"/>
                <w:sz w:val="21"/>
                <w:szCs w:val="15"/>
                <w:highlight w:val="none"/>
              </w:rPr>
            </w:pPr>
            <w:r>
              <w:rPr>
                <w:rFonts w:hint="eastAsia"/>
                <w:i w:val="0"/>
                <w:iCs w:val="0"/>
                <w:color w:val="auto"/>
                <w:sz w:val="21"/>
                <w:szCs w:val="15"/>
                <w:highlight w:val="none"/>
              </w:rPr>
              <w:t>施工辅材</w:t>
            </w:r>
          </w:p>
        </w:tc>
        <w:tc>
          <w:tcPr>
            <w:tcW w:w="699" w:type="dxa"/>
            <w:tcBorders>
              <w:top w:val="nil"/>
              <w:left w:val="nil"/>
              <w:bottom w:val="single" w:color="000000" w:sz="4" w:space="0"/>
              <w:right w:val="single" w:color="000000" w:sz="4" w:space="0"/>
            </w:tcBorders>
            <w:vAlign w:val="center"/>
          </w:tcPr>
          <w:p w14:paraId="56D1329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938" w:type="dxa"/>
            <w:tcBorders>
              <w:top w:val="nil"/>
              <w:left w:val="nil"/>
              <w:bottom w:val="single" w:color="000000" w:sz="4" w:space="0"/>
              <w:right w:val="single" w:color="000000" w:sz="4" w:space="0"/>
            </w:tcBorders>
            <w:vAlign w:val="center"/>
          </w:tcPr>
          <w:p w14:paraId="56D1329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329" w:type="dxa"/>
            <w:tcBorders>
              <w:top w:val="single" w:color="000000" w:sz="4" w:space="0"/>
              <w:left w:val="nil"/>
              <w:bottom w:val="single" w:color="000000" w:sz="4" w:space="0"/>
              <w:right w:val="single" w:color="000000" w:sz="4" w:space="0"/>
            </w:tcBorders>
            <w:vAlign w:val="center"/>
          </w:tcPr>
          <w:p w14:paraId="56D1329B">
            <w:pPr>
              <w:widowControl/>
              <w:spacing w:line="276" w:lineRule="auto"/>
              <w:rPr>
                <w:i w:val="0"/>
                <w:iCs w:val="0"/>
                <w:color w:val="auto"/>
                <w:sz w:val="21"/>
                <w:szCs w:val="15"/>
                <w:highlight w:val="none"/>
              </w:rPr>
            </w:pPr>
          </w:p>
        </w:tc>
      </w:tr>
    </w:tbl>
    <w:p w14:paraId="56D1329E">
      <w:pPr>
        <w:pStyle w:val="4"/>
        <w:rPr>
          <w:i w:val="0"/>
          <w:iCs w:val="0"/>
          <w:color w:val="auto"/>
          <w:sz w:val="24"/>
          <w:szCs w:val="21"/>
          <w:highlight w:val="none"/>
        </w:rPr>
      </w:pPr>
      <w:bookmarkStart w:id="366" w:name="_Toc21219"/>
      <w:r>
        <w:rPr>
          <w:rFonts w:hint="eastAsia"/>
          <w:i w:val="0"/>
          <w:iCs w:val="0"/>
          <w:color w:val="auto"/>
          <w:sz w:val="24"/>
          <w:szCs w:val="21"/>
          <w:highlight w:val="none"/>
        </w:rPr>
        <w:t>智能钥匙柜主要设备材料清单</w:t>
      </w:r>
      <w:bookmarkEnd w:id="366"/>
    </w:p>
    <w:p w14:paraId="56D1329F">
      <w:pPr>
        <w:pStyle w:val="5"/>
        <w:ind w:left="0"/>
        <w:rPr>
          <w:i w:val="0"/>
          <w:iCs w:val="0"/>
          <w:color w:val="auto"/>
          <w:sz w:val="22"/>
          <w:szCs w:val="22"/>
          <w:highlight w:val="none"/>
        </w:rPr>
      </w:pPr>
      <w:bookmarkStart w:id="367" w:name="bookmark113"/>
      <w:bookmarkEnd w:id="367"/>
      <w:bookmarkStart w:id="368" w:name="_Toc11520"/>
      <w:r>
        <w:rPr>
          <w:rFonts w:hint="eastAsia"/>
          <w:i w:val="0"/>
          <w:iCs w:val="0"/>
          <w:color w:val="auto"/>
          <w:sz w:val="22"/>
          <w:szCs w:val="22"/>
          <w:highlight w:val="none"/>
          <w:lang w:val="en-US"/>
        </w:rPr>
        <w:t>主要设备表</w:t>
      </w:r>
      <w:bookmarkEnd w:id="368"/>
    </w:p>
    <w:tbl>
      <w:tblPr>
        <w:tblStyle w:val="88"/>
        <w:tblW w:w="7979" w:type="dxa"/>
        <w:jc w:val="center"/>
        <w:tblLayout w:type="autofit"/>
        <w:tblCellMar>
          <w:top w:w="0" w:type="dxa"/>
          <w:left w:w="108" w:type="dxa"/>
          <w:bottom w:w="0" w:type="dxa"/>
          <w:right w:w="108" w:type="dxa"/>
        </w:tblCellMar>
      </w:tblPr>
      <w:tblGrid>
        <w:gridCol w:w="927"/>
        <w:gridCol w:w="1985"/>
        <w:gridCol w:w="850"/>
        <w:gridCol w:w="851"/>
        <w:gridCol w:w="3366"/>
      </w:tblGrid>
      <w:tr w14:paraId="56D132A5">
        <w:tblPrEx>
          <w:tblCellMar>
            <w:top w:w="0" w:type="dxa"/>
            <w:left w:w="108" w:type="dxa"/>
            <w:bottom w:w="0" w:type="dxa"/>
            <w:right w:w="108" w:type="dxa"/>
          </w:tblCellMar>
        </w:tblPrEx>
        <w:trPr>
          <w:trHeight w:val="23" w:hRule="atLeast"/>
          <w:jc w:val="center"/>
        </w:trPr>
        <w:tc>
          <w:tcPr>
            <w:tcW w:w="927" w:type="dxa"/>
            <w:tcBorders>
              <w:top w:val="single" w:color="000000" w:sz="4" w:space="0"/>
              <w:left w:val="single" w:color="000000" w:sz="4" w:space="0"/>
              <w:bottom w:val="single" w:color="000000" w:sz="4" w:space="0"/>
              <w:right w:val="single" w:color="000000" w:sz="4" w:space="0"/>
            </w:tcBorders>
            <w:vAlign w:val="center"/>
          </w:tcPr>
          <w:p w14:paraId="56D132A0">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1985" w:type="dxa"/>
            <w:tcBorders>
              <w:top w:val="single" w:color="000000" w:sz="4" w:space="0"/>
              <w:left w:val="nil"/>
              <w:bottom w:val="single" w:color="000000" w:sz="4" w:space="0"/>
              <w:right w:val="single" w:color="000000" w:sz="4" w:space="0"/>
            </w:tcBorders>
            <w:vAlign w:val="center"/>
          </w:tcPr>
          <w:p w14:paraId="56D132A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设备/功能模块名称</w:t>
            </w:r>
          </w:p>
        </w:tc>
        <w:tc>
          <w:tcPr>
            <w:tcW w:w="850" w:type="dxa"/>
            <w:tcBorders>
              <w:top w:val="single" w:color="000000" w:sz="4" w:space="0"/>
              <w:left w:val="nil"/>
              <w:bottom w:val="single" w:color="000000" w:sz="4" w:space="0"/>
              <w:right w:val="single" w:color="000000" w:sz="4" w:space="0"/>
            </w:tcBorders>
            <w:vAlign w:val="center"/>
          </w:tcPr>
          <w:p w14:paraId="56D132A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851" w:type="dxa"/>
            <w:tcBorders>
              <w:top w:val="single" w:color="000000" w:sz="4" w:space="0"/>
              <w:left w:val="nil"/>
              <w:bottom w:val="single" w:color="000000" w:sz="4" w:space="0"/>
              <w:right w:val="single" w:color="000000" w:sz="4" w:space="0"/>
            </w:tcBorders>
            <w:vAlign w:val="center"/>
          </w:tcPr>
          <w:p w14:paraId="56D132A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366" w:type="dxa"/>
            <w:tcBorders>
              <w:top w:val="single" w:color="000000" w:sz="4" w:space="0"/>
              <w:left w:val="nil"/>
              <w:bottom w:val="nil"/>
              <w:right w:val="single" w:color="000000" w:sz="4" w:space="0"/>
            </w:tcBorders>
            <w:vAlign w:val="center"/>
          </w:tcPr>
          <w:p w14:paraId="56D132A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2AB">
        <w:tblPrEx>
          <w:tblCellMar>
            <w:top w:w="0" w:type="dxa"/>
            <w:left w:w="108" w:type="dxa"/>
            <w:bottom w:w="0" w:type="dxa"/>
            <w:right w:w="108" w:type="dxa"/>
          </w:tblCellMar>
        </w:tblPrEx>
        <w:trPr>
          <w:trHeight w:val="23" w:hRule="atLeast"/>
          <w:jc w:val="center"/>
        </w:trPr>
        <w:tc>
          <w:tcPr>
            <w:tcW w:w="927" w:type="dxa"/>
            <w:tcBorders>
              <w:top w:val="single" w:color="000000" w:sz="4" w:space="0"/>
              <w:left w:val="single" w:color="000000" w:sz="4" w:space="0"/>
              <w:bottom w:val="single" w:color="000000" w:sz="4" w:space="0"/>
              <w:right w:val="single" w:color="000000" w:sz="4" w:space="0"/>
            </w:tcBorders>
            <w:vAlign w:val="center"/>
          </w:tcPr>
          <w:p w14:paraId="56D132A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985" w:type="dxa"/>
            <w:tcBorders>
              <w:top w:val="nil"/>
              <w:left w:val="nil"/>
              <w:bottom w:val="single" w:color="000000" w:sz="4" w:space="0"/>
              <w:right w:val="single" w:color="000000" w:sz="4" w:space="0"/>
            </w:tcBorders>
            <w:vAlign w:val="center"/>
          </w:tcPr>
          <w:p w14:paraId="56D132A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智能钥匙柜</w:t>
            </w:r>
          </w:p>
        </w:tc>
        <w:tc>
          <w:tcPr>
            <w:tcW w:w="850" w:type="dxa"/>
            <w:tcBorders>
              <w:top w:val="single" w:color="000000" w:sz="4" w:space="0"/>
              <w:left w:val="nil"/>
              <w:bottom w:val="single" w:color="000000" w:sz="4" w:space="0"/>
              <w:right w:val="single" w:color="000000" w:sz="4" w:space="0"/>
            </w:tcBorders>
            <w:vAlign w:val="center"/>
          </w:tcPr>
          <w:p w14:paraId="56D132A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个</w:t>
            </w:r>
          </w:p>
        </w:tc>
        <w:tc>
          <w:tcPr>
            <w:tcW w:w="851" w:type="dxa"/>
            <w:tcBorders>
              <w:top w:val="single" w:color="000000" w:sz="4" w:space="0"/>
              <w:left w:val="nil"/>
              <w:bottom w:val="single" w:color="000000" w:sz="4" w:space="0"/>
              <w:right w:val="single" w:color="000000" w:sz="4" w:space="0"/>
            </w:tcBorders>
            <w:vAlign w:val="center"/>
          </w:tcPr>
          <w:p w14:paraId="56D132A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3366" w:type="dxa"/>
            <w:tcBorders>
              <w:top w:val="single" w:color="000000" w:sz="4" w:space="0"/>
              <w:left w:val="nil"/>
              <w:bottom w:val="single" w:color="000000" w:sz="4" w:space="0"/>
              <w:right w:val="single" w:color="000000" w:sz="4" w:space="0"/>
            </w:tcBorders>
            <w:vAlign w:val="center"/>
          </w:tcPr>
          <w:p w14:paraId="56D132AA">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2个试点站黄花机场T1T2站、湖南工商大学站，</w:t>
            </w:r>
            <w:r>
              <w:rPr>
                <w:rFonts w:hint="eastAsia"/>
                <w:i w:val="0"/>
                <w:iCs w:val="0"/>
                <w:color w:val="auto"/>
                <w:sz w:val="21"/>
                <w:szCs w:val="15"/>
                <w:highlight w:val="none"/>
                <w:lang w:val="en-US" w:eastAsia="zh-CN"/>
              </w:rPr>
              <w:t>硬件</w:t>
            </w:r>
            <w:r>
              <w:rPr>
                <w:rFonts w:hint="eastAsia"/>
                <w:i w:val="0"/>
                <w:iCs w:val="0"/>
                <w:color w:val="auto"/>
                <w:sz w:val="21"/>
                <w:szCs w:val="15"/>
                <w:highlight w:val="none"/>
              </w:rPr>
              <w:t>含管理软件</w:t>
            </w:r>
            <w:r>
              <w:rPr>
                <w:rFonts w:hint="eastAsia"/>
                <w:i w:val="0"/>
                <w:iCs w:val="0"/>
                <w:color w:val="auto"/>
                <w:sz w:val="21"/>
                <w:szCs w:val="15"/>
                <w:highlight w:val="none"/>
                <w:lang w:eastAsia="zh-CN"/>
              </w:rPr>
              <w:t>。</w:t>
            </w:r>
          </w:p>
        </w:tc>
      </w:tr>
      <w:tr w14:paraId="56D132B1">
        <w:tblPrEx>
          <w:tblCellMar>
            <w:top w:w="0" w:type="dxa"/>
            <w:left w:w="108" w:type="dxa"/>
            <w:bottom w:w="0" w:type="dxa"/>
            <w:right w:w="108" w:type="dxa"/>
          </w:tblCellMar>
        </w:tblPrEx>
        <w:trPr>
          <w:trHeight w:val="23" w:hRule="atLeast"/>
          <w:jc w:val="center"/>
        </w:trPr>
        <w:tc>
          <w:tcPr>
            <w:tcW w:w="927" w:type="dxa"/>
            <w:tcBorders>
              <w:top w:val="single" w:color="000000" w:sz="4" w:space="0"/>
              <w:left w:val="single" w:color="000000" w:sz="4" w:space="0"/>
              <w:bottom w:val="single" w:color="000000" w:sz="4" w:space="0"/>
              <w:right w:val="single" w:color="000000" w:sz="4" w:space="0"/>
            </w:tcBorders>
            <w:vAlign w:val="center"/>
          </w:tcPr>
          <w:p w14:paraId="56D132A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1985" w:type="dxa"/>
            <w:tcBorders>
              <w:top w:val="nil"/>
              <w:left w:val="nil"/>
              <w:bottom w:val="single" w:color="000000" w:sz="4" w:space="0"/>
              <w:right w:val="single" w:color="000000" w:sz="4" w:space="0"/>
            </w:tcBorders>
            <w:vAlign w:val="center"/>
          </w:tcPr>
          <w:p w14:paraId="56D132A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与门禁系统接口</w:t>
            </w:r>
          </w:p>
        </w:tc>
        <w:tc>
          <w:tcPr>
            <w:tcW w:w="850" w:type="dxa"/>
            <w:tcBorders>
              <w:top w:val="single" w:color="000000" w:sz="4" w:space="0"/>
              <w:left w:val="nil"/>
              <w:bottom w:val="single" w:color="000000" w:sz="4" w:space="0"/>
              <w:right w:val="single" w:color="000000" w:sz="4" w:space="0"/>
            </w:tcBorders>
            <w:vAlign w:val="center"/>
          </w:tcPr>
          <w:p w14:paraId="56D132A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51" w:type="dxa"/>
            <w:tcBorders>
              <w:top w:val="single" w:color="000000" w:sz="4" w:space="0"/>
              <w:left w:val="nil"/>
              <w:bottom w:val="single" w:color="000000" w:sz="4" w:space="0"/>
              <w:right w:val="single" w:color="000000" w:sz="4" w:space="0"/>
            </w:tcBorders>
            <w:vAlign w:val="center"/>
          </w:tcPr>
          <w:p w14:paraId="56D132A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366" w:type="dxa"/>
            <w:tcBorders>
              <w:top w:val="single" w:color="000000" w:sz="4" w:space="0"/>
              <w:left w:val="nil"/>
              <w:bottom w:val="single" w:color="000000" w:sz="4" w:space="0"/>
              <w:right w:val="single" w:color="000000" w:sz="4" w:space="0"/>
            </w:tcBorders>
            <w:vAlign w:val="center"/>
          </w:tcPr>
          <w:p w14:paraId="56D132B0">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2B7">
        <w:tblPrEx>
          <w:tblCellMar>
            <w:top w:w="0" w:type="dxa"/>
            <w:left w:w="108" w:type="dxa"/>
            <w:bottom w:w="0" w:type="dxa"/>
            <w:right w:w="108" w:type="dxa"/>
          </w:tblCellMar>
        </w:tblPrEx>
        <w:trPr>
          <w:trHeight w:val="23" w:hRule="atLeast"/>
          <w:jc w:val="center"/>
        </w:trPr>
        <w:tc>
          <w:tcPr>
            <w:tcW w:w="927" w:type="dxa"/>
            <w:tcBorders>
              <w:top w:val="single" w:color="000000" w:sz="4" w:space="0"/>
              <w:left w:val="single" w:color="000000" w:sz="4" w:space="0"/>
              <w:bottom w:val="single" w:color="000000" w:sz="4" w:space="0"/>
              <w:right w:val="single" w:color="000000" w:sz="4" w:space="0"/>
            </w:tcBorders>
            <w:vAlign w:val="center"/>
          </w:tcPr>
          <w:p w14:paraId="56D132B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1985" w:type="dxa"/>
            <w:tcBorders>
              <w:top w:val="nil"/>
              <w:left w:val="nil"/>
              <w:bottom w:val="single" w:color="000000" w:sz="4" w:space="0"/>
              <w:right w:val="single" w:color="000000" w:sz="4" w:space="0"/>
            </w:tcBorders>
            <w:vAlign w:val="center"/>
          </w:tcPr>
          <w:p w14:paraId="56D132B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与管控平台接口</w:t>
            </w:r>
          </w:p>
        </w:tc>
        <w:tc>
          <w:tcPr>
            <w:tcW w:w="850" w:type="dxa"/>
            <w:tcBorders>
              <w:top w:val="single" w:color="000000" w:sz="4" w:space="0"/>
              <w:left w:val="nil"/>
              <w:bottom w:val="single" w:color="000000" w:sz="4" w:space="0"/>
              <w:right w:val="single" w:color="000000" w:sz="4" w:space="0"/>
            </w:tcBorders>
            <w:vAlign w:val="center"/>
          </w:tcPr>
          <w:p w14:paraId="56D132B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51" w:type="dxa"/>
            <w:tcBorders>
              <w:top w:val="single" w:color="000000" w:sz="4" w:space="0"/>
              <w:left w:val="nil"/>
              <w:bottom w:val="single" w:color="000000" w:sz="4" w:space="0"/>
              <w:right w:val="single" w:color="000000" w:sz="4" w:space="0"/>
            </w:tcBorders>
            <w:vAlign w:val="center"/>
          </w:tcPr>
          <w:p w14:paraId="56D132B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366" w:type="dxa"/>
            <w:tcBorders>
              <w:top w:val="single" w:color="000000" w:sz="4" w:space="0"/>
              <w:left w:val="nil"/>
              <w:bottom w:val="single" w:color="000000" w:sz="4" w:space="0"/>
              <w:right w:val="single" w:color="000000" w:sz="4" w:space="0"/>
            </w:tcBorders>
            <w:vAlign w:val="center"/>
          </w:tcPr>
          <w:p w14:paraId="56D132B6">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2BD">
        <w:tblPrEx>
          <w:tblCellMar>
            <w:top w:w="0" w:type="dxa"/>
            <w:left w:w="108" w:type="dxa"/>
            <w:bottom w:w="0" w:type="dxa"/>
            <w:right w:w="108" w:type="dxa"/>
          </w:tblCellMar>
        </w:tblPrEx>
        <w:trPr>
          <w:trHeight w:val="23" w:hRule="atLeast"/>
          <w:jc w:val="center"/>
        </w:trPr>
        <w:tc>
          <w:tcPr>
            <w:tcW w:w="927" w:type="dxa"/>
            <w:tcBorders>
              <w:top w:val="single" w:color="000000" w:sz="4" w:space="0"/>
              <w:left w:val="single" w:color="000000" w:sz="4" w:space="0"/>
              <w:bottom w:val="single" w:color="000000" w:sz="4" w:space="0"/>
              <w:right w:val="single" w:color="000000" w:sz="4" w:space="0"/>
            </w:tcBorders>
            <w:vAlign w:val="center"/>
          </w:tcPr>
          <w:p w14:paraId="56D132B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1985" w:type="dxa"/>
            <w:tcBorders>
              <w:top w:val="single" w:color="000000" w:sz="4" w:space="0"/>
              <w:left w:val="single" w:color="000000" w:sz="4" w:space="0"/>
              <w:bottom w:val="single" w:color="000000" w:sz="4" w:space="0"/>
              <w:right w:val="single" w:color="000000" w:sz="4" w:space="0"/>
            </w:tcBorders>
            <w:vAlign w:val="center"/>
          </w:tcPr>
          <w:p w14:paraId="56D132B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管控平台页面集成</w:t>
            </w:r>
          </w:p>
        </w:tc>
        <w:tc>
          <w:tcPr>
            <w:tcW w:w="850" w:type="dxa"/>
            <w:tcBorders>
              <w:top w:val="single" w:color="000000" w:sz="4" w:space="0"/>
              <w:left w:val="nil"/>
              <w:bottom w:val="single" w:color="000000" w:sz="4" w:space="0"/>
              <w:right w:val="single" w:color="000000" w:sz="4" w:space="0"/>
            </w:tcBorders>
            <w:vAlign w:val="center"/>
          </w:tcPr>
          <w:p w14:paraId="56D132B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51" w:type="dxa"/>
            <w:tcBorders>
              <w:top w:val="single" w:color="000000" w:sz="4" w:space="0"/>
              <w:left w:val="nil"/>
              <w:bottom w:val="single" w:color="000000" w:sz="4" w:space="0"/>
              <w:right w:val="single" w:color="000000" w:sz="4" w:space="0"/>
            </w:tcBorders>
            <w:vAlign w:val="center"/>
          </w:tcPr>
          <w:p w14:paraId="56D132B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366" w:type="dxa"/>
            <w:tcBorders>
              <w:top w:val="single" w:color="000000" w:sz="4" w:space="0"/>
              <w:left w:val="nil"/>
              <w:bottom w:val="single" w:color="000000" w:sz="4" w:space="0"/>
              <w:right w:val="single" w:color="000000" w:sz="4" w:space="0"/>
            </w:tcBorders>
            <w:vAlign w:val="center"/>
          </w:tcPr>
          <w:p w14:paraId="56D132BC">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2C3">
        <w:tblPrEx>
          <w:tblCellMar>
            <w:top w:w="0" w:type="dxa"/>
            <w:left w:w="108" w:type="dxa"/>
            <w:bottom w:w="0" w:type="dxa"/>
            <w:right w:w="108" w:type="dxa"/>
          </w:tblCellMar>
        </w:tblPrEx>
        <w:trPr>
          <w:trHeight w:val="23" w:hRule="atLeast"/>
          <w:jc w:val="center"/>
        </w:trPr>
        <w:tc>
          <w:tcPr>
            <w:tcW w:w="927" w:type="dxa"/>
            <w:tcBorders>
              <w:top w:val="single" w:color="000000" w:sz="4" w:space="0"/>
              <w:left w:val="single" w:color="000000" w:sz="4" w:space="0"/>
              <w:bottom w:val="single" w:color="000000" w:sz="4" w:space="0"/>
              <w:right w:val="single" w:color="000000" w:sz="4" w:space="0"/>
            </w:tcBorders>
            <w:vAlign w:val="center"/>
          </w:tcPr>
          <w:p w14:paraId="56D132B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1985" w:type="dxa"/>
            <w:tcBorders>
              <w:top w:val="single" w:color="000000" w:sz="4" w:space="0"/>
              <w:left w:val="single" w:color="000000" w:sz="4" w:space="0"/>
              <w:bottom w:val="single" w:color="000000" w:sz="4" w:space="0"/>
              <w:right w:val="single" w:color="000000" w:sz="4" w:space="0"/>
            </w:tcBorders>
            <w:vAlign w:val="center"/>
          </w:tcPr>
          <w:p w14:paraId="56D132B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光电转换器</w:t>
            </w:r>
          </w:p>
        </w:tc>
        <w:tc>
          <w:tcPr>
            <w:tcW w:w="850" w:type="dxa"/>
            <w:tcBorders>
              <w:top w:val="single" w:color="000000" w:sz="4" w:space="0"/>
              <w:left w:val="nil"/>
              <w:bottom w:val="single" w:color="000000" w:sz="4" w:space="0"/>
              <w:right w:val="single" w:color="000000" w:sz="4" w:space="0"/>
            </w:tcBorders>
            <w:vAlign w:val="center"/>
          </w:tcPr>
          <w:p w14:paraId="56D132C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851" w:type="dxa"/>
            <w:tcBorders>
              <w:top w:val="single" w:color="000000" w:sz="4" w:space="0"/>
              <w:left w:val="nil"/>
              <w:bottom w:val="single" w:color="000000" w:sz="4" w:space="0"/>
              <w:right w:val="single" w:color="000000" w:sz="4" w:space="0"/>
            </w:tcBorders>
            <w:vAlign w:val="center"/>
          </w:tcPr>
          <w:p w14:paraId="56D132C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366" w:type="dxa"/>
            <w:tcBorders>
              <w:top w:val="single" w:color="000000" w:sz="4" w:space="0"/>
              <w:left w:val="nil"/>
              <w:bottom w:val="single" w:color="000000" w:sz="4" w:space="0"/>
              <w:right w:val="single" w:color="000000" w:sz="4" w:space="0"/>
            </w:tcBorders>
            <w:vAlign w:val="center"/>
          </w:tcPr>
          <w:p w14:paraId="56D132C2">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bl>
    <w:p w14:paraId="56D132C4">
      <w:pPr>
        <w:pStyle w:val="5"/>
        <w:ind w:left="0"/>
        <w:rPr>
          <w:i w:val="0"/>
          <w:iCs w:val="0"/>
          <w:color w:val="auto"/>
          <w:sz w:val="22"/>
          <w:szCs w:val="22"/>
          <w:highlight w:val="none"/>
        </w:rPr>
      </w:pPr>
      <w:bookmarkStart w:id="369" w:name="bookmark114"/>
      <w:bookmarkEnd w:id="369"/>
      <w:bookmarkStart w:id="370" w:name="_Toc12119"/>
      <w:r>
        <w:rPr>
          <w:rFonts w:hint="eastAsia"/>
          <w:i w:val="0"/>
          <w:iCs w:val="0"/>
          <w:color w:val="auto"/>
          <w:sz w:val="22"/>
          <w:szCs w:val="22"/>
          <w:highlight w:val="none"/>
          <w:lang w:val="en-US"/>
        </w:rPr>
        <w:t>主要材料表</w:t>
      </w:r>
      <w:bookmarkEnd w:id="370"/>
    </w:p>
    <w:tbl>
      <w:tblPr>
        <w:tblStyle w:val="88"/>
        <w:tblW w:w="0" w:type="auto"/>
        <w:jc w:val="center"/>
        <w:tblLayout w:type="fixed"/>
        <w:tblCellMar>
          <w:top w:w="0" w:type="dxa"/>
          <w:left w:w="0" w:type="dxa"/>
          <w:bottom w:w="0" w:type="dxa"/>
          <w:right w:w="0" w:type="dxa"/>
        </w:tblCellMar>
      </w:tblPr>
      <w:tblGrid>
        <w:gridCol w:w="930"/>
        <w:gridCol w:w="2350"/>
        <w:gridCol w:w="540"/>
        <w:gridCol w:w="600"/>
        <w:gridCol w:w="3550"/>
      </w:tblGrid>
      <w:tr w14:paraId="56D132CA">
        <w:tblPrEx>
          <w:tblCellMar>
            <w:top w:w="0" w:type="dxa"/>
            <w:left w:w="0" w:type="dxa"/>
            <w:bottom w:w="0" w:type="dxa"/>
            <w:right w:w="0" w:type="dxa"/>
          </w:tblCellMar>
        </w:tblPrEx>
        <w:trPr>
          <w:trHeight w:val="23" w:hRule="atLeast"/>
          <w:jc w:val="center"/>
        </w:trPr>
        <w:tc>
          <w:tcPr>
            <w:tcW w:w="930" w:type="dxa"/>
            <w:tcBorders>
              <w:top w:val="single" w:color="000000" w:sz="4" w:space="0"/>
              <w:left w:val="single" w:color="000000" w:sz="4" w:space="0"/>
              <w:bottom w:val="single" w:color="000000" w:sz="4" w:space="0"/>
              <w:right w:val="single" w:color="000000" w:sz="4" w:space="0"/>
            </w:tcBorders>
          </w:tcPr>
          <w:p w14:paraId="56D132C5">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2350" w:type="dxa"/>
            <w:tcBorders>
              <w:top w:val="single" w:color="000000" w:sz="4" w:space="0"/>
              <w:left w:val="nil"/>
              <w:bottom w:val="single" w:color="000000" w:sz="4" w:space="0"/>
              <w:right w:val="single" w:color="000000" w:sz="4" w:space="0"/>
            </w:tcBorders>
          </w:tcPr>
          <w:p w14:paraId="56D132C6">
            <w:pPr>
              <w:widowControl/>
              <w:spacing w:line="276" w:lineRule="auto"/>
              <w:rPr>
                <w:i w:val="0"/>
                <w:iCs w:val="0"/>
                <w:color w:val="auto"/>
                <w:sz w:val="21"/>
                <w:szCs w:val="15"/>
                <w:highlight w:val="none"/>
              </w:rPr>
            </w:pPr>
            <w:r>
              <w:rPr>
                <w:rFonts w:hint="eastAsia"/>
                <w:i w:val="0"/>
                <w:iCs w:val="0"/>
                <w:color w:val="auto"/>
                <w:sz w:val="21"/>
                <w:szCs w:val="15"/>
                <w:highlight w:val="none"/>
              </w:rPr>
              <w:t>名称及规格</w:t>
            </w:r>
          </w:p>
        </w:tc>
        <w:tc>
          <w:tcPr>
            <w:tcW w:w="540" w:type="dxa"/>
            <w:tcBorders>
              <w:top w:val="single" w:color="000000" w:sz="4" w:space="0"/>
              <w:left w:val="nil"/>
              <w:bottom w:val="single" w:color="000000" w:sz="4" w:space="0"/>
              <w:right w:val="single" w:color="000000" w:sz="4" w:space="0"/>
            </w:tcBorders>
          </w:tcPr>
          <w:p w14:paraId="56D132C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600" w:type="dxa"/>
            <w:tcBorders>
              <w:top w:val="single" w:color="000000" w:sz="4" w:space="0"/>
              <w:left w:val="nil"/>
              <w:bottom w:val="single" w:color="000000" w:sz="4" w:space="0"/>
              <w:right w:val="single" w:color="000000" w:sz="4" w:space="0"/>
            </w:tcBorders>
          </w:tcPr>
          <w:p w14:paraId="56D132C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550" w:type="dxa"/>
            <w:tcBorders>
              <w:top w:val="single" w:color="000000" w:sz="4" w:space="0"/>
              <w:left w:val="nil"/>
              <w:bottom w:val="single" w:color="000000" w:sz="4" w:space="0"/>
              <w:right w:val="single" w:color="000000" w:sz="4" w:space="0"/>
            </w:tcBorders>
          </w:tcPr>
          <w:p w14:paraId="56D132C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2D0">
        <w:tblPrEx>
          <w:tblCellMar>
            <w:top w:w="0" w:type="dxa"/>
            <w:left w:w="0" w:type="dxa"/>
            <w:bottom w:w="0" w:type="dxa"/>
            <w:right w:w="0" w:type="dxa"/>
          </w:tblCellMar>
        </w:tblPrEx>
        <w:trPr>
          <w:trHeight w:val="23" w:hRule="atLeast"/>
          <w:jc w:val="center"/>
        </w:trPr>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2C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350" w:type="dxa"/>
            <w:tcBorders>
              <w:top w:val="single" w:color="000000" w:sz="4" w:space="0"/>
              <w:left w:val="nil"/>
              <w:bottom w:val="single" w:color="000000" w:sz="4" w:space="0"/>
              <w:right w:val="single" w:color="000000" w:sz="4" w:space="0"/>
            </w:tcBorders>
            <w:shd w:val="clear" w:color="auto" w:fill="auto"/>
            <w:vAlign w:val="center"/>
          </w:tcPr>
          <w:p w14:paraId="56D132CC">
            <w:pPr>
              <w:widowControl/>
              <w:spacing w:line="276" w:lineRule="auto"/>
              <w:rPr>
                <w:i w:val="0"/>
                <w:iCs w:val="0"/>
                <w:color w:val="auto"/>
                <w:sz w:val="21"/>
                <w:szCs w:val="15"/>
                <w:highlight w:val="none"/>
              </w:rPr>
            </w:pPr>
            <w:r>
              <w:rPr>
                <w:rFonts w:hint="eastAsia"/>
                <w:i w:val="0"/>
                <w:iCs w:val="0"/>
                <w:color w:val="auto"/>
                <w:sz w:val="21"/>
                <w:szCs w:val="15"/>
                <w:highlight w:val="none"/>
              </w:rPr>
              <w:t>WDZBN-YJY-3X2.5mm²</w:t>
            </w:r>
          </w:p>
        </w:tc>
        <w:tc>
          <w:tcPr>
            <w:tcW w:w="540" w:type="dxa"/>
            <w:tcBorders>
              <w:top w:val="single" w:color="000000" w:sz="4" w:space="0"/>
              <w:left w:val="nil"/>
              <w:bottom w:val="single" w:color="000000" w:sz="4" w:space="0"/>
              <w:right w:val="single" w:color="000000" w:sz="4" w:space="0"/>
            </w:tcBorders>
            <w:shd w:val="clear" w:color="auto" w:fill="auto"/>
            <w:vAlign w:val="center"/>
          </w:tcPr>
          <w:p w14:paraId="56D132C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600" w:type="dxa"/>
            <w:tcBorders>
              <w:top w:val="single" w:color="000000" w:sz="4" w:space="0"/>
              <w:left w:val="nil"/>
              <w:bottom w:val="single" w:color="000000" w:sz="4" w:space="0"/>
              <w:right w:val="single" w:color="000000" w:sz="4" w:space="0"/>
            </w:tcBorders>
            <w:shd w:val="clear" w:color="auto" w:fill="auto"/>
            <w:vAlign w:val="center"/>
          </w:tcPr>
          <w:p w14:paraId="56D132C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200</w:t>
            </w:r>
          </w:p>
        </w:tc>
        <w:tc>
          <w:tcPr>
            <w:tcW w:w="3550" w:type="dxa"/>
            <w:tcBorders>
              <w:top w:val="single" w:color="000000" w:sz="4" w:space="0"/>
              <w:left w:val="nil"/>
              <w:bottom w:val="single" w:color="000000" w:sz="4" w:space="0"/>
              <w:right w:val="single" w:color="000000" w:sz="4" w:space="0"/>
            </w:tcBorders>
            <w:vAlign w:val="center"/>
          </w:tcPr>
          <w:p w14:paraId="56D132CF">
            <w:pPr>
              <w:widowControl/>
              <w:spacing w:line="276" w:lineRule="auto"/>
              <w:rPr>
                <w:i w:val="0"/>
                <w:iCs w:val="0"/>
                <w:color w:val="auto"/>
                <w:sz w:val="21"/>
                <w:szCs w:val="15"/>
                <w:highlight w:val="none"/>
              </w:rPr>
            </w:pPr>
            <w:r>
              <w:rPr>
                <w:rFonts w:hint="eastAsia"/>
                <w:i w:val="0"/>
                <w:iCs w:val="0"/>
                <w:color w:val="auto"/>
                <w:sz w:val="21"/>
                <w:szCs w:val="15"/>
                <w:highlight w:val="none"/>
              </w:rPr>
              <w:t>电源线，低烟无卤阻燃耐火，燃烧性能满足BI级</w:t>
            </w:r>
          </w:p>
        </w:tc>
      </w:tr>
      <w:tr w14:paraId="56D132D6">
        <w:tblPrEx>
          <w:tblCellMar>
            <w:top w:w="0" w:type="dxa"/>
            <w:left w:w="0" w:type="dxa"/>
            <w:bottom w:w="0" w:type="dxa"/>
            <w:right w:w="0" w:type="dxa"/>
          </w:tblCellMar>
        </w:tblPrEx>
        <w:trPr>
          <w:trHeight w:val="23" w:hRule="atLeast"/>
          <w:jc w:val="center"/>
        </w:trPr>
        <w:tc>
          <w:tcPr>
            <w:tcW w:w="9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2D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350" w:type="dxa"/>
            <w:tcBorders>
              <w:top w:val="single" w:color="000000" w:sz="4" w:space="0"/>
              <w:left w:val="nil"/>
              <w:bottom w:val="single" w:color="000000" w:sz="4" w:space="0"/>
              <w:right w:val="single" w:color="000000" w:sz="4" w:space="0"/>
            </w:tcBorders>
            <w:shd w:val="clear" w:color="auto" w:fill="auto"/>
            <w:vAlign w:val="center"/>
          </w:tcPr>
          <w:p w14:paraId="56D132D2">
            <w:pPr>
              <w:widowControl/>
              <w:spacing w:line="276" w:lineRule="auto"/>
              <w:rPr>
                <w:i w:val="0"/>
                <w:iCs w:val="0"/>
                <w:color w:val="auto"/>
                <w:sz w:val="21"/>
                <w:szCs w:val="15"/>
                <w:highlight w:val="none"/>
              </w:rPr>
            </w:pPr>
            <w:r>
              <w:rPr>
                <w:rFonts w:hint="eastAsia"/>
                <w:i w:val="0"/>
                <w:iCs w:val="0"/>
                <w:color w:val="auto"/>
                <w:sz w:val="21"/>
                <w:szCs w:val="15"/>
                <w:highlight w:val="none"/>
              </w:rPr>
              <w:t>4芯单模光纤</w:t>
            </w:r>
          </w:p>
        </w:tc>
        <w:tc>
          <w:tcPr>
            <w:tcW w:w="540" w:type="dxa"/>
            <w:tcBorders>
              <w:top w:val="single" w:color="000000" w:sz="4" w:space="0"/>
              <w:left w:val="nil"/>
              <w:bottom w:val="single" w:color="000000" w:sz="4" w:space="0"/>
              <w:right w:val="single" w:color="000000" w:sz="4" w:space="0"/>
            </w:tcBorders>
            <w:shd w:val="clear" w:color="auto" w:fill="auto"/>
            <w:vAlign w:val="center"/>
          </w:tcPr>
          <w:p w14:paraId="56D132D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600" w:type="dxa"/>
            <w:tcBorders>
              <w:top w:val="single" w:color="000000" w:sz="4" w:space="0"/>
              <w:left w:val="nil"/>
              <w:bottom w:val="single" w:color="000000" w:sz="4" w:space="0"/>
              <w:right w:val="single" w:color="000000" w:sz="4" w:space="0"/>
            </w:tcBorders>
            <w:shd w:val="clear" w:color="auto" w:fill="auto"/>
            <w:vAlign w:val="center"/>
          </w:tcPr>
          <w:p w14:paraId="56D132D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120</w:t>
            </w:r>
          </w:p>
        </w:tc>
        <w:tc>
          <w:tcPr>
            <w:tcW w:w="3550" w:type="dxa"/>
            <w:tcBorders>
              <w:top w:val="single" w:color="000000" w:sz="4" w:space="0"/>
              <w:left w:val="nil"/>
              <w:bottom w:val="single" w:color="000000" w:sz="4" w:space="0"/>
              <w:right w:val="single" w:color="000000" w:sz="4" w:space="0"/>
            </w:tcBorders>
            <w:vAlign w:val="center"/>
          </w:tcPr>
          <w:p w14:paraId="56D132D5">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w:t>
            </w:r>
          </w:p>
        </w:tc>
      </w:tr>
      <w:tr w14:paraId="56D132DC">
        <w:tblPrEx>
          <w:tblCellMar>
            <w:top w:w="0" w:type="dxa"/>
            <w:left w:w="0" w:type="dxa"/>
            <w:bottom w:w="0" w:type="dxa"/>
            <w:right w:w="0" w:type="dxa"/>
          </w:tblCellMar>
        </w:tblPrEx>
        <w:trPr>
          <w:trHeight w:val="23" w:hRule="atLeast"/>
          <w:jc w:val="center"/>
        </w:trPr>
        <w:tc>
          <w:tcPr>
            <w:tcW w:w="930" w:type="dxa"/>
            <w:tcBorders>
              <w:top w:val="single" w:color="000000" w:sz="4" w:space="0"/>
              <w:left w:val="single" w:color="000000" w:sz="4" w:space="0"/>
              <w:bottom w:val="single" w:color="000000" w:sz="4" w:space="0"/>
              <w:right w:val="single" w:color="000000" w:sz="4" w:space="0"/>
            </w:tcBorders>
          </w:tcPr>
          <w:p w14:paraId="56D132D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350" w:type="dxa"/>
            <w:tcBorders>
              <w:top w:val="single" w:color="000000" w:sz="4" w:space="0"/>
              <w:left w:val="nil"/>
              <w:bottom w:val="single" w:color="000000" w:sz="4" w:space="0"/>
              <w:right w:val="single" w:color="000000" w:sz="4" w:space="0"/>
            </w:tcBorders>
            <w:shd w:val="clear" w:color="auto" w:fill="auto"/>
          </w:tcPr>
          <w:p w14:paraId="56D132D8">
            <w:pPr>
              <w:widowControl/>
              <w:spacing w:line="276" w:lineRule="auto"/>
              <w:rPr>
                <w:i w:val="0"/>
                <w:iCs w:val="0"/>
                <w:color w:val="auto"/>
                <w:sz w:val="21"/>
                <w:szCs w:val="15"/>
                <w:highlight w:val="none"/>
              </w:rPr>
            </w:pPr>
            <w:r>
              <w:rPr>
                <w:rFonts w:hint="eastAsia"/>
                <w:i w:val="0"/>
                <w:iCs w:val="0"/>
                <w:color w:val="auto"/>
                <w:sz w:val="21"/>
                <w:szCs w:val="15"/>
                <w:highlight w:val="none"/>
              </w:rPr>
              <w:t>超五类屏蔽双绞线</w:t>
            </w:r>
          </w:p>
        </w:tc>
        <w:tc>
          <w:tcPr>
            <w:tcW w:w="540" w:type="dxa"/>
            <w:tcBorders>
              <w:top w:val="single" w:color="000000" w:sz="4" w:space="0"/>
              <w:left w:val="nil"/>
              <w:bottom w:val="single" w:color="000000" w:sz="4" w:space="0"/>
              <w:right w:val="single" w:color="000000" w:sz="4" w:space="0"/>
            </w:tcBorders>
            <w:shd w:val="clear" w:color="auto" w:fill="auto"/>
          </w:tcPr>
          <w:p w14:paraId="56D132D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600" w:type="dxa"/>
            <w:tcBorders>
              <w:top w:val="single" w:color="000000" w:sz="4" w:space="0"/>
              <w:left w:val="nil"/>
              <w:bottom w:val="single" w:color="000000" w:sz="4" w:space="0"/>
              <w:right w:val="single" w:color="000000" w:sz="4" w:space="0"/>
            </w:tcBorders>
            <w:shd w:val="clear" w:color="auto" w:fill="auto"/>
          </w:tcPr>
          <w:p w14:paraId="56D132D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70</w:t>
            </w:r>
          </w:p>
        </w:tc>
        <w:tc>
          <w:tcPr>
            <w:tcW w:w="3550" w:type="dxa"/>
            <w:tcBorders>
              <w:top w:val="single" w:color="000000" w:sz="4" w:space="0"/>
              <w:left w:val="nil"/>
              <w:bottom w:val="single" w:color="000000" w:sz="4" w:space="0"/>
              <w:right w:val="single" w:color="000000" w:sz="4" w:space="0"/>
            </w:tcBorders>
          </w:tcPr>
          <w:p w14:paraId="56D132DB">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低烟无卤阻燃，燃烧性能满足B1级</w:t>
            </w:r>
          </w:p>
        </w:tc>
      </w:tr>
    </w:tbl>
    <w:p w14:paraId="56D132DE">
      <w:pPr>
        <w:pStyle w:val="4"/>
        <w:rPr>
          <w:i w:val="0"/>
          <w:iCs w:val="0"/>
          <w:color w:val="auto"/>
          <w:sz w:val="24"/>
          <w:szCs w:val="21"/>
          <w:highlight w:val="none"/>
        </w:rPr>
      </w:pPr>
      <w:bookmarkStart w:id="371" w:name="_Toc32571"/>
      <w:r>
        <w:rPr>
          <w:rFonts w:hint="eastAsia"/>
          <w:i w:val="0"/>
          <w:iCs w:val="0"/>
          <w:color w:val="auto"/>
          <w:sz w:val="24"/>
          <w:szCs w:val="21"/>
          <w:highlight w:val="none"/>
        </w:rPr>
        <w:t>智慧公寓管理系统主要设备材料清表</w:t>
      </w:r>
      <w:bookmarkEnd w:id="371"/>
    </w:p>
    <w:p w14:paraId="56D132DF">
      <w:pPr>
        <w:pStyle w:val="5"/>
        <w:ind w:left="0"/>
        <w:rPr>
          <w:i w:val="0"/>
          <w:iCs w:val="0"/>
          <w:color w:val="auto"/>
          <w:sz w:val="22"/>
          <w:szCs w:val="22"/>
          <w:highlight w:val="none"/>
        </w:rPr>
      </w:pPr>
      <w:bookmarkStart w:id="372" w:name="_Toc12297"/>
      <w:r>
        <w:rPr>
          <w:rFonts w:hint="eastAsia"/>
          <w:i w:val="0"/>
          <w:iCs w:val="0"/>
          <w:color w:val="auto"/>
          <w:sz w:val="22"/>
          <w:szCs w:val="22"/>
          <w:highlight w:val="none"/>
          <w:lang w:val="en-US"/>
        </w:rPr>
        <w:t>主要设备表</w:t>
      </w:r>
      <w:bookmarkEnd w:id="372"/>
    </w:p>
    <w:tbl>
      <w:tblPr>
        <w:tblStyle w:val="88"/>
        <w:tblW w:w="7968" w:type="dxa"/>
        <w:jc w:val="center"/>
        <w:tblLayout w:type="autofit"/>
        <w:tblCellMar>
          <w:top w:w="0" w:type="dxa"/>
          <w:left w:w="108" w:type="dxa"/>
          <w:bottom w:w="0" w:type="dxa"/>
          <w:right w:w="108" w:type="dxa"/>
        </w:tblCellMar>
      </w:tblPr>
      <w:tblGrid>
        <w:gridCol w:w="1062"/>
        <w:gridCol w:w="2270"/>
        <w:gridCol w:w="690"/>
        <w:gridCol w:w="730"/>
        <w:gridCol w:w="3216"/>
      </w:tblGrid>
      <w:tr w14:paraId="56D132E5">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vAlign w:val="center"/>
          </w:tcPr>
          <w:p w14:paraId="56D132E0">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2270" w:type="dxa"/>
            <w:tcBorders>
              <w:top w:val="single" w:color="000000" w:sz="4" w:space="0"/>
              <w:left w:val="nil"/>
              <w:bottom w:val="single" w:color="000000" w:sz="4" w:space="0"/>
              <w:right w:val="single" w:color="000000" w:sz="4" w:space="0"/>
            </w:tcBorders>
            <w:vAlign w:val="center"/>
          </w:tcPr>
          <w:p w14:paraId="56D132E1">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690" w:type="dxa"/>
            <w:tcBorders>
              <w:top w:val="single" w:color="000000" w:sz="4" w:space="0"/>
              <w:left w:val="nil"/>
              <w:bottom w:val="single" w:color="000000" w:sz="4" w:space="0"/>
              <w:right w:val="single" w:color="000000" w:sz="4" w:space="0"/>
            </w:tcBorders>
            <w:vAlign w:val="center"/>
          </w:tcPr>
          <w:p w14:paraId="56D132E2">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730" w:type="dxa"/>
            <w:tcBorders>
              <w:top w:val="single" w:color="000000" w:sz="4" w:space="0"/>
              <w:left w:val="nil"/>
              <w:bottom w:val="single" w:color="000000" w:sz="4" w:space="0"/>
              <w:right w:val="single" w:color="000000" w:sz="4" w:space="0"/>
            </w:tcBorders>
            <w:vAlign w:val="center"/>
          </w:tcPr>
          <w:p w14:paraId="56D132E3">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3216" w:type="dxa"/>
            <w:tcBorders>
              <w:top w:val="single" w:color="000000" w:sz="4" w:space="0"/>
              <w:left w:val="nil"/>
              <w:bottom w:val="nil"/>
              <w:right w:val="single" w:color="000000" w:sz="4" w:space="0"/>
            </w:tcBorders>
            <w:vAlign w:val="center"/>
          </w:tcPr>
          <w:p w14:paraId="56D132E4">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2F1">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vAlign w:val="center"/>
          </w:tcPr>
          <w:p w14:paraId="56D132EC">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270" w:type="dxa"/>
            <w:tcBorders>
              <w:top w:val="single" w:color="000000" w:sz="4" w:space="0"/>
              <w:left w:val="nil"/>
              <w:bottom w:val="single" w:color="000000" w:sz="4" w:space="0"/>
              <w:right w:val="single" w:color="000000" w:sz="4" w:space="0"/>
            </w:tcBorders>
            <w:vAlign w:val="center"/>
          </w:tcPr>
          <w:p w14:paraId="56D132ED">
            <w:pPr>
              <w:widowControl/>
              <w:spacing w:line="276" w:lineRule="auto"/>
              <w:rPr>
                <w:i w:val="0"/>
                <w:iCs w:val="0"/>
                <w:color w:val="auto"/>
                <w:sz w:val="21"/>
                <w:szCs w:val="15"/>
                <w:highlight w:val="none"/>
              </w:rPr>
            </w:pPr>
            <w:r>
              <w:rPr>
                <w:rFonts w:hint="eastAsia"/>
                <w:i w:val="0"/>
                <w:iCs w:val="0"/>
                <w:color w:val="auto"/>
                <w:sz w:val="21"/>
                <w:szCs w:val="15"/>
                <w:highlight w:val="none"/>
              </w:rPr>
              <w:t>管理工作站</w:t>
            </w:r>
          </w:p>
        </w:tc>
        <w:tc>
          <w:tcPr>
            <w:tcW w:w="690" w:type="dxa"/>
            <w:tcBorders>
              <w:top w:val="single" w:color="000000" w:sz="4" w:space="0"/>
              <w:left w:val="nil"/>
              <w:bottom w:val="single" w:color="000000" w:sz="4" w:space="0"/>
              <w:right w:val="single" w:color="000000" w:sz="4" w:space="0"/>
            </w:tcBorders>
            <w:vAlign w:val="center"/>
          </w:tcPr>
          <w:p w14:paraId="56D132EE">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2EF">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single" w:color="000000" w:sz="4" w:space="0"/>
              <w:right w:val="single" w:color="000000" w:sz="4" w:space="0"/>
            </w:tcBorders>
            <w:vAlign w:val="center"/>
          </w:tcPr>
          <w:p w14:paraId="56D132F0">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设备甲供</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2F7">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vAlign w:val="center"/>
          </w:tcPr>
          <w:p w14:paraId="56D132F2">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2270" w:type="dxa"/>
            <w:tcBorders>
              <w:top w:val="single" w:color="000000" w:sz="4" w:space="0"/>
              <w:left w:val="nil"/>
              <w:bottom w:val="single" w:color="000000" w:sz="4" w:space="0"/>
              <w:right w:val="single" w:color="000000" w:sz="4" w:space="0"/>
            </w:tcBorders>
            <w:vAlign w:val="center"/>
          </w:tcPr>
          <w:p w14:paraId="56D132F3">
            <w:pPr>
              <w:widowControl/>
              <w:spacing w:line="276" w:lineRule="auto"/>
              <w:rPr>
                <w:i w:val="0"/>
                <w:iCs w:val="0"/>
                <w:color w:val="auto"/>
                <w:sz w:val="21"/>
                <w:szCs w:val="15"/>
                <w:highlight w:val="none"/>
              </w:rPr>
            </w:pPr>
            <w:r>
              <w:rPr>
                <w:rFonts w:hint="eastAsia"/>
                <w:i w:val="0"/>
                <w:iCs w:val="0"/>
                <w:color w:val="auto"/>
                <w:sz w:val="21"/>
                <w:szCs w:val="15"/>
                <w:highlight w:val="none"/>
              </w:rPr>
              <w:t>公寓管理显示大屏</w:t>
            </w:r>
          </w:p>
        </w:tc>
        <w:tc>
          <w:tcPr>
            <w:tcW w:w="690" w:type="dxa"/>
            <w:tcBorders>
              <w:top w:val="single" w:color="000000" w:sz="4" w:space="0"/>
              <w:left w:val="nil"/>
              <w:bottom w:val="single" w:color="000000" w:sz="4" w:space="0"/>
              <w:right w:val="single" w:color="000000" w:sz="4" w:space="0"/>
            </w:tcBorders>
            <w:vAlign w:val="center"/>
          </w:tcPr>
          <w:p w14:paraId="56D132F4">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2F5">
            <w:pPr>
              <w:widowControl/>
              <w:spacing w:line="276" w:lineRule="auto"/>
              <w:rPr>
                <w:i w:val="0"/>
                <w:iCs w:val="0"/>
                <w:color w:val="auto"/>
                <w:sz w:val="21"/>
                <w:szCs w:val="15"/>
                <w:highlight w:val="none"/>
              </w:rPr>
            </w:pPr>
            <w:r>
              <w:rPr>
                <w:rFonts w:hint="eastAsia"/>
                <w:i w:val="0"/>
                <w:iCs w:val="0"/>
                <w:color w:val="auto"/>
                <w:sz w:val="21"/>
                <w:szCs w:val="15"/>
                <w:highlight w:val="none"/>
              </w:rPr>
              <w:t>8</w:t>
            </w:r>
          </w:p>
        </w:tc>
        <w:tc>
          <w:tcPr>
            <w:tcW w:w="3216" w:type="dxa"/>
            <w:tcBorders>
              <w:top w:val="single" w:color="000000" w:sz="4" w:space="0"/>
              <w:left w:val="nil"/>
              <w:bottom w:val="single" w:color="000000" w:sz="4" w:space="0"/>
              <w:right w:val="single" w:color="000000" w:sz="4" w:space="0"/>
            </w:tcBorders>
            <w:vAlign w:val="center"/>
          </w:tcPr>
          <w:p w14:paraId="56D132F6">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rPr>
              <w:t>不小于42寸；分辨率支持支持1920*1080。</w:t>
            </w:r>
            <w:r>
              <w:rPr>
                <w:rFonts w:hint="eastAsia"/>
                <w:i w:val="0"/>
                <w:iCs w:val="0"/>
                <w:color w:val="auto"/>
                <w:sz w:val="21"/>
                <w:szCs w:val="15"/>
                <w:highlight w:val="none"/>
                <w:lang w:val="en-US" w:eastAsia="zh-CN"/>
              </w:rPr>
              <w:t>硬件。</w:t>
            </w:r>
          </w:p>
        </w:tc>
      </w:tr>
      <w:tr w14:paraId="56D132FD">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2F8">
            <w:pPr>
              <w:widowControl/>
              <w:spacing w:line="276" w:lineRule="auto"/>
              <w:rPr>
                <w:i w:val="0"/>
                <w:iCs w:val="0"/>
                <w:color w:val="auto"/>
                <w:sz w:val="21"/>
                <w:szCs w:val="15"/>
                <w:highlight w:val="none"/>
              </w:rPr>
            </w:pPr>
            <w:r>
              <w:rPr>
                <w:rFonts w:hint="eastAsia"/>
                <w:i w:val="0"/>
                <w:iCs w:val="0"/>
                <w:color w:val="auto"/>
                <w:sz w:val="21"/>
                <w:szCs w:val="15"/>
                <w:highlight w:val="none"/>
              </w:rPr>
              <w:t>3</w:t>
            </w:r>
          </w:p>
        </w:tc>
        <w:tc>
          <w:tcPr>
            <w:tcW w:w="2270" w:type="dxa"/>
            <w:tcBorders>
              <w:top w:val="single" w:color="000000" w:sz="4" w:space="0"/>
              <w:left w:val="nil"/>
              <w:bottom w:val="single" w:color="000000" w:sz="4" w:space="0"/>
              <w:right w:val="single" w:color="000000" w:sz="4" w:space="0"/>
            </w:tcBorders>
            <w:vAlign w:val="center"/>
          </w:tcPr>
          <w:p w14:paraId="56D132F9">
            <w:pPr>
              <w:widowControl/>
              <w:spacing w:line="276" w:lineRule="auto"/>
              <w:rPr>
                <w:i w:val="0"/>
                <w:iCs w:val="0"/>
                <w:color w:val="auto"/>
                <w:sz w:val="21"/>
                <w:szCs w:val="15"/>
                <w:highlight w:val="none"/>
              </w:rPr>
            </w:pPr>
            <w:r>
              <w:rPr>
                <w:rFonts w:hint="eastAsia"/>
                <w:i w:val="0"/>
                <w:iCs w:val="0"/>
                <w:color w:val="auto"/>
                <w:sz w:val="21"/>
                <w:szCs w:val="15"/>
                <w:highlight w:val="none"/>
              </w:rPr>
              <w:t>智能开关控制器</w:t>
            </w:r>
          </w:p>
        </w:tc>
        <w:tc>
          <w:tcPr>
            <w:tcW w:w="690" w:type="dxa"/>
            <w:tcBorders>
              <w:top w:val="single" w:color="000000" w:sz="4" w:space="0"/>
              <w:left w:val="nil"/>
              <w:bottom w:val="single" w:color="000000" w:sz="4" w:space="0"/>
              <w:right w:val="single" w:color="000000" w:sz="4" w:space="0"/>
            </w:tcBorders>
            <w:vAlign w:val="center"/>
          </w:tcPr>
          <w:p w14:paraId="56D132FA">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2FB">
            <w:pPr>
              <w:widowControl/>
              <w:spacing w:line="276" w:lineRule="auto"/>
              <w:rPr>
                <w:i w:val="0"/>
                <w:iCs w:val="0"/>
                <w:color w:val="auto"/>
                <w:sz w:val="21"/>
                <w:szCs w:val="15"/>
                <w:highlight w:val="none"/>
              </w:rPr>
            </w:pPr>
            <w:r>
              <w:rPr>
                <w:rFonts w:hint="eastAsia"/>
                <w:i w:val="0"/>
                <w:iCs w:val="0"/>
                <w:color w:val="auto"/>
                <w:sz w:val="21"/>
                <w:szCs w:val="15"/>
                <w:highlight w:val="none"/>
              </w:rPr>
              <w:t>130</w:t>
            </w:r>
          </w:p>
        </w:tc>
        <w:tc>
          <w:tcPr>
            <w:tcW w:w="3216" w:type="dxa"/>
            <w:tcBorders>
              <w:top w:val="single" w:color="000000" w:sz="4" w:space="0"/>
              <w:left w:val="nil"/>
              <w:bottom w:val="single" w:color="000000" w:sz="4" w:space="0"/>
              <w:right w:val="single" w:color="000000" w:sz="4" w:space="0"/>
            </w:tcBorders>
            <w:vAlign w:val="center"/>
          </w:tcPr>
          <w:p w14:paraId="56D132FC">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含灯光、空调无线控制器各一套</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303">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2FE">
            <w:pPr>
              <w:widowControl/>
              <w:spacing w:line="276" w:lineRule="auto"/>
              <w:rPr>
                <w:i w:val="0"/>
                <w:iCs w:val="0"/>
                <w:color w:val="auto"/>
                <w:sz w:val="21"/>
                <w:szCs w:val="15"/>
                <w:highlight w:val="none"/>
              </w:rPr>
            </w:pPr>
            <w:r>
              <w:rPr>
                <w:rFonts w:hint="eastAsia"/>
                <w:i w:val="0"/>
                <w:iCs w:val="0"/>
                <w:color w:val="auto"/>
                <w:sz w:val="21"/>
                <w:szCs w:val="15"/>
                <w:highlight w:val="none"/>
              </w:rPr>
              <w:t>4</w:t>
            </w:r>
          </w:p>
        </w:tc>
        <w:tc>
          <w:tcPr>
            <w:tcW w:w="2270" w:type="dxa"/>
            <w:tcBorders>
              <w:top w:val="single" w:color="000000" w:sz="4" w:space="0"/>
              <w:left w:val="nil"/>
              <w:bottom w:val="single" w:color="000000" w:sz="4" w:space="0"/>
              <w:right w:val="single" w:color="000000" w:sz="4" w:space="0"/>
            </w:tcBorders>
            <w:vAlign w:val="center"/>
          </w:tcPr>
          <w:p w14:paraId="56D132FF">
            <w:pPr>
              <w:widowControl/>
              <w:spacing w:line="276" w:lineRule="auto"/>
              <w:rPr>
                <w:i w:val="0"/>
                <w:iCs w:val="0"/>
                <w:color w:val="auto"/>
                <w:sz w:val="21"/>
                <w:szCs w:val="15"/>
                <w:highlight w:val="none"/>
              </w:rPr>
            </w:pPr>
            <w:r>
              <w:rPr>
                <w:rFonts w:hint="eastAsia"/>
                <w:i w:val="0"/>
                <w:iCs w:val="0"/>
                <w:color w:val="auto"/>
                <w:sz w:val="21"/>
                <w:szCs w:val="15"/>
                <w:highlight w:val="none"/>
              </w:rPr>
              <w:t>智能电子门锁</w:t>
            </w:r>
          </w:p>
        </w:tc>
        <w:tc>
          <w:tcPr>
            <w:tcW w:w="690" w:type="dxa"/>
            <w:tcBorders>
              <w:top w:val="single" w:color="000000" w:sz="4" w:space="0"/>
              <w:left w:val="nil"/>
              <w:bottom w:val="single" w:color="000000" w:sz="4" w:space="0"/>
              <w:right w:val="single" w:color="000000" w:sz="4" w:space="0"/>
            </w:tcBorders>
            <w:vAlign w:val="center"/>
          </w:tcPr>
          <w:p w14:paraId="56D13300">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301">
            <w:pPr>
              <w:widowControl/>
              <w:spacing w:line="276" w:lineRule="auto"/>
              <w:rPr>
                <w:i w:val="0"/>
                <w:iCs w:val="0"/>
                <w:color w:val="auto"/>
                <w:sz w:val="21"/>
                <w:szCs w:val="15"/>
                <w:highlight w:val="none"/>
              </w:rPr>
            </w:pPr>
            <w:r>
              <w:rPr>
                <w:rFonts w:hint="eastAsia"/>
                <w:i w:val="0"/>
                <w:iCs w:val="0"/>
                <w:color w:val="auto"/>
                <w:sz w:val="21"/>
                <w:szCs w:val="15"/>
                <w:highlight w:val="none"/>
              </w:rPr>
              <w:t>130</w:t>
            </w:r>
          </w:p>
        </w:tc>
        <w:tc>
          <w:tcPr>
            <w:tcW w:w="3216" w:type="dxa"/>
            <w:tcBorders>
              <w:top w:val="single" w:color="000000" w:sz="4" w:space="0"/>
              <w:left w:val="nil"/>
              <w:bottom w:val="single" w:color="000000" w:sz="4" w:space="0"/>
              <w:right w:val="single" w:color="000000" w:sz="4" w:space="0"/>
            </w:tcBorders>
            <w:vAlign w:val="center"/>
          </w:tcPr>
          <w:p w14:paraId="56D13302">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309">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04">
            <w:pPr>
              <w:widowControl/>
              <w:spacing w:line="276" w:lineRule="auto"/>
              <w:rPr>
                <w:i w:val="0"/>
                <w:iCs w:val="0"/>
                <w:color w:val="auto"/>
                <w:sz w:val="21"/>
                <w:szCs w:val="15"/>
                <w:highlight w:val="none"/>
              </w:rPr>
            </w:pPr>
            <w:r>
              <w:rPr>
                <w:rFonts w:hint="eastAsia"/>
                <w:i w:val="0"/>
                <w:iCs w:val="0"/>
                <w:color w:val="auto"/>
                <w:sz w:val="21"/>
                <w:szCs w:val="15"/>
                <w:highlight w:val="none"/>
              </w:rPr>
              <w:t>5</w:t>
            </w:r>
          </w:p>
        </w:tc>
        <w:tc>
          <w:tcPr>
            <w:tcW w:w="2270" w:type="dxa"/>
            <w:tcBorders>
              <w:top w:val="single" w:color="000000" w:sz="4" w:space="0"/>
              <w:left w:val="nil"/>
              <w:bottom w:val="single" w:color="000000" w:sz="4" w:space="0"/>
              <w:right w:val="single" w:color="000000" w:sz="4" w:space="0"/>
            </w:tcBorders>
            <w:vAlign w:val="center"/>
          </w:tcPr>
          <w:p w14:paraId="56D13305">
            <w:pPr>
              <w:widowControl/>
              <w:spacing w:line="276" w:lineRule="auto"/>
              <w:rPr>
                <w:i w:val="0"/>
                <w:iCs w:val="0"/>
                <w:color w:val="auto"/>
                <w:sz w:val="21"/>
                <w:szCs w:val="15"/>
                <w:highlight w:val="none"/>
              </w:rPr>
            </w:pPr>
            <w:r>
              <w:rPr>
                <w:rFonts w:hint="eastAsia"/>
                <w:i w:val="0"/>
                <w:iCs w:val="0"/>
                <w:color w:val="auto"/>
                <w:sz w:val="21"/>
                <w:szCs w:val="15"/>
                <w:highlight w:val="none"/>
              </w:rPr>
              <w:t>WIFI路由器</w:t>
            </w:r>
          </w:p>
        </w:tc>
        <w:tc>
          <w:tcPr>
            <w:tcW w:w="690" w:type="dxa"/>
            <w:tcBorders>
              <w:top w:val="single" w:color="000000" w:sz="4" w:space="0"/>
              <w:left w:val="nil"/>
              <w:bottom w:val="single" w:color="000000" w:sz="4" w:space="0"/>
              <w:right w:val="single" w:color="000000" w:sz="4" w:space="0"/>
            </w:tcBorders>
            <w:vAlign w:val="center"/>
          </w:tcPr>
          <w:p w14:paraId="56D13306">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307">
            <w:pPr>
              <w:widowControl/>
              <w:spacing w:line="276" w:lineRule="auto"/>
              <w:rPr>
                <w:i w:val="0"/>
                <w:iCs w:val="0"/>
                <w:color w:val="auto"/>
                <w:sz w:val="21"/>
                <w:szCs w:val="15"/>
                <w:highlight w:val="none"/>
              </w:rPr>
            </w:pPr>
            <w:r>
              <w:rPr>
                <w:rFonts w:hint="eastAsia"/>
                <w:i w:val="0"/>
                <w:iCs w:val="0"/>
                <w:color w:val="auto"/>
                <w:sz w:val="21"/>
                <w:szCs w:val="15"/>
                <w:highlight w:val="none"/>
              </w:rPr>
              <w:t>32</w:t>
            </w:r>
          </w:p>
        </w:tc>
        <w:tc>
          <w:tcPr>
            <w:tcW w:w="3216" w:type="dxa"/>
            <w:tcBorders>
              <w:top w:val="single" w:color="000000" w:sz="4" w:space="0"/>
              <w:left w:val="nil"/>
              <w:bottom w:val="single" w:color="000000" w:sz="4" w:space="0"/>
              <w:right w:val="single" w:color="000000" w:sz="4" w:space="0"/>
            </w:tcBorders>
            <w:vAlign w:val="center"/>
          </w:tcPr>
          <w:p w14:paraId="56D13308">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POE供电</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30F">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0A">
            <w:pPr>
              <w:widowControl/>
              <w:spacing w:line="276" w:lineRule="auto"/>
              <w:rPr>
                <w:i w:val="0"/>
                <w:iCs w:val="0"/>
                <w:color w:val="auto"/>
                <w:sz w:val="21"/>
                <w:szCs w:val="15"/>
                <w:highlight w:val="none"/>
              </w:rPr>
            </w:pPr>
            <w:r>
              <w:rPr>
                <w:rFonts w:hint="eastAsia"/>
                <w:i w:val="0"/>
                <w:iCs w:val="0"/>
                <w:color w:val="auto"/>
                <w:sz w:val="21"/>
                <w:szCs w:val="15"/>
                <w:highlight w:val="none"/>
              </w:rPr>
              <w:t>6</w:t>
            </w:r>
          </w:p>
        </w:tc>
        <w:tc>
          <w:tcPr>
            <w:tcW w:w="2270" w:type="dxa"/>
            <w:tcBorders>
              <w:top w:val="single" w:color="000000" w:sz="4" w:space="0"/>
              <w:left w:val="nil"/>
              <w:bottom w:val="single" w:color="000000" w:sz="4" w:space="0"/>
              <w:right w:val="single" w:color="000000" w:sz="4" w:space="0"/>
            </w:tcBorders>
            <w:vAlign w:val="center"/>
          </w:tcPr>
          <w:p w14:paraId="56D1330B">
            <w:pPr>
              <w:widowControl/>
              <w:spacing w:line="276" w:lineRule="auto"/>
              <w:rPr>
                <w:i w:val="0"/>
                <w:iCs w:val="0"/>
                <w:color w:val="auto"/>
                <w:sz w:val="21"/>
                <w:szCs w:val="15"/>
                <w:highlight w:val="none"/>
              </w:rPr>
            </w:pPr>
            <w:r>
              <w:rPr>
                <w:rFonts w:hint="eastAsia"/>
                <w:i w:val="0"/>
                <w:iCs w:val="0"/>
                <w:color w:val="auto"/>
                <w:sz w:val="21"/>
                <w:szCs w:val="15"/>
                <w:highlight w:val="none"/>
              </w:rPr>
              <w:t>WIFI中继器</w:t>
            </w:r>
          </w:p>
        </w:tc>
        <w:tc>
          <w:tcPr>
            <w:tcW w:w="690" w:type="dxa"/>
            <w:tcBorders>
              <w:top w:val="single" w:color="000000" w:sz="4" w:space="0"/>
              <w:left w:val="nil"/>
              <w:bottom w:val="single" w:color="000000" w:sz="4" w:space="0"/>
              <w:right w:val="single" w:color="000000" w:sz="4" w:space="0"/>
            </w:tcBorders>
            <w:vAlign w:val="center"/>
          </w:tcPr>
          <w:p w14:paraId="56D1330C">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30D">
            <w:pPr>
              <w:widowControl/>
              <w:spacing w:line="276" w:lineRule="auto"/>
              <w:rPr>
                <w:i w:val="0"/>
                <w:iCs w:val="0"/>
                <w:color w:val="auto"/>
                <w:sz w:val="21"/>
                <w:szCs w:val="15"/>
                <w:highlight w:val="none"/>
              </w:rPr>
            </w:pPr>
            <w:r>
              <w:rPr>
                <w:rFonts w:hint="eastAsia"/>
                <w:i w:val="0"/>
                <w:iCs w:val="0"/>
                <w:color w:val="auto"/>
                <w:sz w:val="21"/>
                <w:szCs w:val="15"/>
                <w:highlight w:val="none"/>
              </w:rPr>
              <w:t>64</w:t>
            </w:r>
          </w:p>
        </w:tc>
        <w:tc>
          <w:tcPr>
            <w:tcW w:w="3216" w:type="dxa"/>
            <w:tcBorders>
              <w:top w:val="single" w:color="000000" w:sz="4" w:space="0"/>
              <w:left w:val="nil"/>
              <w:bottom w:val="single" w:color="000000" w:sz="4" w:space="0"/>
              <w:right w:val="single" w:color="000000" w:sz="4" w:space="0"/>
            </w:tcBorders>
            <w:vAlign w:val="center"/>
          </w:tcPr>
          <w:p w14:paraId="56D1330E">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315">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10">
            <w:pPr>
              <w:widowControl/>
              <w:spacing w:line="276" w:lineRule="auto"/>
              <w:rPr>
                <w:i w:val="0"/>
                <w:iCs w:val="0"/>
                <w:color w:val="auto"/>
                <w:sz w:val="21"/>
                <w:szCs w:val="15"/>
                <w:highlight w:val="none"/>
              </w:rPr>
            </w:pPr>
            <w:r>
              <w:rPr>
                <w:rFonts w:hint="eastAsia"/>
                <w:i w:val="0"/>
                <w:iCs w:val="0"/>
                <w:color w:val="auto"/>
                <w:sz w:val="21"/>
                <w:szCs w:val="15"/>
                <w:highlight w:val="none"/>
              </w:rPr>
              <w:t>7</w:t>
            </w:r>
          </w:p>
        </w:tc>
        <w:tc>
          <w:tcPr>
            <w:tcW w:w="2270" w:type="dxa"/>
            <w:tcBorders>
              <w:top w:val="single" w:color="000000" w:sz="4" w:space="0"/>
              <w:left w:val="nil"/>
              <w:bottom w:val="single" w:color="000000" w:sz="4" w:space="0"/>
              <w:right w:val="single" w:color="000000" w:sz="4" w:space="0"/>
            </w:tcBorders>
            <w:vAlign w:val="center"/>
          </w:tcPr>
          <w:p w14:paraId="56D13311">
            <w:pPr>
              <w:widowControl/>
              <w:spacing w:line="276" w:lineRule="auto"/>
              <w:rPr>
                <w:i w:val="0"/>
                <w:iCs w:val="0"/>
                <w:color w:val="auto"/>
                <w:sz w:val="21"/>
                <w:szCs w:val="15"/>
                <w:highlight w:val="none"/>
              </w:rPr>
            </w:pPr>
            <w:r>
              <w:rPr>
                <w:rFonts w:hint="eastAsia"/>
                <w:i w:val="0"/>
                <w:iCs w:val="0"/>
                <w:color w:val="auto"/>
                <w:sz w:val="21"/>
                <w:szCs w:val="15"/>
                <w:highlight w:val="none"/>
              </w:rPr>
              <w:t>KVM视频发射器</w:t>
            </w:r>
          </w:p>
        </w:tc>
        <w:tc>
          <w:tcPr>
            <w:tcW w:w="690" w:type="dxa"/>
            <w:tcBorders>
              <w:top w:val="single" w:color="000000" w:sz="4" w:space="0"/>
              <w:left w:val="nil"/>
              <w:bottom w:val="single" w:color="000000" w:sz="4" w:space="0"/>
              <w:right w:val="single" w:color="000000" w:sz="4" w:space="0"/>
            </w:tcBorders>
            <w:vAlign w:val="center"/>
          </w:tcPr>
          <w:p w14:paraId="56D13312">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313">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single" w:color="000000" w:sz="4" w:space="0"/>
              <w:right w:val="single" w:color="000000" w:sz="4" w:space="0"/>
            </w:tcBorders>
            <w:vAlign w:val="center"/>
          </w:tcPr>
          <w:p w14:paraId="56D13314">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31B">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16">
            <w:pPr>
              <w:widowControl/>
              <w:spacing w:line="276" w:lineRule="auto"/>
              <w:rPr>
                <w:i w:val="0"/>
                <w:iCs w:val="0"/>
                <w:color w:val="auto"/>
                <w:sz w:val="21"/>
                <w:szCs w:val="15"/>
                <w:highlight w:val="none"/>
              </w:rPr>
            </w:pPr>
            <w:r>
              <w:rPr>
                <w:rFonts w:hint="eastAsia"/>
                <w:i w:val="0"/>
                <w:iCs w:val="0"/>
                <w:color w:val="auto"/>
                <w:sz w:val="21"/>
                <w:szCs w:val="15"/>
                <w:highlight w:val="none"/>
              </w:rPr>
              <w:t>8</w:t>
            </w:r>
          </w:p>
        </w:tc>
        <w:tc>
          <w:tcPr>
            <w:tcW w:w="2270" w:type="dxa"/>
            <w:tcBorders>
              <w:top w:val="single" w:color="000000" w:sz="4" w:space="0"/>
              <w:left w:val="nil"/>
              <w:bottom w:val="single" w:color="000000" w:sz="4" w:space="0"/>
              <w:right w:val="single" w:color="000000" w:sz="4" w:space="0"/>
            </w:tcBorders>
            <w:vAlign w:val="center"/>
          </w:tcPr>
          <w:p w14:paraId="56D13317">
            <w:pPr>
              <w:widowControl/>
              <w:spacing w:line="276" w:lineRule="auto"/>
              <w:rPr>
                <w:i w:val="0"/>
                <w:iCs w:val="0"/>
                <w:color w:val="auto"/>
                <w:sz w:val="21"/>
                <w:szCs w:val="15"/>
                <w:highlight w:val="none"/>
              </w:rPr>
            </w:pPr>
            <w:r>
              <w:rPr>
                <w:rFonts w:hint="eastAsia"/>
                <w:i w:val="0"/>
                <w:iCs w:val="0"/>
                <w:color w:val="auto"/>
                <w:sz w:val="21"/>
                <w:szCs w:val="15"/>
                <w:highlight w:val="none"/>
              </w:rPr>
              <w:t>KVM视频接收器</w:t>
            </w:r>
          </w:p>
        </w:tc>
        <w:tc>
          <w:tcPr>
            <w:tcW w:w="690" w:type="dxa"/>
            <w:tcBorders>
              <w:top w:val="single" w:color="000000" w:sz="4" w:space="0"/>
              <w:left w:val="nil"/>
              <w:bottom w:val="single" w:color="000000" w:sz="4" w:space="0"/>
              <w:right w:val="single" w:color="000000" w:sz="4" w:space="0"/>
            </w:tcBorders>
            <w:vAlign w:val="center"/>
          </w:tcPr>
          <w:p w14:paraId="56D13318">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319">
            <w:pPr>
              <w:widowControl/>
              <w:spacing w:line="276" w:lineRule="auto"/>
              <w:rPr>
                <w:i w:val="0"/>
                <w:iCs w:val="0"/>
                <w:color w:val="auto"/>
                <w:sz w:val="21"/>
                <w:szCs w:val="15"/>
                <w:highlight w:val="none"/>
              </w:rPr>
            </w:pPr>
            <w:r>
              <w:rPr>
                <w:rFonts w:hint="eastAsia"/>
                <w:i w:val="0"/>
                <w:iCs w:val="0"/>
                <w:color w:val="auto"/>
                <w:sz w:val="21"/>
                <w:szCs w:val="15"/>
                <w:highlight w:val="none"/>
              </w:rPr>
              <w:t>8</w:t>
            </w:r>
          </w:p>
        </w:tc>
        <w:tc>
          <w:tcPr>
            <w:tcW w:w="3216" w:type="dxa"/>
            <w:tcBorders>
              <w:top w:val="single" w:color="000000" w:sz="4" w:space="0"/>
              <w:left w:val="nil"/>
              <w:bottom w:val="single" w:color="000000" w:sz="4" w:space="0"/>
              <w:right w:val="single" w:color="000000" w:sz="4" w:space="0"/>
            </w:tcBorders>
            <w:vAlign w:val="center"/>
          </w:tcPr>
          <w:p w14:paraId="56D1331A">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321">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1C">
            <w:pPr>
              <w:widowControl/>
              <w:spacing w:line="276" w:lineRule="auto"/>
              <w:rPr>
                <w:i w:val="0"/>
                <w:iCs w:val="0"/>
                <w:color w:val="auto"/>
                <w:sz w:val="21"/>
                <w:szCs w:val="15"/>
                <w:highlight w:val="none"/>
              </w:rPr>
            </w:pPr>
            <w:r>
              <w:rPr>
                <w:rFonts w:hint="eastAsia"/>
                <w:i w:val="0"/>
                <w:iCs w:val="0"/>
                <w:color w:val="auto"/>
                <w:sz w:val="21"/>
                <w:szCs w:val="15"/>
                <w:highlight w:val="none"/>
              </w:rPr>
              <w:t>9</w:t>
            </w:r>
          </w:p>
        </w:tc>
        <w:tc>
          <w:tcPr>
            <w:tcW w:w="2270" w:type="dxa"/>
            <w:tcBorders>
              <w:top w:val="single" w:color="000000" w:sz="4" w:space="0"/>
              <w:left w:val="nil"/>
              <w:bottom w:val="single" w:color="000000" w:sz="4" w:space="0"/>
              <w:right w:val="single" w:color="000000" w:sz="4" w:space="0"/>
            </w:tcBorders>
            <w:shd w:val="clear" w:color="auto" w:fill="auto"/>
            <w:vAlign w:val="center"/>
          </w:tcPr>
          <w:p w14:paraId="56D1331D">
            <w:pPr>
              <w:widowControl/>
              <w:spacing w:line="276" w:lineRule="auto"/>
              <w:rPr>
                <w:i w:val="0"/>
                <w:iCs w:val="0"/>
                <w:color w:val="auto"/>
                <w:sz w:val="21"/>
                <w:szCs w:val="15"/>
                <w:highlight w:val="none"/>
              </w:rPr>
            </w:pPr>
            <w:r>
              <w:rPr>
                <w:rFonts w:hint="eastAsia"/>
                <w:i w:val="0"/>
                <w:iCs w:val="0"/>
                <w:color w:val="auto"/>
                <w:sz w:val="21"/>
                <w:szCs w:val="15"/>
                <w:highlight w:val="none"/>
              </w:rPr>
              <w:t>梯控装置</w:t>
            </w:r>
          </w:p>
        </w:tc>
        <w:tc>
          <w:tcPr>
            <w:tcW w:w="690" w:type="dxa"/>
            <w:tcBorders>
              <w:top w:val="single" w:color="000000" w:sz="4" w:space="0"/>
              <w:left w:val="nil"/>
              <w:bottom w:val="single" w:color="000000" w:sz="4" w:space="0"/>
              <w:right w:val="single" w:color="000000" w:sz="4" w:space="0"/>
            </w:tcBorders>
            <w:shd w:val="clear" w:color="auto" w:fill="auto"/>
            <w:vAlign w:val="center"/>
          </w:tcPr>
          <w:p w14:paraId="56D1331E">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shd w:val="clear" w:color="auto" w:fill="auto"/>
            <w:vAlign w:val="center"/>
          </w:tcPr>
          <w:p w14:paraId="56D1331F">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single" w:color="000000" w:sz="4" w:space="0"/>
              <w:right w:val="single" w:color="000000" w:sz="4" w:space="0"/>
            </w:tcBorders>
            <w:vAlign w:val="center"/>
          </w:tcPr>
          <w:p w14:paraId="56D13320">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327">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22">
            <w:pPr>
              <w:widowControl/>
              <w:spacing w:line="276" w:lineRule="auto"/>
              <w:rPr>
                <w:i w:val="0"/>
                <w:iCs w:val="0"/>
                <w:color w:val="auto"/>
                <w:sz w:val="21"/>
                <w:szCs w:val="15"/>
                <w:highlight w:val="none"/>
              </w:rPr>
            </w:pPr>
            <w:r>
              <w:rPr>
                <w:rFonts w:hint="eastAsia"/>
                <w:i w:val="0"/>
                <w:iCs w:val="0"/>
                <w:color w:val="auto"/>
                <w:sz w:val="21"/>
                <w:szCs w:val="15"/>
                <w:highlight w:val="none"/>
              </w:rPr>
              <w:t>10</w:t>
            </w:r>
          </w:p>
        </w:tc>
        <w:tc>
          <w:tcPr>
            <w:tcW w:w="2270" w:type="dxa"/>
            <w:tcBorders>
              <w:top w:val="single" w:color="000000" w:sz="4" w:space="0"/>
              <w:left w:val="nil"/>
              <w:bottom w:val="nil"/>
              <w:right w:val="single" w:color="000000" w:sz="4" w:space="0"/>
            </w:tcBorders>
            <w:vAlign w:val="center"/>
          </w:tcPr>
          <w:p w14:paraId="56D13323">
            <w:pPr>
              <w:widowControl/>
              <w:spacing w:line="276" w:lineRule="auto"/>
              <w:rPr>
                <w:i w:val="0"/>
                <w:iCs w:val="0"/>
                <w:color w:val="auto"/>
                <w:sz w:val="21"/>
                <w:szCs w:val="15"/>
                <w:highlight w:val="none"/>
              </w:rPr>
            </w:pPr>
            <w:r>
              <w:rPr>
                <w:rFonts w:hint="eastAsia"/>
                <w:i w:val="0"/>
                <w:iCs w:val="0"/>
                <w:color w:val="auto"/>
                <w:sz w:val="21"/>
                <w:szCs w:val="15"/>
                <w:highlight w:val="none"/>
              </w:rPr>
              <w:t>核心交换机</w:t>
            </w:r>
          </w:p>
        </w:tc>
        <w:tc>
          <w:tcPr>
            <w:tcW w:w="690" w:type="dxa"/>
            <w:tcBorders>
              <w:top w:val="single" w:color="000000" w:sz="4" w:space="0"/>
              <w:left w:val="nil"/>
              <w:bottom w:val="nil"/>
              <w:right w:val="single" w:color="000000" w:sz="4" w:space="0"/>
            </w:tcBorders>
            <w:vAlign w:val="center"/>
          </w:tcPr>
          <w:p w14:paraId="56D13324">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nil"/>
              <w:right w:val="single" w:color="000000" w:sz="4" w:space="0"/>
            </w:tcBorders>
            <w:vAlign w:val="center"/>
          </w:tcPr>
          <w:p w14:paraId="56D13325">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nil"/>
              <w:right w:val="single" w:color="000000" w:sz="4" w:space="0"/>
            </w:tcBorders>
            <w:vAlign w:val="center"/>
          </w:tcPr>
          <w:p w14:paraId="56D13326">
            <w:pPr>
              <w:widowControl/>
              <w:spacing w:line="276" w:lineRule="auto"/>
              <w:rPr>
                <w:i w:val="0"/>
                <w:iCs w:val="0"/>
                <w:color w:val="auto"/>
                <w:sz w:val="21"/>
                <w:szCs w:val="15"/>
                <w:highlight w:val="none"/>
              </w:rPr>
            </w:pPr>
            <w:r>
              <w:rPr>
                <w:rFonts w:hint="eastAsia"/>
                <w:i w:val="0"/>
                <w:iCs w:val="0"/>
                <w:color w:val="auto"/>
                <w:sz w:val="21"/>
                <w:szCs w:val="15"/>
                <w:highlight w:val="none"/>
              </w:rPr>
              <w:t>12口千兆小型企业级交换机，8个标准RJ45接口，即插即用，无风扇设计。</w:t>
            </w:r>
            <w:r>
              <w:rPr>
                <w:rFonts w:hint="eastAsia"/>
                <w:i w:val="0"/>
                <w:iCs w:val="0"/>
                <w:color w:val="auto"/>
                <w:sz w:val="21"/>
                <w:szCs w:val="15"/>
                <w:highlight w:val="none"/>
                <w:lang w:val="en-US" w:eastAsia="zh-CN"/>
              </w:rPr>
              <w:t>硬件。</w:t>
            </w:r>
          </w:p>
        </w:tc>
      </w:tr>
      <w:tr w14:paraId="56D1332D">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28">
            <w:pPr>
              <w:widowControl/>
              <w:spacing w:line="276" w:lineRule="auto"/>
              <w:rPr>
                <w:i w:val="0"/>
                <w:iCs w:val="0"/>
                <w:color w:val="auto"/>
                <w:sz w:val="21"/>
                <w:szCs w:val="15"/>
                <w:highlight w:val="none"/>
              </w:rPr>
            </w:pPr>
            <w:r>
              <w:rPr>
                <w:rFonts w:hint="eastAsia"/>
                <w:i w:val="0"/>
                <w:iCs w:val="0"/>
                <w:color w:val="auto"/>
                <w:sz w:val="21"/>
                <w:szCs w:val="15"/>
                <w:highlight w:val="none"/>
              </w:rPr>
              <w:t>11</w:t>
            </w:r>
          </w:p>
        </w:tc>
        <w:tc>
          <w:tcPr>
            <w:tcW w:w="2270" w:type="dxa"/>
            <w:tcBorders>
              <w:top w:val="single" w:color="000000" w:sz="4" w:space="0"/>
              <w:left w:val="nil"/>
              <w:bottom w:val="nil"/>
              <w:right w:val="single" w:color="000000" w:sz="4" w:space="0"/>
            </w:tcBorders>
            <w:vAlign w:val="center"/>
          </w:tcPr>
          <w:p w14:paraId="56D13329">
            <w:pPr>
              <w:widowControl/>
              <w:spacing w:line="276" w:lineRule="auto"/>
              <w:rPr>
                <w:i w:val="0"/>
                <w:iCs w:val="0"/>
                <w:color w:val="auto"/>
                <w:sz w:val="21"/>
                <w:szCs w:val="15"/>
                <w:highlight w:val="none"/>
              </w:rPr>
            </w:pPr>
            <w:r>
              <w:rPr>
                <w:rFonts w:hint="eastAsia"/>
                <w:i w:val="0"/>
                <w:iCs w:val="0"/>
                <w:color w:val="auto"/>
                <w:sz w:val="21"/>
                <w:szCs w:val="15"/>
                <w:highlight w:val="none"/>
              </w:rPr>
              <w:t>汇聚交换机</w:t>
            </w:r>
          </w:p>
        </w:tc>
        <w:tc>
          <w:tcPr>
            <w:tcW w:w="690" w:type="dxa"/>
            <w:tcBorders>
              <w:top w:val="single" w:color="000000" w:sz="4" w:space="0"/>
              <w:left w:val="nil"/>
              <w:bottom w:val="nil"/>
              <w:right w:val="single" w:color="000000" w:sz="4" w:space="0"/>
            </w:tcBorders>
            <w:vAlign w:val="center"/>
          </w:tcPr>
          <w:p w14:paraId="56D1332A">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nil"/>
              <w:right w:val="single" w:color="000000" w:sz="4" w:space="0"/>
            </w:tcBorders>
            <w:vAlign w:val="center"/>
          </w:tcPr>
          <w:p w14:paraId="56D1332B">
            <w:pPr>
              <w:widowControl/>
              <w:spacing w:line="276" w:lineRule="auto"/>
              <w:rPr>
                <w:i w:val="0"/>
                <w:iCs w:val="0"/>
                <w:color w:val="auto"/>
                <w:sz w:val="21"/>
                <w:szCs w:val="15"/>
                <w:highlight w:val="none"/>
              </w:rPr>
            </w:pPr>
            <w:r>
              <w:rPr>
                <w:rFonts w:hint="eastAsia"/>
                <w:i w:val="0"/>
                <w:iCs w:val="0"/>
                <w:color w:val="auto"/>
                <w:sz w:val="21"/>
                <w:szCs w:val="15"/>
                <w:highlight w:val="none"/>
              </w:rPr>
              <w:t>4</w:t>
            </w:r>
          </w:p>
        </w:tc>
        <w:tc>
          <w:tcPr>
            <w:tcW w:w="3216" w:type="dxa"/>
            <w:tcBorders>
              <w:top w:val="single" w:color="000000" w:sz="4" w:space="0"/>
              <w:left w:val="nil"/>
              <w:bottom w:val="nil"/>
              <w:right w:val="single" w:color="000000" w:sz="4" w:space="0"/>
            </w:tcBorders>
            <w:vAlign w:val="center"/>
          </w:tcPr>
          <w:p w14:paraId="56D1332C">
            <w:pPr>
              <w:widowControl/>
              <w:spacing w:line="276" w:lineRule="auto"/>
              <w:rPr>
                <w:i w:val="0"/>
                <w:iCs w:val="0"/>
                <w:color w:val="auto"/>
                <w:sz w:val="21"/>
                <w:szCs w:val="15"/>
                <w:highlight w:val="none"/>
              </w:rPr>
            </w:pPr>
            <w:r>
              <w:rPr>
                <w:rFonts w:hint="eastAsia"/>
                <w:i w:val="0"/>
                <w:iCs w:val="0"/>
                <w:color w:val="auto"/>
                <w:sz w:val="21"/>
                <w:szCs w:val="15"/>
                <w:highlight w:val="none"/>
              </w:rPr>
              <w:t>非网管型交换机，6个百兆RJ45电口，无风扇设计；</w:t>
            </w:r>
            <w:r>
              <w:rPr>
                <w:rFonts w:hint="eastAsia"/>
                <w:i w:val="0"/>
                <w:iCs w:val="0"/>
                <w:color w:val="auto"/>
                <w:sz w:val="21"/>
                <w:szCs w:val="15"/>
                <w:highlight w:val="none"/>
                <w:lang w:val="en-US" w:eastAsia="zh-CN"/>
              </w:rPr>
              <w:t>硬件。</w:t>
            </w:r>
          </w:p>
        </w:tc>
      </w:tr>
      <w:tr w14:paraId="56D13333">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2E">
            <w:pPr>
              <w:widowControl/>
              <w:spacing w:line="276" w:lineRule="auto"/>
              <w:rPr>
                <w:i w:val="0"/>
                <w:iCs w:val="0"/>
                <w:color w:val="auto"/>
                <w:sz w:val="21"/>
                <w:szCs w:val="15"/>
                <w:highlight w:val="none"/>
              </w:rPr>
            </w:pPr>
            <w:r>
              <w:rPr>
                <w:rFonts w:hint="eastAsia"/>
                <w:i w:val="0"/>
                <w:iCs w:val="0"/>
                <w:color w:val="auto"/>
                <w:sz w:val="21"/>
                <w:szCs w:val="15"/>
                <w:highlight w:val="none"/>
              </w:rPr>
              <w:t>12</w:t>
            </w:r>
          </w:p>
        </w:tc>
        <w:tc>
          <w:tcPr>
            <w:tcW w:w="2270" w:type="dxa"/>
            <w:tcBorders>
              <w:top w:val="single" w:color="000000" w:sz="4" w:space="0"/>
              <w:left w:val="nil"/>
              <w:bottom w:val="nil"/>
              <w:right w:val="single" w:color="000000" w:sz="4" w:space="0"/>
            </w:tcBorders>
            <w:vAlign w:val="center"/>
          </w:tcPr>
          <w:p w14:paraId="56D1332F">
            <w:pPr>
              <w:widowControl/>
              <w:spacing w:line="276" w:lineRule="auto"/>
              <w:rPr>
                <w:i w:val="0"/>
                <w:iCs w:val="0"/>
                <w:color w:val="auto"/>
                <w:sz w:val="21"/>
                <w:szCs w:val="15"/>
                <w:highlight w:val="none"/>
              </w:rPr>
            </w:pPr>
            <w:r>
              <w:rPr>
                <w:rFonts w:hint="eastAsia"/>
                <w:i w:val="0"/>
                <w:iCs w:val="0"/>
                <w:color w:val="auto"/>
                <w:sz w:val="21"/>
                <w:szCs w:val="15"/>
                <w:highlight w:val="none"/>
              </w:rPr>
              <w:t>PDU</w:t>
            </w:r>
          </w:p>
        </w:tc>
        <w:tc>
          <w:tcPr>
            <w:tcW w:w="690" w:type="dxa"/>
            <w:tcBorders>
              <w:top w:val="single" w:color="000000" w:sz="4" w:space="0"/>
              <w:left w:val="nil"/>
              <w:bottom w:val="nil"/>
              <w:right w:val="single" w:color="000000" w:sz="4" w:space="0"/>
            </w:tcBorders>
            <w:vAlign w:val="center"/>
          </w:tcPr>
          <w:p w14:paraId="56D13330">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nil"/>
              <w:right w:val="single" w:color="000000" w:sz="4" w:space="0"/>
            </w:tcBorders>
            <w:vAlign w:val="center"/>
          </w:tcPr>
          <w:p w14:paraId="56D13331">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nil"/>
              <w:right w:val="single" w:color="000000" w:sz="4" w:space="0"/>
            </w:tcBorders>
            <w:vAlign w:val="center"/>
          </w:tcPr>
          <w:p w14:paraId="56D13332">
            <w:pPr>
              <w:widowControl/>
              <w:spacing w:line="276" w:lineRule="auto"/>
              <w:rPr>
                <w:i w:val="0"/>
                <w:iCs w:val="0"/>
                <w:color w:val="auto"/>
                <w:sz w:val="21"/>
                <w:szCs w:val="15"/>
                <w:highlight w:val="none"/>
              </w:rPr>
            </w:pPr>
            <w:r>
              <w:rPr>
                <w:rFonts w:hint="eastAsia"/>
                <w:i w:val="0"/>
                <w:iCs w:val="0"/>
                <w:color w:val="auto"/>
                <w:sz w:val="21"/>
                <w:szCs w:val="15"/>
                <w:highlight w:val="none"/>
              </w:rPr>
              <w:t>工业级，16联单回路，额定电流16A，额定电压250Vac,最大功率4000W</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339">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34">
            <w:pPr>
              <w:widowControl/>
              <w:spacing w:line="276" w:lineRule="auto"/>
              <w:rPr>
                <w:i w:val="0"/>
                <w:iCs w:val="0"/>
                <w:color w:val="auto"/>
                <w:sz w:val="21"/>
                <w:szCs w:val="15"/>
                <w:highlight w:val="none"/>
              </w:rPr>
            </w:pPr>
            <w:r>
              <w:rPr>
                <w:rFonts w:hint="eastAsia"/>
                <w:i w:val="0"/>
                <w:iCs w:val="0"/>
                <w:color w:val="auto"/>
                <w:sz w:val="21"/>
                <w:szCs w:val="15"/>
                <w:highlight w:val="none"/>
              </w:rPr>
              <w:t>13</w:t>
            </w:r>
          </w:p>
        </w:tc>
        <w:tc>
          <w:tcPr>
            <w:tcW w:w="2270" w:type="dxa"/>
            <w:tcBorders>
              <w:top w:val="single" w:color="000000" w:sz="4" w:space="0"/>
              <w:left w:val="nil"/>
              <w:bottom w:val="single" w:color="000000" w:sz="4" w:space="0"/>
              <w:right w:val="single" w:color="000000" w:sz="4" w:space="0"/>
            </w:tcBorders>
            <w:vAlign w:val="center"/>
          </w:tcPr>
          <w:p w14:paraId="56D13335">
            <w:pPr>
              <w:widowControl/>
              <w:spacing w:line="276" w:lineRule="auto"/>
              <w:rPr>
                <w:i w:val="0"/>
                <w:iCs w:val="0"/>
                <w:color w:val="auto"/>
                <w:sz w:val="21"/>
                <w:szCs w:val="15"/>
                <w:highlight w:val="none"/>
              </w:rPr>
            </w:pPr>
            <w:r>
              <w:rPr>
                <w:rFonts w:hint="eastAsia"/>
                <w:i w:val="0"/>
                <w:iCs w:val="0"/>
                <w:color w:val="auto"/>
                <w:sz w:val="21"/>
                <w:szCs w:val="15"/>
                <w:highlight w:val="none"/>
              </w:rPr>
              <w:t>梯控接口软件</w:t>
            </w:r>
          </w:p>
        </w:tc>
        <w:tc>
          <w:tcPr>
            <w:tcW w:w="690" w:type="dxa"/>
            <w:tcBorders>
              <w:top w:val="single" w:color="000000" w:sz="4" w:space="0"/>
              <w:left w:val="nil"/>
              <w:bottom w:val="single" w:color="000000" w:sz="4" w:space="0"/>
              <w:right w:val="single" w:color="000000" w:sz="4" w:space="0"/>
            </w:tcBorders>
            <w:vAlign w:val="center"/>
          </w:tcPr>
          <w:p w14:paraId="56D13336">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vAlign w:val="center"/>
          </w:tcPr>
          <w:p w14:paraId="56D13337">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single" w:color="000000" w:sz="4" w:space="0"/>
              <w:right w:val="single" w:color="000000" w:sz="4" w:space="0"/>
            </w:tcBorders>
            <w:vAlign w:val="center"/>
          </w:tcPr>
          <w:p w14:paraId="56D13338">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33F">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3A">
            <w:pPr>
              <w:widowControl/>
              <w:spacing w:line="276" w:lineRule="auto"/>
              <w:rPr>
                <w:i w:val="0"/>
                <w:iCs w:val="0"/>
                <w:color w:val="auto"/>
                <w:sz w:val="21"/>
                <w:szCs w:val="15"/>
                <w:highlight w:val="none"/>
              </w:rPr>
            </w:pPr>
            <w:r>
              <w:rPr>
                <w:rFonts w:hint="eastAsia"/>
                <w:i w:val="0"/>
                <w:iCs w:val="0"/>
                <w:color w:val="auto"/>
                <w:sz w:val="21"/>
                <w:szCs w:val="15"/>
                <w:highlight w:val="none"/>
              </w:rPr>
              <w:t>14</w:t>
            </w:r>
          </w:p>
        </w:tc>
        <w:tc>
          <w:tcPr>
            <w:tcW w:w="2270" w:type="dxa"/>
            <w:tcBorders>
              <w:top w:val="single" w:color="000000" w:sz="4" w:space="0"/>
              <w:left w:val="nil"/>
              <w:bottom w:val="single" w:color="000000" w:sz="4" w:space="0"/>
              <w:right w:val="single" w:color="000000" w:sz="4" w:space="0"/>
            </w:tcBorders>
            <w:vAlign w:val="center"/>
          </w:tcPr>
          <w:p w14:paraId="56D1333B">
            <w:pPr>
              <w:widowControl/>
              <w:spacing w:line="276" w:lineRule="auto"/>
              <w:rPr>
                <w:i w:val="0"/>
                <w:iCs w:val="0"/>
                <w:color w:val="auto"/>
                <w:sz w:val="21"/>
                <w:szCs w:val="15"/>
                <w:highlight w:val="none"/>
              </w:rPr>
            </w:pPr>
            <w:r>
              <w:rPr>
                <w:rFonts w:hint="eastAsia"/>
                <w:i w:val="0"/>
                <w:iCs w:val="0"/>
                <w:color w:val="auto"/>
                <w:sz w:val="21"/>
                <w:szCs w:val="15"/>
                <w:highlight w:val="none"/>
              </w:rPr>
              <w:t>与GBIM系统对接接口</w:t>
            </w:r>
          </w:p>
        </w:tc>
        <w:tc>
          <w:tcPr>
            <w:tcW w:w="690" w:type="dxa"/>
            <w:tcBorders>
              <w:top w:val="single" w:color="000000" w:sz="4" w:space="0"/>
              <w:left w:val="nil"/>
              <w:bottom w:val="single" w:color="000000" w:sz="4" w:space="0"/>
              <w:right w:val="single" w:color="000000" w:sz="4" w:space="0"/>
            </w:tcBorders>
            <w:vAlign w:val="center"/>
          </w:tcPr>
          <w:p w14:paraId="56D1333C">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730" w:type="dxa"/>
            <w:tcBorders>
              <w:top w:val="single" w:color="000000" w:sz="4" w:space="0"/>
              <w:left w:val="nil"/>
              <w:bottom w:val="single" w:color="000000" w:sz="4" w:space="0"/>
              <w:right w:val="single" w:color="000000" w:sz="4" w:space="0"/>
            </w:tcBorders>
            <w:vAlign w:val="center"/>
          </w:tcPr>
          <w:p w14:paraId="56D1333D">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single" w:color="000000" w:sz="4" w:space="0"/>
              <w:right w:val="single" w:color="000000" w:sz="4" w:space="0"/>
            </w:tcBorders>
            <w:vAlign w:val="center"/>
          </w:tcPr>
          <w:p w14:paraId="56D1333E">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45">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40">
            <w:pPr>
              <w:widowControl/>
              <w:spacing w:line="276" w:lineRule="auto"/>
              <w:rPr>
                <w:i w:val="0"/>
                <w:iCs w:val="0"/>
                <w:color w:val="auto"/>
                <w:sz w:val="21"/>
                <w:szCs w:val="15"/>
                <w:highlight w:val="none"/>
              </w:rPr>
            </w:pPr>
            <w:r>
              <w:rPr>
                <w:rFonts w:hint="eastAsia"/>
                <w:i w:val="0"/>
                <w:iCs w:val="0"/>
                <w:color w:val="auto"/>
                <w:sz w:val="21"/>
                <w:szCs w:val="15"/>
                <w:highlight w:val="none"/>
              </w:rPr>
              <w:t>15</w:t>
            </w:r>
          </w:p>
        </w:tc>
        <w:tc>
          <w:tcPr>
            <w:tcW w:w="2270" w:type="dxa"/>
            <w:tcBorders>
              <w:top w:val="single" w:color="000000" w:sz="4" w:space="0"/>
              <w:left w:val="nil"/>
              <w:bottom w:val="single" w:color="000000" w:sz="4" w:space="0"/>
              <w:right w:val="single" w:color="000000" w:sz="4" w:space="0"/>
            </w:tcBorders>
            <w:vAlign w:val="center"/>
          </w:tcPr>
          <w:p w14:paraId="56D13341">
            <w:pPr>
              <w:widowControl/>
              <w:spacing w:line="276" w:lineRule="auto"/>
              <w:rPr>
                <w:i w:val="0"/>
                <w:iCs w:val="0"/>
                <w:color w:val="auto"/>
                <w:sz w:val="21"/>
                <w:szCs w:val="15"/>
                <w:highlight w:val="none"/>
              </w:rPr>
            </w:pPr>
            <w:r>
              <w:rPr>
                <w:rFonts w:hint="eastAsia"/>
                <w:i w:val="0"/>
                <w:iCs w:val="0"/>
                <w:color w:val="auto"/>
                <w:sz w:val="21"/>
                <w:szCs w:val="15"/>
                <w:highlight w:val="none"/>
              </w:rPr>
              <w:t>与门禁系统对接接口</w:t>
            </w:r>
          </w:p>
        </w:tc>
        <w:tc>
          <w:tcPr>
            <w:tcW w:w="690" w:type="dxa"/>
            <w:tcBorders>
              <w:top w:val="single" w:color="000000" w:sz="4" w:space="0"/>
              <w:left w:val="nil"/>
              <w:bottom w:val="single" w:color="000000" w:sz="4" w:space="0"/>
              <w:right w:val="single" w:color="000000" w:sz="4" w:space="0"/>
            </w:tcBorders>
            <w:vAlign w:val="center"/>
          </w:tcPr>
          <w:p w14:paraId="56D13342">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730" w:type="dxa"/>
            <w:tcBorders>
              <w:top w:val="single" w:color="000000" w:sz="4" w:space="0"/>
              <w:left w:val="nil"/>
              <w:bottom w:val="single" w:color="000000" w:sz="4" w:space="0"/>
              <w:right w:val="single" w:color="000000" w:sz="4" w:space="0"/>
            </w:tcBorders>
            <w:vAlign w:val="center"/>
          </w:tcPr>
          <w:p w14:paraId="56D13343">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16" w:type="dxa"/>
            <w:tcBorders>
              <w:top w:val="single" w:color="000000" w:sz="4" w:space="0"/>
              <w:left w:val="nil"/>
              <w:bottom w:val="single" w:color="000000" w:sz="4" w:space="0"/>
              <w:right w:val="single" w:color="000000" w:sz="4" w:space="0"/>
            </w:tcBorders>
            <w:vAlign w:val="center"/>
          </w:tcPr>
          <w:p w14:paraId="56D13344">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4B">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46">
            <w:pPr>
              <w:widowControl/>
              <w:spacing w:line="276" w:lineRule="auto"/>
              <w:rPr>
                <w:i w:val="0"/>
                <w:iCs w:val="0"/>
                <w:color w:val="auto"/>
                <w:sz w:val="21"/>
                <w:szCs w:val="15"/>
                <w:highlight w:val="none"/>
              </w:rPr>
            </w:pPr>
            <w:r>
              <w:rPr>
                <w:rFonts w:hint="eastAsia"/>
                <w:i w:val="0"/>
                <w:iCs w:val="0"/>
                <w:color w:val="auto"/>
                <w:sz w:val="21"/>
                <w:szCs w:val="15"/>
                <w:highlight w:val="none"/>
              </w:rPr>
              <w:t>16</w:t>
            </w:r>
          </w:p>
        </w:tc>
        <w:tc>
          <w:tcPr>
            <w:tcW w:w="2270" w:type="dxa"/>
            <w:tcBorders>
              <w:top w:val="single" w:color="000000" w:sz="4" w:space="0"/>
              <w:left w:val="nil"/>
              <w:bottom w:val="single" w:color="000000" w:sz="4" w:space="0"/>
              <w:right w:val="single" w:color="000000" w:sz="4" w:space="0"/>
            </w:tcBorders>
            <w:vAlign w:val="center"/>
          </w:tcPr>
          <w:p w14:paraId="56D13347">
            <w:pPr>
              <w:widowControl/>
              <w:spacing w:line="276" w:lineRule="auto"/>
              <w:rPr>
                <w:i w:val="0"/>
                <w:iCs w:val="0"/>
                <w:color w:val="auto"/>
                <w:sz w:val="21"/>
                <w:szCs w:val="15"/>
                <w:highlight w:val="none"/>
              </w:rPr>
            </w:pPr>
            <w:r>
              <w:rPr>
                <w:rFonts w:hint="eastAsia"/>
                <w:i w:val="0"/>
                <w:iCs w:val="0"/>
                <w:color w:val="auto"/>
                <w:sz w:val="21"/>
                <w:szCs w:val="15"/>
                <w:highlight w:val="none"/>
              </w:rPr>
              <w:t>公寓管理系统软件</w:t>
            </w:r>
          </w:p>
        </w:tc>
        <w:tc>
          <w:tcPr>
            <w:tcW w:w="690" w:type="dxa"/>
            <w:tcBorders>
              <w:top w:val="single" w:color="000000" w:sz="4" w:space="0"/>
              <w:left w:val="nil"/>
              <w:bottom w:val="single" w:color="000000" w:sz="4" w:space="0"/>
              <w:right w:val="single" w:color="000000" w:sz="4" w:space="0"/>
            </w:tcBorders>
            <w:vAlign w:val="center"/>
          </w:tcPr>
          <w:p w14:paraId="56D13348">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vAlign w:val="center"/>
          </w:tcPr>
          <w:p w14:paraId="56D13349">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single" w:color="000000" w:sz="4" w:space="0"/>
              <w:right w:val="single" w:color="000000" w:sz="4" w:space="0"/>
            </w:tcBorders>
            <w:vAlign w:val="center"/>
          </w:tcPr>
          <w:p w14:paraId="56D1334A">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51">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4C">
            <w:pPr>
              <w:widowControl/>
              <w:spacing w:line="276" w:lineRule="auto"/>
              <w:rPr>
                <w:i w:val="0"/>
                <w:iCs w:val="0"/>
                <w:color w:val="auto"/>
                <w:sz w:val="21"/>
                <w:szCs w:val="15"/>
                <w:highlight w:val="none"/>
              </w:rPr>
            </w:pPr>
            <w:r>
              <w:rPr>
                <w:rFonts w:hint="eastAsia"/>
                <w:i w:val="0"/>
                <w:iCs w:val="0"/>
                <w:color w:val="auto"/>
                <w:sz w:val="21"/>
                <w:szCs w:val="15"/>
                <w:highlight w:val="none"/>
              </w:rPr>
              <w:t>17</w:t>
            </w:r>
          </w:p>
        </w:tc>
        <w:tc>
          <w:tcPr>
            <w:tcW w:w="2270" w:type="dxa"/>
            <w:tcBorders>
              <w:top w:val="single" w:color="000000" w:sz="4" w:space="0"/>
              <w:left w:val="nil"/>
              <w:bottom w:val="single" w:color="000000" w:sz="4" w:space="0"/>
              <w:right w:val="single" w:color="000000" w:sz="4" w:space="0"/>
            </w:tcBorders>
            <w:vAlign w:val="center"/>
          </w:tcPr>
          <w:p w14:paraId="56D1334D">
            <w:pPr>
              <w:widowControl/>
              <w:spacing w:line="276" w:lineRule="auto"/>
              <w:rPr>
                <w:i w:val="0"/>
                <w:iCs w:val="0"/>
                <w:color w:val="auto"/>
                <w:sz w:val="21"/>
                <w:szCs w:val="15"/>
                <w:highlight w:val="none"/>
              </w:rPr>
            </w:pPr>
            <w:r>
              <w:rPr>
                <w:rFonts w:hint="eastAsia"/>
                <w:i w:val="0"/>
                <w:iCs w:val="0"/>
                <w:color w:val="auto"/>
                <w:sz w:val="21"/>
                <w:szCs w:val="15"/>
                <w:highlight w:val="none"/>
              </w:rPr>
              <w:t>WIFI读卡器</w:t>
            </w:r>
          </w:p>
        </w:tc>
        <w:tc>
          <w:tcPr>
            <w:tcW w:w="690" w:type="dxa"/>
            <w:tcBorders>
              <w:top w:val="single" w:color="000000" w:sz="4" w:space="0"/>
              <w:left w:val="nil"/>
              <w:bottom w:val="single" w:color="000000" w:sz="4" w:space="0"/>
              <w:right w:val="single" w:color="000000" w:sz="4" w:space="0"/>
            </w:tcBorders>
            <w:vAlign w:val="center"/>
          </w:tcPr>
          <w:p w14:paraId="56D1334E">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vAlign w:val="center"/>
          </w:tcPr>
          <w:p w14:paraId="56D1334F">
            <w:pPr>
              <w:widowControl/>
              <w:spacing w:line="276" w:lineRule="auto"/>
              <w:rPr>
                <w:i w:val="0"/>
                <w:iCs w:val="0"/>
                <w:color w:val="auto"/>
                <w:sz w:val="21"/>
                <w:szCs w:val="15"/>
                <w:highlight w:val="none"/>
              </w:rPr>
            </w:pPr>
            <w:r>
              <w:rPr>
                <w:rFonts w:hint="eastAsia"/>
                <w:i w:val="0"/>
                <w:iCs w:val="0"/>
                <w:color w:val="auto"/>
                <w:sz w:val="21"/>
                <w:szCs w:val="15"/>
                <w:highlight w:val="none"/>
              </w:rPr>
              <w:t>8</w:t>
            </w:r>
          </w:p>
        </w:tc>
        <w:tc>
          <w:tcPr>
            <w:tcW w:w="3216" w:type="dxa"/>
            <w:tcBorders>
              <w:top w:val="single" w:color="000000" w:sz="4" w:space="0"/>
              <w:left w:val="nil"/>
              <w:bottom w:val="single" w:color="000000" w:sz="4" w:space="0"/>
              <w:right w:val="single" w:color="000000" w:sz="4" w:space="0"/>
            </w:tcBorders>
            <w:vAlign w:val="center"/>
          </w:tcPr>
          <w:p w14:paraId="56D13350">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硬件。</w:t>
            </w:r>
          </w:p>
        </w:tc>
      </w:tr>
      <w:tr w14:paraId="56D13357">
        <w:tblPrEx>
          <w:tblCellMar>
            <w:top w:w="0" w:type="dxa"/>
            <w:left w:w="108" w:type="dxa"/>
            <w:bottom w:w="0" w:type="dxa"/>
            <w:right w:w="108" w:type="dxa"/>
          </w:tblCellMar>
        </w:tblPrEx>
        <w:trPr>
          <w:trHeight w:val="23" w:hRule="atLeast"/>
          <w:jc w:val="center"/>
        </w:trPr>
        <w:tc>
          <w:tcPr>
            <w:tcW w:w="10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13352">
            <w:pPr>
              <w:widowControl/>
              <w:spacing w:line="276" w:lineRule="auto"/>
              <w:rPr>
                <w:i w:val="0"/>
                <w:iCs w:val="0"/>
                <w:color w:val="auto"/>
                <w:sz w:val="21"/>
                <w:szCs w:val="15"/>
                <w:highlight w:val="none"/>
              </w:rPr>
            </w:pPr>
            <w:r>
              <w:rPr>
                <w:rFonts w:hint="eastAsia"/>
                <w:i w:val="0"/>
                <w:iCs w:val="0"/>
                <w:color w:val="auto"/>
                <w:sz w:val="21"/>
                <w:szCs w:val="15"/>
                <w:highlight w:val="none"/>
              </w:rPr>
              <w:t>18</w:t>
            </w:r>
          </w:p>
        </w:tc>
        <w:tc>
          <w:tcPr>
            <w:tcW w:w="2270" w:type="dxa"/>
            <w:tcBorders>
              <w:top w:val="single" w:color="000000" w:sz="4" w:space="0"/>
              <w:left w:val="nil"/>
              <w:bottom w:val="single" w:color="000000" w:sz="4" w:space="0"/>
              <w:right w:val="single" w:color="000000" w:sz="4" w:space="0"/>
            </w:tcBorders>
            <w:vAlign w:val="center"/>
          </w:tcPr>
          <w:p w14:paraId="56D13353">
            <w:pPr>
              <w:widowControl/>
              <w:spacing w:line="276" w:lineRule="auto"/>
              <w:rPr>
                <w:i w:val="0"/>
                <w:iCs w:val="0"/>
                <w:color w:val="auto"/>
                <w:sz w:val="21"/>
                <w:szCs w:val="15"/>
                <w:highlight w:val="none"/>
              </w:rPr>
            </w:pPr>
            <w:r>
              <w:rPr>
                <w:rFonts w:hint="eastAsia"/>
                <w:i w:val="0"/>
                <w:iCs w:val="0"/>
                <w:color w:val="auto"/>
                <w:sz w:val="21"/>
                <w:szCs w:val="15"/>
                <w:highlight w:val="none"/>
              </w:rPr>
              <w:t>壁挂式机箱</w:t>
            </w:r>
          </w:p>
        </w:tc>
        <w:tc>
          <w:tcPr>
            <w:tcW w:w="690" w:type="dxa"/>
            <w:tcBorders>
              <w:top w:val="single" w:color="000000" w:sz="4" w:space="0"/>
              <w:left w:val="nil"/>
              <w:bottom w:val="single" w:color="000000" w:sz="4" w:space="0"/>
              <w:right w:val="single" w:color="000000" w:sz="4" w:space="0"/>
            </w:tcBorders>
            <w:vAlign w:val="center"/>
          </w:tcPr>
          <w:p w14:paraId="56D13354">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vAlign w:val="center"/>
          </w:tcPr>
          <w:p w14:paraId="56D13355">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216" w:type="dxa"/>
            <w:tcBorders>
              <w:top w:val="single" w:color="000000" w:sz="4" w:space="0"/>
              <w:left w:val="nil"/>
              <w:bottom w:val="single" w:color="000000" w:sz="4" w:space="0"/>
              <w:right w:val="single" w:color="000000" w:sz="4" w:space="0"/>
            </w:tcBorders>
            <w:vAlign w:val="center"/>
          </w:tcPr>
          <w:p w14:paraId="56D13356">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建议规格350</w:t>
            </w:r>
            <w:r>
              <w:rPr>
                <w:rFonts w:hint="eastAsia"/>
                <w:i w:val="0"/>
                <w:iCs w:val="0"/>
                <w:color w:val="auto"/>
                <w:sz w:val="21"/>
                <w:szCs w:val="15"/>
                <w:highlight w:val="none"/>
                <w:lang w:val="en-US" w:eastAsia="zh-CN"/>
              </w:rPr>
              <w:t>x</w:t>
            </w:r>
            <w:r>
              <w:rPr>
                <w:rFonts w:hint="eastAsia"/>
                <w:i w:val="0"/>
                <w:iCs w:val="0"/>
                <w:color w:val="auto"/>
                <w:sz w:val="21"/>
                <w:szCs w:val="15"/>
                <w:highlight w:val="none"/>
              </w:rPr>
              <w:t>600</w:t>
            </w:r>
            <w:r>
              <w:rPr>
                <w:rFonts w:hint="eastAsia"/>
                <w:i w:val="0"/>
                <w:iCs w:val="0"/>
                <w:color w:val="auto"/>
                <w:sz w:val="21"/>
                <w:szCs w:val="15"/>
                <w:highlight w:val="none"/>
                <w:lang w:val="en-US" w:eastAsia="zh-CN"/>
              </w:rPr>
              <w:t>x</w:t>
            </w:r>
            <w:r>
              <w:rPr>
                <w:rFonts w:hint="eastAsia"/>
                <w:i w:val="0"/>
                <w:iCs w:val="0"/>
                <w:color w:val="auto"/>
                <w:sz w:val="21"/>
                <w:szCs w:val="15"/>
                <w:highlight w:val="none"/>
              </w:rPr>
              <w:t>450mm</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bl>
    <w:p w14:paraId="56D13358">
      <w:pPr>
        <w:pStyle w:val="5"/>
        <w:ind w:left="0"/>
        <w:rPr>
          <w:i w:val="0"/>
          <w:iCs w:val="0"/>
          <w:color w:val="auto"/>
          <w:sz w:val="22"/>
          <w:szCs w:val="22"/>
          <w:highlight w:val="none"/>
        </w:rPr>
      </w:pPr>
      <w:bookmarkStart w:id="373" w:name="_Toc3234"/>
      <w:r>
        <w:rPr>
          <w:rFonts w:hint="eastAsia"/>
          <w:i w:val="0"/>
          <w:iCs w:val="0"/>
          <w:color w:val="auto"/>
          <w:sz w:val="22"/>
          <w:szCs w:val="22"/>
          <w:highlight w:val="none"/>
          <w:lang w:val="en-US"/>
        </w:rPr>
        <w:t>主要材料表</w:t>
      </w:r>
      <w:bookmarkEnd w:id="373"/>
    </w:p>
    <w:tbl>
      <w:tblPr>
        <w:tblStyle w:val="88"/>
        <w:tblW w:w="7623" w:type="dxa"/>
        <w:jc w:val="center"/>
        <w:tblLayout w:type="fixed"/>
        <w:tblCellMar>
          <w:top w:w="0" w:type="dxa"/>
          <w:left w:w="108" w:type="dxa"/>
          <w:bottom w:w="0" w:type="dxa"/>
          <w:right w:w="108" w:type="dxa"/>
        </w:tblCellMar>
      </w:tblPr>
      <w:tblGrid>
        <w:gridCol w:w="617"/>
        <w:gridCol w:w="2510"/>
        <w:gridCol w:w="570"/>
        <w:gridCol w:w="790"/>
        <w:gridCol w:w="3136"/>
      </w:tblGrid>
      <w:tr w14:paraId="56D1335E">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59">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2510" w:type="dxa"/>
            <w:tcBorders>
              <w:top w:val="single" w:color="000000" w:sz="4" w:space="0"/>
              <w:left w:val="nil"/>
              <w:bottom w:val="single" w:color="000000" w:sz="4" w:space="0"/>
              <w:right w:val="single" w:color="000000" w:sz="4" w:space="0"/>
            </w:tcBorders>
            <w:vAlign w:val="center"/>
          </w:tcPr>
          <w:p w14:paraId="56D1335A">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570" w:type="dxa"/>
            <w:tcBorders>
              <w:top w:val="single" w:color="000000" w:sz="4" w:space="0"/>
              <w:left w:val="nil"/>
              <w:bottom w:val="single" w:color="000000" w:sz="4" w:space="0"/>
              <w:right w:val="single" w:color="000000" w:sz="4" w:space="0"/>
            </w:tcBorders>
            <w:vAlign w:val="center"/>
          </w:tcPr>
          <w:p w14:paraId="56D1335B">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790" w:type="dxa"/>
            <w:tcBorders>
              <w:top w:val="single" w:color="000000" w:sz="4" w:space="0"/>
              <w:left w:val="nil"/>
              <w:bottom w:val="single" w:color="000000" w:sz="4" w:space="0"/>
              <w:right w:val="single" w:color="000000" w:sz="4" w:space="0"/>
            </w:tcBorders>
            <w:vAlign w:val="center"/>
          </w:tcPr>
          <w:p w14:paraId="56D1335C">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3136" w:type="dxa"/>
            <w:tcBorders>
              <w:top w:val="single" w:color="000000" w:sz="4" w:space="0"/>
              <w:left w:val="nil"/>
              <w:bottom w:val="nil"/>
              <w:right w:val="single" w:color="000000" w:sz="4" w:space="0"/>
            </w:tcBorders>
            <w:vAlign w:val="center"/>
          </w:tcPr>
          <w:p w14:paraId="56D1335D">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364">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5F">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510" w:type="dxa"/>
            <w:tcBorders>
              <w:top w:val="nil"/>
              <w:left w:val="nil"/>
              <w:bottom w:val="single" w:color="000000" w:sz="4" w:space="0"/>
              <w:right w:val="single" w:color="000000" w:sz="4" w:space="0"/>
            </w:tcBorders>
            <w:vAlign w:val="center"/>
          </w:tcPr>
          <w:p w14:paraId="56D13360">
            <w:pPr>
              <w:widowControl/>
              <w:spacing w:line="276" w:lineRule="auto"/>
              <w:rPr>
                <w:i w:val="0"/>
                <w:iCs w:val="0"/>
                <w:color w:val="auto"/>
                <w:sz w:val="21"/>
                <w:szCs w:val="15"/>
                <w:highlight w:val="none"/>
              </w:rPr>
            </w:pPr>
            <w:r>
              <w:rPr>
                <w:rFonts w:hint="eastAsia"/>
                <w:i w:val="0"/>
                <w:iCs w:val="0"/>
                <w:color w:val="auto"/>
                <w:sz w:val="21"/>
                <w:szCs w:val="15"/>
                <w:highlight w:val="none"/>
              </w:rPr>
              <w:t>WDZBN-YJY-3X2.5mm²</w:t>
            </w:r>
          </w:p>
        </w:tc>
        <w:tc>
          <w:tcPr>
            <w:tcW w:w="570" w:type="dxa"/>
            <w:tcBorders>
              <w:top w:val="nil"/>
              <w:left w:val="nil"/>
              <w:bottom w:val="single" w:color="000000" w:sz="4" w:space="0"/>
              <w:right w:val="single" w:color="000000" w:sz="4" w:space="0"/>
            </w:tcBorders>
            <w:vAlign w:val="center"/>
          </w:tcPr>
          <w:p w14:paraId="56D13361">
            <w:pPr>
              <w:widowControl/>
              <w:spacing w:line="276" w:lineRule="auto"/>
              <w:rPr>
                <w:i w:val="0"/>
                <w:iCs w:val="0"/>
                <w:color w:val="auto"/>
                <w:sz w:val="21"/>
                <w:szCs w:val="15"/>
                <w:highlight w:val="none"/>
              </w:rPr>
            </w:pPr>
            <w:r>
              <w:rPr>
                <w:rFonts w:hint="eastAsia"/>
                <w:i w:val="0"/>
                <w:iCs w:val="0"/>
                <w:color w:val="auto"/>
                <w:sz w:val="21"/>
                <w:szCs w:val="15"/>
                <w:highlight w:val="none"/>
              </w:rPr>
              <w:t>米</w:t>
            </w:r>
          </w:p>
        </w:tc>
        <w:tc>
          <w:tcPr>
            <w:tcW w:w="790" w:type="dxa"/>
            <w:tcBorders>
              <w:top w:val="nil"/>
              <w:left w:val="nil"/>
              <w:bottom w:val="single" w:color="000000" w:sz="4" w:space="0"/>
              <w:right w:val="single" w:color="000000" w:sz="4" w:space="0"/>
            </w:tcBorders>
            <w:vAlign w:val="center"/>
          </w:tcPr>
          <w:p w14:paraId="56D1336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600</w:t>
            </w:r>
          </w:p>
        </w:tc>
        <w:tc>
          <w:tcPr>
            <w:tcW w:w="3136" w:type="dxa"/>
            <w:tcBorders>
              <w:top w:val="single" w:color="000000" w:sz="4" w:space="0"/>
              <w:left w:val="nil"/>
              <w:bottom w:val="single" w:color="000000" w:sz="4" w:space="0"/>
              <w:right w:val="single" w:color="000000" w:sz="4" w:space="0"/>
            </w:tcBorders>
            <w:vAlign w:val="center"/>
          </w:tcPr>
          <w:p w14:paraId="56D13363">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低烟无卤阻燃耐火，燃烧性能满足BI级。</w:t>
            </w:r>
          </w:p>
        </w:tc>
      </w:tr>
      <w:tr w14:paraId="56D1336A">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65">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2510" w:type="dxa"/>
            <w:tcBorders>
              <w:top w:val="nil"/>
              <w:left w:val="nil"/>
              <w:bottom w:val="single" w:color="000000" w:sz="4" w:space="0"/>
              <w:right w:val="single" w:color="000000" w:sz="4" w:space="0"/>
            </w:tcBorders>
            <w:vAlign w:val="center"/>
          </w:tcPr>
          <w:p w14:paraId="56D13366">
            <w:pPr>
              <w:widowControl/>
              <w:spacing w:line="276" w:lineRule="auto"/>
              <w:rPr>
                <w:i w:val="0"/>
                <w:iCs w:val="0"/>
                <w:color w:val="auto"/>
                <w:sz w:val="21"/>
                <w:szCs w:val="15"/>
                <w:highlight w:val="none"/>
              </w:rPr>
            </w:pPr>
            <w:r>
              <w:rPr>
                <w:rFonts w:hint="eastAsia"/>
                <w:i w:val="0"/>
                <w:iCs w:val="0"/>
                <w:color w:val="auto"/>
                <w:sz w:val="21"/>
                <w:szCs w:val="15"/>
                <w:highlight w:val="none"/>
              </w:rPr>
              <w:t>超五类屏蔽双绞线</w:t>
            </w:r>
          </w:p>
        </w:tc>
        <w:tc>
          <w:tcPr>
            <w:tcW w:w="570" w:type="dxa"/>
            <w:tcBorders>
              <w:top w:val="nil"/>
              <w:left w:val="nil"/>
              <w:bottom w:val="single" w:color="000000" w:sz="4" w:space="0"/>
              <w:right w:val="single" w:color="000000" w:sz="4" w:space="0"/>
            </w:tcBorders>
            <w:vAlign w:val="center"/>
          </w:tcPr>
          <w:p w14:paraId="56D13367">
            <w:pPr>
              <w:widowControl/>
              <w:spacing w:line="276" w:lineRule="auto"/>
              <w:rPr>
                <w:i w:val="0"/>
                <w:iCs w:val="0"/>
                <w:color w:val="auto"/>
                <w:sz w:val="21"/>
                <w:szCs w:val="15"/>
                <w:highlight w:val="none"/>
              </w:rPr>
            </w:pPr>
            <w:r>
              <w:rPr>
                <w:rFonts w:hint="eastAsia"/>
                <w:i w:val="0"/>
                <w:iCs w:val="0"/>
                <w:color w:val="auto"/>
                <w:sz w:val="21"/>
                <w:szCs w:val="15"/>
                <w:highlight w:val="none"/>
              </w:rPr>
              <w:t>米</w:t>
            </w:r>
          </w:p>
        </w:tc>
        <w:tc>
          <w:tcPr>
            <w:tcW w:w="790" w:type="dxa"/>
            <w:tcBorders>
              <w:top w:val="nil"/>
              <w:left w:val="nil"/>
              <w:bottom w:val="single" w:color="000000" w:sz="4" w:space="0"/>
              <w:right w:val="single" w:color="000000" w:sz="4" w:space="0"/>
            </w:tcBorders>
            <w:vAlign w:val="center"/>
          </w:tcPr>
          <w:p w14:paraId="56D1336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1600</w:t>
            </w:r>
          </w:p>
        </w:tc>
        <w:tc>
          <w:tcPr>
            <w:tcW w:w="3136" w:type="dxa"/>
            <w:tcBorders>
              <w:top w:val="single" w:color="000000" w:sz="4" w:space="0"/>
              <w:left w:val="nil"/>
              <w:bottom w:val="single" w:color="000000" w:sz="4" w:space="0"/>
              <w:right w:val="single" w:color="000000" w:sz="4" w:space="0"/>
            </w:tcBorders>
            <w:vAlign w:val="center"/>
          </w:tcPr>
          <w:p w14:paraId="56D13369">
            <w:pPr>
              <w:widowControl/>
              <w:spacing w:line="276" w:lineRule="auto"/>
              <w:rPr>
                <w:i w:val="0"/>
                <w:iCs w:val="0"/>
                <w:color w:val="auto"/>
                <w:sz w:val="21"/>
                <w:szCs w:val="15"/>
                <w:highlight w:val="none"/>
              </w:rPr>
            </w:pPr>
            <w:r>
              <w:rPr>
                <w:rFonts w:hint="eastAsia"/>
                <w:i w:val="0"/>
                <w:iCs w:val="0"/>
                <w:color w:val="auto"/>
                <w:sz w:val="21"/>
                <w:szCs w:val="15"/>
                <w:highlight w:val="none"/>
              </w:rPr>
              <w:t>低烟无卤耐火阻燃，燃烧性能满足B1级</w:t>
            </w:r>
          </w:p>
        </w:tc>
      </w:tr>
      <w:tr w14:paraId="56D13370">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6B">
            <w:pPr>
              <w:widowControl/>
              <w:spacing w:line="276" w:lineRule="auto"/>
              <w:rPr>
                <w:i w:val="0"/>
                <w:iCs w:val="0"/>
                <w:color w:val="auto"/>
                <w:sz w:val="21"/>
                <w:szCs w:val="15"/>
                <w:highlight w:val="none"/>
              </w:rPr>
            </w:pPr>
            <w:r>
              <w:rPr>
                <w:rFonts w:hint="eastAsia"/>
                <w:i w:val="0"/>
                <w:iCs w:val="0"/>
                <w:color w:val="auto"/>
                <w:sz w:val="21"/>
                <w:szCs w:val="15"/>
                <w:highlight w:val="none"/>
              </w:rPr>
              <w:t>3</w:t>
            </w:r>
          </w:p>
        </w:tc>
        <w:tc>
          <w:tcPr>
            <w:tcW w:w="2510" w:type="dxa"/>
            <w:tcBorders>
              <w:top w:val="nil"/>
              <w:left w:val="nil"/>
              <w:bottom w:val="single" w:color="000000" w:sz="4" w:space="0"/>
              <w:right w:val="single" w:color="000000" w:sz="4" w:space="0"/>
            </w:tcBorders>
            <w:vAlign w:val="center"/>
          </w:tcPr>
          <w:p w14:paraId="56D1336C">
            <w:pPr>
              <w:widowControl/>
              <w:spacing w:line="276" w:lineRule="auto"/>
              <w:rPr>
                <w:i w:val="0"/>
                <w:iCs w:val="0"/>
                <w:color w:val="auto"/>
                <w:sz w:val="21"/>
                <w:szCs w:val="15"/>
                <w:highlight w:val="none"/>
              </w:rPr>
            </w:pPr>
            <w:r>
              <w:rPr>
                <w:rFonts w:hint="eastAsia"/>
                <w:i w:val="0"/>
                <w:iCs w:val="0"/>
                <w:color w:val="auto"/>
                <w:sz w:val="21"/>
                <w:szCs w:val="15"/>
                <w:highlight w:val="none"/>
              </w:rPr>
              <w:t>HDMI高清线</w:t>
            </w:r>
          </w:p>
        </w:tc>
        <w:tc>
          <w:tcPr>
            <w:tcW w:w="570" w:type="dxa"/>
            <w:tcBorders>
              <w:top w:val="nil"/>
              <w:left w:val="nil"/>
              <w:bottom w:val="single" w:color="000000" w:sz="4" w:space="0"/>
              <w:right w:val="single" w:color="000000" w:sz="4" w:space="0"/>
            </w:tcBorders>
            <w:vAlign w:val="center"/>
          </w:tcPr>
          <w:p w14:paraId="56D1336D">
            <w:pPr>
              <w:widowControl/>
              <w:spacing w:line="276" w:lineRule="auto"/>
              <w:rPr>
                <w:i w:val="0"/>
                <w:iCs w:val="0"/>
                <w:color w:val="auto"/>
                <w:sz w:val="21"/>
                <w:szCs w:val="15"/>
                <w:highlight w:val="none"/>
              </w:rPr>
            </w:pPr>
            <w:r>
              <w:rPr>
                <w:rFonts w:hint="eastAsia"/>
                <w:i w:val="0"/>
                <w:iCs w:val="0"/>
                <w:color w:val="auto"/>
                <w:sz w:val="21"/>
                <w:szCs w:val="15"/>
                <w:highlight w:val="none"/>
              </w:rPr>
              <w:t>根</w:t>
            </w:r>
          </w:p>
        </w:tc>
        <w:tc>
          <w:tcPr>
            <w:tcW w:w="790" w:type="dxa"/>
            <w:tcBorders>
              <w:top w:val="nil"/>
              <w:left w:val="nil"/>
              <w:bottom w:val="single" w:color="000000" w:sz="4" w:space="0"/>
              <w:right w:val="single" w:color="000000" w:sz="4" w:space="0"/>
            </w:tcBorders>
            <w:vAlign w:val="center"/>
          </w:tcPr>
          <w:p w14:paraId="56D1336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8</w:t>
            </w:r>
          </w:p>
        </w:tc>
        <w:tc>
          <w:tcPr>
            <w:tcW w:w="3136" w:type="dxa"/>
            <w:tcBorders>
              <w:top w:val="single" w:color="000000" w:sz="4" w:space="0"/>
              <w:left w:val="nil"/>
              <w:bottom w:val="single" w:color="000000" w:sz="4" w:space="0"/>
              <w:right w:val="single" w:color="000000" w:sz="4" w:space="0"/>
            </w:tcBorders>
            <w:vAlign w:val="center"/>
          </w:tcPr>
          <w:p w14:paraId="56D1336F">
            <w:pPr>
              <w:widowControl/>
              <w:spacing w:line="276" w:lineRule="auto"/>
              <w:rPr>
                <w:i w:val="0"/>
                <w:iCs w:val="0"/>
                <w:color w:val="auto"/>
                <w:sz w:val="21"/>
                <w:szCs w:val="15"/>
                <w:highlight w:val="none"/>
              </w:rPr>
            </w:pPr>
          </w:p>
        </w:tc>
      </w:tr>
      <w:tr w14:paraId="56D13376">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71">
            <w:pPr>
              <w:widowControl/>
              <w:spacing w:line="276" w:lineRule="auto"/>
              <w:rPr>
                <w:i w:val="0"/>
                <w:iCs w:val="0"/>
                <w:color w:val="auto"/>
                <w:sz w:val="21"/>
                <w:szCs w:val="15"/>
                <w:highlight w:val="none"/>
              </w:rPr>
            </w:pPr>
            <w:r>
              <w:rPr>
                <w:rFonts w:hint="eastAsia"/>
                <w:i w:val="0"/>
                <w:iCs w:val="0"/>
                <w:color w:val="auto"/>
                <w:sz w:val="21"/>
                <w:szCs w:val="15"/>
                <w:highlight w:val="none"/>
              </w:rPr>
              <w:t>4</w:t>
            </w:r>
          </w:p>
        </w:tc>
        <w:tc>
          <w:tcPr>
            <w:tcW w:w="2510" w:type="dxa"/>
            <w:tcBorders>
              <w:top w:val="nil"/>
              <w:left w:val="nil"/>
              <w:bottom w:val="single" w:color="000000" w:sz="4" w:space="0"/>
              <w:right w:val="single" w:color="000000" w:sz="4" w:space="0"/>
            </w:tcBorders>
            <w:vAlign w:val="center"/>
          </w:tcPr>
          <w:p w14:paraId="56D13372">
            <w:pPr>
              <w:widowControl/>
              <w:spacing w:line="276" w:lineRule="auto"/>
              <w:rPr>
                <w:i w:val="0"/>
                <w:iCs w:val="0"/>
                <w:color w:val="auto"/>
                <w:sz w:val="21"/>
                <w:szCs w:val="15"/>
                <w:highlight w:val="none"/>
              </w:rPr>
            </w:pPr>
            <w:r>
              <w:rPr>
                <w:rFonts w:hint="eastAsia"/>
                <w:i w:val="0"/>
                <w:iCs w:val="0"/>
                <w:color w:val="auto"/>
                <w:sz w:val="21"/>
                <w:szCs w:val="15"/>
                <w:highlight w:val="none"/>
              </w:rPr>
              <w:t>镀锌钢管SC25</w:t>
            </w:r>
          </w:p>
        </w:tc>
        <w:tc>
          <w:tcPr>
            <w:tcW w:w="570" w:type="dxa"/>
            <w:tcBorders>
              <w:top w:val="nil"/>
              <w:left w:val="nil"/>
              <w:bottom w:val="single" w:color="000000" w:sz="4" w:space="0"/>
              <w:right w:val="single" w:color="000000" w:sz="4" w:space="0"/>
            </w:tcBorders>
            <w:vAlign w:val="center"/>
          </w:tcPr>
          <w:p w14:paraId="56D13373">
            <w:pPr>
              <w:widowControl/>
              <w:spacing w:line="276" w:lineRule="auto"/>
              <w:rPr>
                <w:i w:val="0"/>
                <w:iCs w:val="0"/>
                <w:color w:val="auto"/>
                <w:sz w:val="21"/>
                <w:szCs w:val="15"/>
                <w:highlight w:val="none"/>
              </w:rPr>
            </w:pPr>
            <w:r>
              <w:rPr>
                <w:rFonts w:hint="eastAsia"/>
                <w:i w:val="0"/>
                <w:iCs w:val="0"/>
                <w:color w:val="auto"/>
                <w:sz w:val="21"/>
                <w:szCs w:val="15"/>
                <w:highlight w:val="none"/>
              </w:rPr>
              <w:t>米</w:t>
            </w:r>
          </w:p>
        </w:tc>
        <w:tc>
          <w:tcPr>
            <w:tcW w:w="790" w:type="dxa"/>
            <w:tcBorders>
              <w:top w:val="nil"/>
              <w:left w:val="nil"/>
              <w:bottom w:val="single" w:color="000000" w:sz="4" w:space="0"/>
              <w:right w:val="single" w:color="000000" w:sz="4" w:space="0"/>
            </w:tcBorders>
            <w:vAlign w:val="center"/>
          </w:tcPr>
          <w:p w14:paraId="56D1337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1200</w:t>
            </w:r>
          </w:p>
        </w:tc>
        <w:tc>
          <w:tcPr>
            <w:tcW w:w="3136" w:type="dxa"/>
            <w:tcBorders>
              <w:top w:val="single" w:color="000000" w:sz="4" w:space="0"/>
              <w:left w:val="nil"/>
              <w:bottom w:val="single" w:color="000000" w:sz="4" w:space="0"/>
              <w:right w:val="single" w:color="000000" w:sz="4" w:space="0"/>
            </w:tcBorders>
            <w:vAlign w:val="center"/>
          </w:tcPr>
          <w:p w14:paraId="56D13375">
            <w:pPr>
              <w:widowControl/>
              <w:spacing w:line="276" w:lineRule="auto"/>
              <w:rPr>
                <w:i w:val="0"/>
                <w:iCs w:val="0"/>
                <w:color w:val="auto"/>
                <w:sz w:val="21"/>
                <w:szCs w:val="15"/>
                <w:highlight w:val="none"/>
              </w:rPr>
            </w:pPr>
          </w:p>
        </w:tc>
      </w:tr>
    </w:tbl>
    <w:p w14:paraId="56D13377">
      <w:pPr>
        <w:spacing w:line="360" w:lineRule="auto"/>
        <w:rPr>
          <w:rFonts w:hint="eastAsia" w:ascii="宋体" w:hAnsi="宋体" w:eastAsia="宋体"/>
          <w:i w:val="0"/>
          <w:iCs w:val="0"/>
          <w:color w:val="auto"/>
          <w:sz w:val="15"/>
          <w:szCs w:val="15"/>
          <w:highlight w:val="none"/>
        </w:rPr>
      </w:pPr>
    </w:p>
    <w:p w14:paraId="56D13379">
      <w:pPr>
        <w:pStyle w:val="4"/>
        <w:rPr>
          <w:i w:val="0"/>
          <w:iCs w:val="0"/>
          <w:color w:val="auto"/>
          <w:sz w:val="24"/>
          <w:szCs w:val="21"/>
          <w:highlight w:val="none"/>
        </w:rPr>
      </w:pPr>
      <w:bookmarkStart w:id="374" w:name="_Toc30843"/>
      <w:r>
        <w:rPr>
          <w:rFonts w:hint="eastAsia"/>
          <w:i w:val="0"/>
          <w:iCs w:val="0"/>
          <w:color w:val="auto"/>
          <w:sz w:val="24"/>
          <w:szCs w:val="21"/>
          <w:highlight w:val="none"/>
        </w:rPr>
        <w:t>智能运维主要设备材料表</w:t>
      </w:r>
      <w:bookmarkEnd w:id="374"/>
    </w:p>
    <w:p w14:paraId="56D1337A">
      <w:pPr>
        <w:pStyle w:val="5"/>
        <w:ind w:left="0"/>
        <w:rPr>
          <w:i w:val="0"/>
          <w:iCs w:val="0"/>
          <w:color w:val="auto"/>
          <w:sz w:val="22"/>
          <w:szCs w:val="22"/>
          <w:highlight w:val="none"/>
        </w:rPr>
      </w:pPr>
      <w:bookmarkStart w:id="375" w:name="_Toc1013"/>
      <w:r>
        <w:rPr>
          <w:rFonts w:hint="eastAsia"/>
          <w:i w:val="0"/>
          <w:iCs w:val="0"/>
          <w:color w:val="auto"/>
          <w:sz w:val="22"/>
          <w:szCs w:val="22"/>
          <w:highlight w:val="none"/>
        </w:rPr>
        <w:t>智能运维平台供货清单</w:t>
      </w:r>
      <w:bookmarkEnd w:id="375"/>
    </w:p>
    <w:tbl>
      <w:tblPr>
        <w:tblStyle w:val="88"/>
        <w:tblW w:w="7639" w:type="dxa"/>
        <w:jc w:val="center"/>
        <w:tblLayout w:type="autofit"/>
        <w:tblCellMar>
          <w:top w:w="0" w:type="dxa"/>
          <w:left w:w="108" w:type="dxa"/>
          <w:bottom w:w="0" w:type="dxa"/>
          <w:right w:w="108" w:type="dxa"/>
        </w:tblCellMar>
      </w:tblPr>
      <w:tblGrid>
        <w:gridCol w:w="617"/>
        <w:gridCol w:w="2582"/>
        <w:gridCol w:w="570"/>
        <w:gridCol w:w="630"/>
        <w:gridCol w:w="3240"/>
      </w:tblGrid>
      <w:tr w14:paraId="56D13380">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7B">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2582" w:type="dxa"/>
            <w:tcBorders>
              <w:top w:val="single" w:color="000000" w:sz="4" w:space="0"/>
              <w:left w:val="nil"/>
              <w:bottom w:val="single" w:color="000000" w:sz="4" w:space="0"/>
              <w:right w:val="single" w:color="000000" w:sz="4" w:space="0"/>
            </w:tcBorders>
            <w:vAlign w:val="center"/>
          </w:tcPr>
          <w:p w14:paraId="56D1337C">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570" w:type="dxa"/>
            <w:tcBorders>
              <w:top w:val="single" w:color="000000" w:sz="4" w:space="0"/>
              <w:left w:val="nil"/>
              <w:bottom w:val="single" w:color="000000" w:sz="4" w:space="0"/>
              <w:right w:val="single" w:color="000000" w:sz="4" w:space="0"/>
            </w:tcBorders>
            <w:vAlign w:val="center"/>
          </w:tcPr>
          <w:p w14:paraId="56D1337D">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630" w:type="dxa"/>
            <w:tcBorders>
              <w:top w:val="single" w:color="000000" w:sz="4" w:space="0"/>
              <w:left w:val="nil"/>
              <w:bottom w:val="single" w:color="000000" w:sz="4" w:space="0"/>
              <w:right w:val="single" w:color="000000" w:sz="4" w:space="0"/>
            </w:tcBorders>
            <w:vAlign w:val="center"/>
          </w:tcPr>
          <w:p w14:paraId="56D1337E">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3240" w:type="dxa"/>
            <w:tcBorders>
              <w:top w:val="single" w:color="000000" w:sz="4" w:space="0"/>
              <w:left w:val="nil"/>
              <w:bottom w:val="nil"/>
              <w:right w:val="single" w:color="000000" w:sz="4" w:space="0"/>
            </w:tcBorders>
            <w:vAlign w:val="center"/>
          </w:tcPr>
          <w:p w14:paraId="56D1337F">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386">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81">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582" w:type="dxa"/>
            <w:tcBorders>
              <w:top w:val="nil"/>
              <w:left w:val="nil"/>
              <w:bottom w:val="single" w:color="000000" w:sz="4" w:space="0"/>
              <w:right w:val="single" w:color="000000" w:sz="4" w:space="0"/>
            </w:tcBorders>
            <w:vAlign w:val="center"/>
          </w:tcPr>
          <w:p w14:paraId="56D13382">
            <w:pPr>
              <w:widowControl/>
              <w:spacing w:line="276" w:lineRule="auto"/>
              <w:rPr>
                <w:i w:val="0"/>
                <w:iCs w:val="0"/>
                <w:color w:val="auto"/>
                <w:sz w:val="21"/>
                <w:szCs w:val="15"/>
                <w:highlight w:val="none"/>
              </w:rPr>
            </w:pPr>
            <w:r>
              <w:rPr>
                <w:rFonts w:hint="eastAsia"/>
                <w:i w:val="0"/>
                <w:iCs w:val="0"/>
                <w:color w:val="auto"/>
                <w:sz w:val="21"/>
                <w:szCs w:val="15"/>
                <w:highlight w:val="none"/>
              </w:rPr>
              <w:t>智能运维数据接入</w:t>
            </w:r>
          </w:p>
        </w:tc>
        <w:tc>
          <w:tcPr>
            <w:tcW w:w="570" w:type="dxa"/>
            <w:tcBorders>
              <w:top w:val="single" w:color="000000" w:sz="4" w:space="0"/>
              <w:left w:val="nil"/>
              <w:bottom w:val="single" w:color="000000" w:sz="4" w:space="0"/>
              <w:right w:val="single" w:color="000000" w:sz="4" w:space="0"/>
            </w:tcBorders>
            <w:vAlign w:val="center"/>
          </w:tcPr>
          <w:p w14:paraId="56D13383">
            <w:pPr>
              <w:widowControl/>
              <w:spacing w:line="276" w:lineRule="auto"/>
              <w:rPr>
                <w:i w:val="0"/>
                <w:iCs w:val="0"/>
                <w:color w:val="auto"/>
                <w:sz w:val="21"/>
                <w:szCs w:val="15"/>
                <w:highlight w:val="none"/>
              </w:rPr>
            </w:pPr>
          </w:p>
        </w:tc>
        <w:tc>
          <w:tcPr>
            <w:tcW w:w="630" w:type="dxa"/>
            <w:tcBorders>
              <w:top w:val="single" w:color="000000" w:sz="4" w:space="0"/>
              <w:left w:val="nil"/>
              <w:bottom w:val="single" w:color="000000" w:sz="4" w:space="0"/>
              <w:right w:val="single" w:color="000000" w:sz="4" w:space="0"/>
            </w:tcBorders>
            <w:vAlign w:val="center"/>
          </w:tcPr>
          <w:p w14:paraId="56D13384">
            <w:pPr>
              <w:widowControl/>
              <w:spacing w:line="276" w:lineRule="auto"/>
              <w:rPr>
                <w:i w:val="0"/>
                <w:iCs w:val="0"/>
                <w:color w:val="auto"/>
                <w:sz w:val="21"/>
                <w:szCs w:val="15"/>
                <w:highlight w:val="none"/>
              </w:rPr>
            </w:pPr>
          </w:p>
        </w:tc>
        <w:tc>
          <w:tcPr>
            <w:tcW w:w="3240" w:type="dxa"/>
            <w:tcBorders>
              <w:top w:val="single" w:color="000000" w:sz="4" w:space="0"/>
              <w:left w:val="nil"/>
              <w:bottom w:val="single" w:color="000000" w:sz="4" w:space="0"/>
              <w:right w:val="single" w:color="000000" w:sz="4" w:space="0"/>
            </w:tcBorders>
            <w:vAlign w:val="center"/>
          </w:tcPr>
          <w:p w14:paraId="56D13385">
            <w:pPr>
              <w:widowControl/>
              <w:spacing w:line="276" w:lineRule="auto"/>
              <w:rPr>
                <w:i w:val="0"/>
                <w:iCs w:val="0"/>
                <w:color w:val="auto"/>
                <w:sz w:val="21"/>
                <w:szCs w:val="15"/>
                <w:highlight w:val="none"/>
              </w:rPr>
            </w:pPr>
          </w:p>
        </w:tc>
      </w:tr>
      <w:tr w14:paraId="56D1338C">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87">
            <w:pPr>
              <w:widowControl/>
              <w:spacing w:line="276" w:lineRule="auto"/>
              <w:rPr>
                <w:i w:val="0"/>
                <w:iCs w:val="0"/>
                <w:color w:val="auto"/>
                <w:sz w:val="21"/>
                <w:szCs w:val="15"/>
                <w:highlight w:val="none"/>
              </w:rPr>
            </w:pPr>
            <w:r>
              <w:rPr>
                <w:rFonts w:hint="eastAsia"/>
                <w:i w:val="0"/>
                <w:iCs w:val="0"/>
                <w:color w:val="auto"/>
                <w:sz w:val="21"/>
                <w:szCs w:val="15"/>
                <w:highlight w:val="none"/>
              </w:rPr>
              <w:t>1.1</w:t>
            </w:r>
          </w:p>
        </w:tc>
        <w:tc>
          <w:tcPr>
            <w:tcW w:w="2582" w:type="dxa"/>
            <w:tcBorders>
              <w:top w:val="nil"/>
              <w:left w:val="nil"/>
              <w:bottom w:val="single" w:color="000000" w:sz="4" w:space="0"/>
              <w:right w:val="single" w:color="000000" w:sz="4" w:space="0"/>
            </w:tcBorders>
            <w:vAlign w:val="center"/>
          </w:tcPr>
          <w:p w14:paraId="56D13388">
            <w:pPr>
              <w:widowControl/>
              <w:spacing w:line="276" w:lineRule="auto"/>
              <w:rPr>
                <w:i w:val="0"/>
                <w:iCs w:val="0"/>
                <w:color w:val="auto"/>
                <w:sz w:val="21"/>
                <w:szCs w:val="15"/>
                <w:highlight w:val="none"/>
              </w:rPr>
            </w:pPr>
            <w:r>
              <w:rPr>
                <w:rFonts w:hint="eastAsia"/>
                <w:i w:val="0"/>
                <w:iCs w:val="0"/>
                <w:color w:val="auto"/>
                <w:sz w:val="21"/>
                <w:szCs w:val="15"/>
                <w:highlight w:val="none"/>
              </w:rPr>
              <w:t>通信智能运维数据接入</w:t>
            </w:r>
          </w:p>
        </w:tc>
        <w:tc>
          <w:tcPr>
            <w:tcW w:w="570" w:type="dxa"/>
            <w:tcBorders>
              <w:top w:val="nil"/>
              <w:left w:val="nil"/>
              <w:bottom w:val="single" w:color="000000" w:sz="4" w:space="0"/>
              <w:right w:val="single" w:color="000000" w:sz="4" w:space="0"/>
            </w:tcBorders>
            <w:vAlign w:val="center"/>
          </w:tcPr>
          <w:p w14:paraId="56D13389">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8A">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8B">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软件。</w:t>
            </w:r>
          </w:p>
        </w:tc>
      </w:tr>
      <w:tr w14:paraId="56D13392">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8D">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2</w:t>
            </w:r>
          </w:p>
        </w:tc>
        <w:tc>
          <w:tcPr>
            <w:tcW w:w="2582" w:type="dxa"/>
            <w:tcBorders>
              <w:top w:val="nil"/>
              <w:left w:val="nil"/>
              <w:bottom w:val="single" w:color="000000" w:sz="4" w:space="0"/>
              <w:right w:val="single" w:color="000000" w:sz="4" w:space="0"/>
            </w:tcBorders>
            <w:vAlign w:val="center"/>
          </w:tcPr>
          <w:p w14:paraId="56D1338E">
            <w:pPr>
              <w:widowControl/>
              <w:spacing w:line="276" w:lineRule="auto"/>
              <w:rPr>
                <w:i w:val="0"/>
                <w:iCs w:val="0"/>
                <w:color w:val="auto"/>
                <w:sz w:val="21"/>
                <w:szCs w:val="15"/>
                <w:highlight w:val="none"/>
              </w:rPr>
            </w:pPr>
            <w:r>
              <w:rPr>
                <w:rFonts w:hint="eastAsia"/>
                <w:i w:val="0"/>
                <w:iCs w:val="0"/>
                <w:color w:val="auto"/>
                <w:sz w:val="21"/>
                <w:szCs w:val="15"/>
                <w:highlight w:val="none"/>
              </w:rPr>
              <w:t>电扶梯智能运维数据接入</w:t>
            </w:r>
          </w:p>
        </w:tc>
        <w:tc>
          <w:tcPr>
            <w:tcW w:w="570" w:type="dxa"/>
            <w:tcBorders>
              <w:top w:val="nil"/>
              <w:left w:val="nil"/>
              <w:bottom w:val="single" w:color="000000" w:sz="4" w:space="0"/>
              <w:right w:val="single" w:color="000000" w:sz="4" w:space="0"/>
            </w:tcBorders>
            <w:vAlign w:val="center"/>
          </w:tcPr>
          <w:p w14:paraId="56D1338F">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90">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91">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98">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93">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3</w:t>
            </w:r>
          </w:p>
        </w:tc>
        <w:tc>
          <w:tcPr>
            <w:tcW w:w="2582" w:type="dxa"/>
            <w:tcBorders>
              <w:top w:val="nil"/>
              <w:left w:val="nil"/>
              <w:bottom w:val="single" w:color="000000" w:sz="4" w:space="0"/>
              <w:right w:val="single" w:color="000000" w:sz="4" w:space="0"/>
            </w:tcBorders>
            <w:vAlign w:val="center"/>
          </w:tcPr>
          <w:p w14:paraId="56D13394">
            <w:pPr>
              <w:widowControl/>
              <w:spacing w:line="276" w:lineRule="auto"/>
              <w:rPr>
                <w:i w:val="0"/>
                <w:iCs w:val="0"/>
                <w:color w:val="auto"/>
                <w:sz w:val="21"/>
                <w:szCs w:val="15"/>
                <w:highlight w:val="none"/>
              </w:rPr>
            </w:pPr>
            <w:r>
              <w:rPr>
                <w:rFonts w:hint="eastAsia"/>
                <w:i w:val="0"/>
                <w:iCs w:val="0"/>
                <w:color w:val="auto"/>
                <w:sz w:val="21"/>
                <w:szCs w:val="15"/>
                <w:highlight w:val="none"/>
              </w:rPr>
              <w:t>供电智能运维数据接入</w:t>
            </w:r>
          </w:p>
        </w:tc>
        <w:tc>
          <w:tcPr>
            <w:tcW w:w="570" w:type="dxa"/>
            <w:tcBorders>
              <w:top w:val="nil"/>
              <w:left w:val="nil"/>
              <w:bottom w:val="single" w:color="000000" w:sz="4" w:space="0"/>
              <w:right w:val="single" w:color="000000" w:sz="4" w:space="0"/>
            </w:tcBorders>
            <w:vAlign w:val="center"/>
          </w:tcPr>
          <w:p w14:paraId="56D13395">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96">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97">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9E">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99">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4</w:t>
            </w:r>
          </w:p>
        </w:tc>
        <w:tc>
          <w:tcPr>
            <w:tcW w:w="2582" w:type="dxa"/>
            <w:tcBorders>
              <w:top w:val="nil"/>
              <w:left w:val="nil"/>
              <w:bottom w:val="single" w:color="000000" w:sz="4" w:space="0"/>
              <w:right w:val="single" w:color="000000" w:sz="4" w:space="0"/>
            </w:tcBorders>
            <w:shd w:val="clear" w:color="auto" w:fill="auto"/>
            <w:vAlign w:val="center"/>
          </w:tcPr>
          <w:p w14:paraId="56D1339A">
            <w:pPr>
              <w:widowControl/>
              <w:spacing w:line="276" w:lineRule="auto"/>
              <w:rPr>
                <w:i w:val="0"/>
                <w:iCs w:val="0"/>
                <w:color w:val="auto"/>
                <w:sz w:val="21"/>
                <w:szCs w:val="15"/>
                <w:highlight w:val="none"/>
              </w:rPr>
            </w:pPr>
            <w:r>
              <w:rPr>
                <w:rFonts w:hint="eastAsia"/>
                <w:i w:val="0"/>
                <w:iCs w:val="0"/>
                <w:color w:val="auto"/>
                <w:sz w:val="21"/>
                <w:szCs w:val="15"/>
                <w:highlight w:val="none"/>
              </w:rPr>
              <w:t>AFC智能运维数据接入</w:t>
            </w:r>
          </w:p>
        </w:tc>
        <w:tc>
          <w:tcPr>
            <w:tcW w:w="570" w:type="dxa"/>
            <w:tcBorders>
              <w:top w:val="nil"/>
              <w:left w:val="nil"/>
              <w:bottom w:val="single" w:color="000000" w:sz="4" w:space="0"/>
              <w:right w:val="single" w:color="000000" w:sz="4" w:space="0"/>
            </w:tcBorders>
            <w:shd w:val="clear" w:color="auto" w:fill="auto"/>
            <w:vAlign w:val="center"/>
          </w:tcPr>
          <w:p w14:paraId="56D1339B">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shd w:val="clear" w:color="auto" w:fill="auto"/>
            <w:vAlign w:val="center"/>
          </w:tcPr>
          <w:p w14:paraId="56D1339C">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9D">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A4">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9F">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5</w:t>
            </w:r>
          </w:p>
        </w:tc>
        <w:tc>
          <w:tcPr>
            <w:tcW w:w="2582" w:type="dxa"/>
            <w:tcBorders>
              <w:top w:val="nil"/>
              <w:left w:val="nil"/>
              <w:bottom w:val="single" w:color="000000" w:sz="4" w:space="0"/>
              <w:right w:val="single" w:color="000000" w:sz="4" w:space="0"/>
            </w:tcBorders>
            <w:vAlign w:val="center"/>
          </w:tcPr>
          <w:p w14:paraId="56D133A0">
            <w:pPr>
              <w:widowControl/>
              <w:spacing w:line="276" w:lineRule="auto"/>
              <w:rPr>
                <w:i w:val="0"/>
                <w:iCs w:val="0"/>
                <w:color w:val="auto"/>
                <w:sz w:val="21"/>
                <w:szCs w:val="15"/>
                <w:highlight w:val="none"/>
              </w:rPr>
            </w:pPr>
            <w:r>
              <w:rPr>
                <w:rFonts w:hint="eastAsia"/>
                <w:i w:val="0"/>
                <w:iCs w:val="0"/>
                <w:color w:val="auto"/>
                <w:sz w:val="21"/>
                <w:szCs w:val="15"/>
                <w:highlight w:val="none"/>
              </w:rPr>
              <w:t>站台门智能运维数据接入</w:t>
            </w:r>
          </w:p>
        </w:tc>
        <w:tc>
          <w:tcPr>
            <w:tcW w:w="570" w:type="dxa"/>
            <w:tcBorders>
              <w:top w:val="nil"/>
              <w:left w:val="nil"/>
              <w:bottom w:val="single" w:color="000000" w:sz="4" w:space="0"/>
              <w:right w:val="single" w:color="000000" w:sz="4" w:space="0"/>
            </w:tcBorders>
            <w:vAlign w:val="center"/>
          </w:tcPr>
          <w:p w14:paraId="56D133A1">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A2">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A3">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AA">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A5">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2582" w:type="dxa"/>
            <w:tcBorders>
              <w:top w:val="nil"/>
              <w:left w:val="nil"/>
              <w:bottom w:val="single" w:color="000000" w:sz="4" w:space="0"/>
              <w:right w:val="single" w:color="000000" w:sz="4" w:space="0"/>
            </w:tcBorders>
            <w:vAlign w:val="center"/>
          </w:tcPr>
          <w:p w14:paraId="56D133A6">
            <w:pPr>
              <w:widowControl/>
              <w:spacing w:line="276" w:lineRule="auto"/>
              <w:rPr>
                <w:i w:val="0"/>
                <w:iCs w:val="0"/>
                <w:color w:val="auto"/>
                <w:sz w:val="21"/>
                <w:szCs w:val="15"/>
                <w:highlight w:val="none"/>
              </w:rPr>
            </w:pPr>
            <w:r>
              <w:rPr>
                <w:rFonts w:hint="eastAsia"/>
                <w:i w:val="0"/>
                <w:iCs w:val="0"/>
                <w:color w:val="auto"/>
                <w:sz w:val="21"/>
                <w:szCs w:val="15"/>
                <w:highlight w:val="none"/>
              </w:rPr>
              <w:t>智能分析与辅助决策</w:t>
            </w:r>
          </w:p>
        </w:tc>
        <w:tc>
          <w:tcPr>
            <w:tcW w:w="570" w:type="dxa"/>
            <w:tcBorders>
              <w:top w:val="nil"/>
              <w:left w:val="nil"/>
              <w:bottom w:val="single" w:color="000000" w:sz="4" w:space="0"/>
              <w:right w:val="single" w:color="000000" w:sz="4" w:space="0"/>
            </w:tcBorders>
            <w:vAlign w:val="center"/>
          </w:tcPr>
          <w:p w14:paraId="56D133A7">
            <w:pPr>
              <w:widowControl/>
              <w:spacing w:line="276" w:lineRule="auto"/>
              <w:rPr>
                <w:i w:val="0"/>
                <w:iCs w:val="0"/>
                <w:color w:val="auto"/>
                <w:sz w:val="21"/>
                <w:szCs w:val="15"/>
                <w:highlight w:val="none"/>
              </w:rPr>
            </w:pPr>
          </w:p>
        </w:tc>
        <w:tc>
          <w:tcPr>
            <w:tcW w:w="630" w:type="dxa"/>
            <w:tcBorders>
              <w:top w:val="single" w:color="000000" w:sz="4" w:space="0"/>
              <w:left w:val="nil"/>
              <w:bottom w:val="single" w:color="000000" w:sz="4" w:space="0"/>
              <w:right w:val="single" w:color="000000" w:sz="4" w:space="0"/>
            </w:tcBorders>
            <w:vAlign w:val="center"/>
          </w:tcPr>
          <w:p w14:paraId="56D133A8">
            <w:pPr>
              <w:widowControl/>
              <w:spacing w:line="276" w:lineRule="auto"/>
              <w:rPr>
                <w:i w:val="0"/>
                <w:iCs w:val="0"/>
                <w:color w:val="auto"/>
                <w:sz w:val="21"/>
                <w:szCs w:val="15"/>
                <w:highlight w:val="none"/>
              </w:rPr>
            </w:pPr>
          </w:p>
        </w:tc>
        <w:tc>
          <w:tcPr>
            <w:tcW w:w="3240" w:type="dxa"/>
            <w:tcBorders>
              <w:top w:val="single" w:color="000000" w:sz="4" w:space="0"/>
              <w:left w:val="nil"/>
              <w:bottom w:val="single" w:color="000000" w:sz="4" w:space="0"/>
              <w:right w:val="single" w:color="000000" w:sz="4" w:space="0"/>
            </w:tcBorders>
            <w:vAlign w:val="center"/>
          </w:tcPr>
          <w:p w14:paraId="56D133A9">
            <w:pPr>
              <w:widowControl/>
              <w:spacing w:line="276" w:lineRule="auto"/>
              <w:rPr>
                <w:i w:val="0"/>
                <w:iCs w:val="0"/>
                <w:color w:val="auto"/>
                <w:sz w:val="21"/>
                <w:szCs w:val="15"/>
                <w:highlight w:val="none"/>
              </w:rPr>
            </w:pPr>
          </w:p>
        </w:tc>
      </w:tr>
      <w:tr w14:paraId="56D133B0">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AB">
            <w:pPr>
              <w:widowControl/>
              <w:spacing w:line="276" w:lineRule="auto"/>
              <w:rPr>
                <w:i w:val="0"/>
                <w:iCs w:val="0"/>
                <w:color w:val="auto"/>
                <w:sz w:val="21"/>
                <w:szCs w:val="15"/>
                <w:highlight w:val="none"/>
              </w:rPr>
            </w:pPr>
            <w:r>
              <w:rPr>
                <w:rFonts w:hint="eastAsia"/>
                <w:i w:val="0"/>
                <w:iCs w:val="0"/>
                <w:color w:val="auto"/>
                <w:sz w:val="21"/>
                <w:szCs w:val="15"/>
                <w:highlight w:val="none"/>
              </w:rPr>
              <w:t>2.1</w:t>
            </w:r>
          </w:p>
        </w:tc>
        <w:tc>
          <w:tcPr>
            <w:tcW w:w="2582" w:type="dxa"/>
            <w:tcBorders>
              <w:top w:val="nil"/>
              <w:left w:val="nil"/>
              <w:bottom w:val="single" w:color="000000" w:sz="4" w:space="0"/>
              <w:right w:val="single" w:color="000000" w:sz="4" w:space="0"/>
            </w:tcBorders>
            <w:vAlign w:val="center"/>
          </w:tcPr>
          <w:p w14:paraId="56D133AC">
            <w:pPr>
              <w:widowControl/>
              <w:spacing w:line="276" w:lineRule="auto"/>
              <w:rPr>
                <w:i w:val="0"/>
                <w:iCs w:val="0"/>
                <w:color w:val="auto"/>
                <w:sz w:val="21"/>
                <w:szCs w:val="15"/>
                <w:highlight w:val="none"/>
              </w:rPr>
            </w:pPr>
            <w:r>
              <w:rPr>
                <w:rFonts w:hint="eastAsia"/>
                <w:i w:val="0"/>
                <w:iCs w:val="0"/>
                <w:color w:val="auto"/>
                <w:sz w:val="21"/>
                <w:szCs w:val="15"/>
                <w:highlight w:val="none"/>
              </w:rPr>
              <w:t>线路设备自动巡检</w:t>
            </w:r>
          </w:p>
        </w:tc>
        <w:tc>
          <w:tcPr>
            <w:tcW w:w="570" w:type="dxa"/>
            <w:tcBorders>
              <w:top w:val="nil"/>
              <w:left w:val="nil"/>
              <w:bottom w:val="single" w:color="000000" w:sz="4" w:space="0"/>
              <w:right w:val="single" w:color="000000" w:sz="4" w:space="0"/>
            </w:tcBorders>
            <w:vAlign w:val="center"/>
          </w:tcPr>
          <w:p w14:paraId="56D133AD">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AE">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AF">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B6">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B1">
            <w:pPr>
              <w:widowControl/>
              <w:spacing w:line="276" w:lineRule="auto"/>
              <w:rPr>
                <w:i w:val="0"/>
                <w:iCs w:val="0"/>
                <w:color w:val="auto"/>
                <w:sz w:val="21"/>
                <w:szCs w:val="15"/>
                <w:highlight w:val="none"/>
              </w:rPr>
            </w:pPr>
            <w:r>
              <w:rPr>
                <w:rFonts w:hint="eastAsia"/>
                <w:i w:val="0"/>
                <w:iCs w:val="0"/>
                <w:color w:val="auto"/>
                <w:sz w:val="21"/>
                <w:szCs w:val="15"/>
                <w:highlight w:val="none"/>
              </w:rPr>
              <w:t>2.2</w:t>
            </w:r>
          </w:p>
        </w:tc>
        <w:tc>
          <w:tcPr>
            <w:tcW w:w="2582" w:type="dxa"/>
            <w:tcBorders>
              <w:top w:val="nil"/>
              <w:left w:val="nil"/>
              <w:bottom w:val="single" w:color="000000" w:sz="4" w:space="0"/>
              <w:right w:val="single" w:color="000000" w:sz="4" w:space="0"/>
            </w:tcBorders>
            <w:vAlign w:val="center"/>
          </w:tcPr>
          <w:p w14:paraId="56D133B2">
            <w:pPr>
              <w:widowControl/>
              <w:spacing w:line="276" w:lineRule="auto"/>
              <w:rPr>
                <w:i w:val="0"/>
                <w:iCs w:val="0"/>
                <w:color w:val="auto"/>
                <w:sz w:val="21"/>
                <w:szCs w:val="15"/>
                <w:highlight w:val="none"/>
              </w:rPr>
            </w:pPr>
            <w:r>
              <w:rPr>
                <w:rFonts w:hint="eastAsia"/>
                <w:i w:val="0"/>
                <w:iCs w:val="0"/>
                <w:color w:val="auto"/>
                <w:sz w:val="21"/>
                <w:szCs w:val="15"/>
                <w:highlight w:val="none"/>
              </w:rPr>
              <w:t>线路设备状态评估</w:t>
            </w:r>
          </w:p>
        </w:tc>
        <w:tc>
          <w:tcPr>
            <w:tcW w:w="570" w:type="dxa"/>
            <w:tcBorders>
              <w:top w:val="nil"/>
              <w:left w:val="nil"/>
              <w:bottom w:val="single" w:color="000000" w:sz="4" w:space="0"/>
              <w:right w:val="single" w:color="000000" w:sz="4" w:space="0"/>
            </w:tcBorders>
            <w:vAlign w:val="center"/>
          </w:tcPr>
          <w:p w14:paraId="56D133B3">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B4">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B5">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BC">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B7">
            <w:pPr>
              <w:widowControl/>
              <w:spacing w:line="276" w:lineRule="auto"/>
              <w:rPr>
                <w:i w:val="0"/>
                <w:iCs w:val="0"/>
                <w:color w:val="auto"/>
                <w:sz w:val="21"/>
                <w:szCs w:val="15"/>
                <w:highlight w:val="none"/>
              </w:rPr>
            </w:pPr>
            <w:r>
              <w:rPr>
                <w:rFonts w:hint="eastAsia"/>
                <w:i w:val="0"/>
                <w:iCs w:val="0"/>
                <w:color w:val="auto"/>
                <w:sz w:val="21"/>
                <w:szCs w:val="15"/>
                <w:highlight w:val="none"/>
              </w:rPr>
              <w:t>2.3</w:t>
            </w:r>
          </w:p>
        </w:tc>
        <w:tc>
          <w:tcPr>
            <w:tcW w:w="2582" w:type="dxa"/>
            <w:tcBorders>
              <w:top w:val="nil"/>
              <w:left w:val="nil"/>
              <w:bottom w:val="single" w:color="000000" w:sz="4" w:space="0"/>
              <w:right w:val="single" w:color="000000" w:sz="4" w:space="0"/>
            </w:tcBorders>
            <w:vAlign w:val="center"/>
          </w:tcPr>
          <w:p w14:paraId="56D133B8">
            <w:pPr>
              <w:widowControl/>
              <w:spacing w:line="276" w:lineRule="auto"/>
              <w:rPr>
                <w:i w:val="0"/>
                <w:iCs w:val="0"/>
                <w:color w:val="auto"/>
                <w:sz w:val="21"/>
                <w:szCs w:val="15"/>
                <w:highlight w:val="none"/>
              </w:rPr>
            </w:pPr>
            <w:r>
              <w:rPr>
                <w:rFonts w:hint="eastAsia"/>
                <w:i w:val="0"/>
                <w:iCs w:val="0"/>
                <w:color w:val="auto"/>
                <w:sz w:val="21"/>
                <w:szCs w:val="15"/>
                <w:highlight w:val="none"/>
              </w:rPr>
              <w:t>智能统计分析</w:t>
            </w:r>
          </w:p>
        </w:tc>
        <w:tc>
          <w:tcPr>
            <w:tcW w:w="570" w:type="dxa"/>
            <w:tcBorders>
              <w:top w:val="nil"/>
              <w:left w:val="nil"/>
              <w:bottom w:val="single" w:color="000000" w:sz="4" w:space="0"/>
              <w:right w:val="single" w:color="000000" w:sz="4" w:space="0"/>
            </w:tcBorders>
            <w:vAlign w:val="center"/>
          </w:tcPr>
          <w:p w14:paraId="56D133B9">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BA">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BB">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C2">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BD">
            <w:pPr>
              <w:widowControl/>
              <w:spacing w:line="276" w:lineRule="auto"/>
              <w:rPr>
                <w:i w:val="0"/>
                <w:iCs w:val="0"/>
                <w:color w:val="auto"/>
                <w:sz w:val="21"/>
                <w:szCs w:val="15"/>
                <w:highlight w:val="none"/>
              </w:rPr>
            </w:pPr>
            <w:r>
              <w:rPr>
                <w:rFonts w:hint="eastAsia"/>
                <w:i w:val="0"/>
                <w:iCs w:val="0"/>
                <w:color w:val="auto"/>
                <w:sz w:val="21"/>
                <w:szCs w:val="15"/>
                <w:highlight w:val="none"/>
              </w:rPr>
              <w:t>2.4</w:t>
            </w:r>
          </w:p>
        </w:tc>
        <w:tc>
          <w:tcPr>
            <w:tcW w:w="2582" w:type="dxa"/>
            <w:tcBorders>
              <w:top w:val="nil"/>
              <w:left w:val="nil"/>
              <w:bottom w:val="single" w:color="000000" w:sz="4" w:space="0"/>
              <w:right w:val="single" w:color="000000" w:sz="4" w:space="0"/>
            </w:tcBorders>
            <w:vAlign w:val="center"/>
          </w:tcPr>
          <w:p w14:paraId="56D133BE">
            <w:pPr>
              <w:widowControl/>
              <w:spacing w:line="276" w:lineRule="auto"/>
              <w:rPr>
                <w:i w:val="0"/>
                <w:iCs w:val="0"/>
                <w:color w:val="auto"/>
                <w:sz w:val="21"/>
                <w:szCs w:val="15"/>
                <w:highlight w:val="none"/>
              </w:rPr>
            </w:pPr>
            <w:r>
              <w:rPr>
                <w:rFonts w:hint="eastAsia"/>
                <w:i w:val="0"/>
                <w:iCs w:val="0"/>
                <w:color w:val="auto"/>
                <w:sz w:val="21"/>
                <w:szCs w:val="15"/>
                <w:highlight w:val="none"/>
              </w:rPr>
              <w:t>RCM维修策略调整建议</w:t>
            </w:r>
          </w:p>
        </w:tc>
        <w:tc>
          <w:tcPr>
            <w:tcW w:w="570" w:type="dxa"/>
            <w:tcBorders>
              <w:top w:val="nil"/>
              <w:left w:val="nil"/>
              <w:bottom w:val="single" w:color="000000" w:sz="4" w:space="0"/>
              <w:right w:val="single" w:color="000000" w:sz="4" w:space="0"/>
            </w:tcBorders>
            <w:vAlign w:val="center"/>
          </w:tcPr>
          <w:p w14:paraId="56D133BF">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C0">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C1">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C8">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C3">
            <w:pPr>
              <w:widowControl/>
              <w:spacing w:line="276" w:lineRule="auto"/>
              <w:rPr>
                <w:i w:val="0"/>
                <w:iCs w:val="0"/>
                <w:color w:val="auto"/>
                <w:sz w:val="21"/>
                <w:szCs w:val="15"/>
                <w:highlight w:val="none"/>
              </w:rPr>
            </w:pPr>
            <w:r>
              <w:rPr>
                <w:rFonts w:hint="eastAsia"/>
                <w:i w:val="0"/>
                <w:iCs w:val="0"/>
                <w:color w:val="auto"/>
                <w:sz w:val="21"/>
                <w:szCs w:val="15"/>
                <w:highlight w:val="none"/>
              </w:rPr>
              <w:t>2.5</w:t>
            </w:r>
          </w:p>
        </w:tc>
        <w:tc>
          <w:tcPr>
            <w:tcW w:w="2582" w:type="dxa"/>
            <w:tcBorders>
              <w:top w:val="nil"/>
              <w:left w:val="nil"/>
              <w:bottom w:val="single" w:color="000000" w:sz="4" w:space="0"/>
              <w:right w:val="single" w:color="000000" w:sz="4" w:space="0"/>
            </w:tcBorders>
            <w:vAlign w:val="center"/>
          </w:tcPr>
          <w:p w14:paraId="56D133C4">
            <w:pPr>
              <w:widowControl/>
              <w:spacing w:line="276" w:lineRule="auto"/>
              <w:rPr>
                <w:i w:val="0"/>
                <w:iCs w:val="0"/>
                <w:color w:val="auto"/>
                <w:sz w:val="21"/>
                <w:szCs w:val="15"/>
                <w:highlight w:val="none"/>
              </w:rPr>
            </w:pPr>
            <w:r>
              <w:rPr>
                <w:rFonts w:hint="eastAsia"/>
                <w:i w:val="0"/>
                <w:iCs w:val="0"/>
                <w:color w:val="auto"/>
                <w:sz w:val="21"/>
                <w:szCs w:val="15"/>
                <w:highlight w:val="none"/>
              </w:rPr>
              <w:t>设备故障追踪与故障回溯</w:t>
            </w:r>
          </w:p>
        </w:tc>
        <w:tc>
          <w:tcPr>
            <w:tcW w:w="570" w:type="dxa"/>
            <w:tcBorders>
              <w:top w:val="nil"/>
              <w:left w:val="nil"/>
              <w:bottom w:val="single" w:color="000000" w:sz="4" w:space="0"/>
              <w:right w:val="single" w:color="000000" w:sz="4" w:space="0"/>
            </w:tcBorders>
            <w:vAlign w:val="center"/>
          </w:tcPr>
          <w:p w14:paraId="56D133C5">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C6">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C7">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CE">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C9">
            <w:pPr>
              <w:widowControl/>
              <w:spacing w:line="276" w:lineRule="auto"/>
              <w:rPr>
                <w:i w:val="0"/>
                <w:iCs w:val="0"/>
                <w:color w:val="auto"/>
                <w:sz w:val="21"/>
                <w:szCs w:val="15"/>
                <w:highlight w:val="none"/>
              </w:rPr>
            </w:pPr>
            <w:r>
              <w:rPr>
                <w:rFonts w:hint="eastAsia"/>
                <w:i w:val="0"/>
                <w:iCs w:val="0"/>
                <w:color w:val="auto"/>
                <w:sz w:val="21"/>
                <w:szCs w:val="15"/>
                <w:highlight w:val="none"/>
              </w:rPr>
              <w:t>2.6</w:t>
            </w:r>
          </w:p>
        </w:tc>
        <w:tc>
          <w:tcPr>
            <w:tcW w:w="2582" w:type="dxa"/>
            <w:tcBorders>
              <w:top w:val="nil"/>
              <w:left w:val="nil"/>
              <w:bottom w:val="single" w:color="000000" w:sz="4" w:space="0"/>
              <w:right w:val="single" w:color="000000" w:sz="4" w:space="0"/>
            </w:tcBorders>
            <w:vAlign w:val="center"/>
          </w:tcPr>
          <w:p w14:paraId="56D133CA">
            <w:pPr>
              <w:widowControl/>
              <w:spacing w:line="276" w:lineRule="auto"/>
              <w:rPr>
                <w:i w:val="0"/>
                <w:iCs w:val="0"/>
                <w:color w:val="auto"/>
                <w:sz w:val="21"/>
                <w:szCs w:val="15"/>
                <w:highlight w:val="none"/>
              </w:rPr>
            </w:pPr>
            <w:r>
              <w:rPr>
                <w:rFonts w:hint="eastAsia"/>
                <w:i w:val="0"/>
                <w:iCs w:val="0"/>
                <w:color w:val="auto"/>
                <w:sz w:val="21"/>
                <w:szCs w:val="15"/>
                <w:highlight w:val="none"/>
              </w:rPr>
              <w:t>规则引擎</w:t>
            </w:r>
          </w:p>
        </w:tc>
        <w:tc>
          <w:tcPr>
            <w:tcW w:w="570" w:type="dxa"/>
            <w:tcBorders>
              <w:top w:val="nil"/>
              <w:left w:val="nil"/>
              <w:bottom w:val="single" w:color="000000" w:sz="4" w:space="0"/>
              <w:right w:val="single" w:color="000000" w:sz="4" w:space="0"/>
            </w:tcBorders>
            <w:vAlign w:val="center"/>
          </w:tcPr>
          <w:p w14:paraId="56D133CB">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30" w:type="dxa"/>
            <w:tcBorders>
              <w:top w:val="single" w:color="000000" w:sz="4" w:space="0"/>
              <w:left w:val="nil"/>
              <w:bottom w:val="single" w:color="000000" w:sz="4" w:space="0"/>
              <w:right w:val="single" w:color="000000" w:sz="4" w:space="0"/>
            </w:tcBorders>
            <w:vAlign w:val="center"/>
          </w:tcPr>
          <w:p w14:paraId="56D133CC">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240" w:type="dxa"/>
            <w:tcBorders>
              <w:top w:val="single" w:color="000000" w:sz="4" w:space="0"/>
              <w:left w:val="nil"/>
              <w:bottom w:val="single" w:color="000000" w:sz="4" w:space="0"/>
              <w:right w:val="single" w:color="000000" w:sz="4" w:space="0"/>
            </w:tcBorders>
            <w:vAlign w:val="center"/>
          </w:tcPr>
          <w:p w14:paraId="56D133CD">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D4">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CF">
            <w:pPr>
              <w:widowControl/>
              <w:spacing w:line="276" w:lineRule="auto"/>
              <w:rPr>
                <w:i w:val="0"/>
                <w:iCs w:val="0"/>
                <w:color w:val="auto"/>
                <w:sz w:val="21"/>
                <w:szCs w:val="15"/>
                <w:highlight w:val="none"/>
              </w:rPr>
            </w:pPr>
            <w:r>
              <w:rPr>
                <w:rFonts w:hint="eastAsia"/>
                <w:i w:val="0"/>
                <w:iCs w:val="0"/>
                <w:color w:val="auto"/>
                <w:sz w:val="21"/>
                <w:szCs w:val="15"/>
                <w:highlight w:val="none"/>
              </w:rPr>
              <w:t>3</w:t>
            </w:r>
          </w:p>
        </w:tc>
        <w:tc>
          <w:tcPr>
            <w:tcW w:w="2582" w:type="dxa"/>
            <w:tcBorders>
              <w:top w:val="nil"/>
              <w:left w:val="nil"/>
              <w:bottom w:val="single" w:color="000000" w:sz="4" w:space="0"/>
              <w:right w:val="single" w:color="000000" w:sz="4" w:space="0"/>
            </w:tcBorders>
            <w:vAlign w:val="center"/>
          </w:tcPr>
          <w:p w14:paraId="56D133D0">
            <w:pPr>
              <w:widowControl/>
              <w:spacing w:line="276" w:lineRule="auto"/>
              <w:rPr>
                <w:i w:val="0"/>
                <w:iCs w:val="0"/>
                <w:color w:val="auto"/>
                <w:sz w:val="21"/>
                <w:szCs w:val="15"/>
                <w:highlight w:val="none"/>
              </w:rPr>
            </w:pPr>
            <w:r>
              <w:rPr>
                <w:rFonts w:hint="eastAsia"/>
                <w:i w:val="0"/>
                <w:iCs w:val="0"/>
                <w:color w:val="auto"/>
                <w:sz w:val="21"/>
                <w:szCs w:val="15"/>
                <w:highlight w:val="none"/>
              </w:rPr>
              <w:t>通用功能</w:t>
            </w:r>
          </w:p>
        </w:tc>
        <w:tc>
          <w:tcPr>
            <w:tcW w:w="570" w:type="dxa"/>
            <w:tcBorders>
              <w:top w:val="nil"/>
              <w:left w:val="nil"/>
              <w:bottom w:val="single" w:color="000000" w:sz="4" w:space="0"/>
              <w:right w:val="single" w:color="000000" w:sz="4" w:space="0"/>
            </w:tcBorders>
            <w:vAlign w:val="center"/>
          </w:tcPr>
          <w:p w14:paraId="56D133D1">
            <w:pPr>
              <w:widowControl/>
              <w:spacing w:line="276" w:lineRule="auto"/>
              <w:rPr>
                <w:i w:val="0"/>
                <w:iCs w:val="0"/>
                <w:color w:val="auto"/>
                <w:sz w:val="21"/>
                <w:szCs w:val="15"/>
                <w:highlight w:val="none"/>
              </w:rPr>
            </w:pPr>
          </w:p>
        </w:tc>
        <w:tc>
          <w:tcPr>
            <w:tcW w:w="630" w:type="dxa"/>
            <w:tcBorders>
              <w:top w:val="single" w:color="000000" w:sz="4" w:space="0"/>
              <w:left w:val="nil"/>
              <w:bottom w:val="single" w:color="000000" w:sz="4" w:space="0"/>
              <w:right w:val="single" w:color="000000" w:sz="4" w:space="0"/>
            </w:tcBorders>
            <w:vAlign w:val="center"/>
          </w:tcPr>
          <w:p w14:paraId="56D133D2">
            <w:pPr>
              <w:widowControl/>
              <w:spacing w:line="276" w:lineRule="auto"/>
              <w:rPr>
                <w:i w:val="0"/>
                <w:iCs w:val="0"/>
                <w:color w:val="auto"/>
                <w:sz w:val="21"/>
                <w:szCs w:val="15"/>
                <w:highlight w:val="none"/>
              </w:rPr>
            </w:pPr>
          </w:p>
        </w:tc>
        <w:tc>
          <w:tcPr>
            <w:tcW w:w="3240" w:type="dxa"/>
            <w:tcBorders>
              <w:top w:val="single" w:color="000000" w:sz="4" w:space="0"/>
              <w:left w:val="nil"/>
              <w:bottom w:val="single" w:color="000000" w:sz="4" w:space="0"/>
              <w:right w:val="single" w:color="000000" w:sz="4" w:space="0"/>
            </w:tcBorders>
            <w:vAlign w:val="center"/>
          </w:tcPr>
          <w:p w14:paraId="56D133D3">
            <w:pPr>
              <w:widowControl/>
              <w:spacing w:line="276" w:lineRule="auto"/>
              <w:rPr>
                <w:i w:val="0"/>
                <w:iCs w:val="0"/>
                <w:color w:val="auto"/>
                <w:sz w:val="21"/>
                <w:szCs w:val="15"/>
                <w:highlight w:val="none"/>
              </w:rPr>
            </w:pPr>
            <w:r>
              <w:rPr>
                <w:rFonts w:hint="eastAsia"/>
                <w:i w:val="0"/>
                <w:iCs w:val="0"/>
                <w:color w:val="auto"/>
                <w:sz w:val="21"/>
                <w:szCs w:val="15"/>
                <w:highlight w:val="none"/>
              </w:rPr>
              <w:t>通用功能,包含用户管理、权限管理、系统日志、数据备份、流程管理、报表及展示、消息管理、算法库、系统资源管理、数据库管理、数据结构化处理、数据结构化处理、人机交互界面等。</w:t>
            </w:r>
            <w:r>
              <w:rPr>
                <w:rFonts w:hint="eastAsia"/>
                <w:i w:val="0"/>
                <w:iCs w:val="0"/>
                <w:color w:val="auto"/>
                <w:sz w:val="21"/>
                <w:szCs w:val="15"/>
                <w:highlight w:val="none"/>
                <w:lang w:val="en-US" w:eastAsia="zh-CN"/>
              </w:rPr>
              <w:t>软件。</w:t>
            </w:r>
          </w:p>
        </w:tc>
      </w:tr>
      <w:tr w14:paraId="56D133DA">
        <w:tblPrEx>
          <w:tblCellMar>
            <w:top w:w="0" w:type="dxa"/>
            <w:left w:w="108" w:type="dxa"/>
            <w:bottom w:w="0" w:type="dxa"/>
            <w:right w:w="108" w:type="dxa"/>
          </w:tblCellMar>
        </w:tblPrEx>
        <w:trPr>
          <w:trHeight w:val="23" w:hRule="atLeast"/>
          <w:jc w:val="center"/>
        </w:trPr>
        <w:tc>
          <w:tcPr>
            <w:tcW w:w="617" w:type="dxa"/>
            <w:tcBorders>
              <w:top w:val="single" w:color="000000" w:sz="4" w:space="0"/>
              <w:left w:val="single" w:color="000000" w:sz="4" w:space="0"/>
              <w:bottom w:val="single" w:color="000000" w:sz="4" w:space="0"/>
              <w:right w:val="single" w:color="000000" w:sz="4" w:space="0"/>
            </w:tcBorders>
            <w:vAlign w:val="center"/>
          </w:tcPr>
          <w:p w14:paraId="56D133D5">
            <w:pPr>
              <w:widowControl/>
              <w:spacing w:line="276" w:lineRule="auto"/>
              <w:rPr>
                <w:i w:val="0"/>
                <w:iCs w:val="0"/>
                <w:color w:val="auto"/>
                <w:sz w:val="21"/>
                <w:szCs w:val="15"/>
                <w:highlight w:val="none"/>
              </w:rPr>
            </w:pPr>
            <w:r>
              <w:rPr>
                <w:rFonts w:hint="eastAsia"/>
                <w:i w:val="0"/>
                <w:iCs w:val="0"/>
                <w:color w:val="auto"/>
                <w:sz w:val="21"/>
                <w:szCs w:val="15"/>
                <w:highlight w:val="none"/>
              </w:rPr>
              <w:t>4</w:t>
            </w:r>
          </w:p>
        </w:tc>
        <w:tc>
          <w:tcPr>
            <w:tcW w:w="2582" w:type="dxa"/>
            <w:tcBorders>
              <w:top w:val="nil"/>
              <w:left w:val="nil"/>
              <w:bottom w:val="single" w:color="000000" w:sz="4" w:space="0"/>
              <w:right w:val="single" w:color="000000" w:sz="4" w:space="0"/>
            </w:tcBorders>
            <w:vAlign w:val="center"/>
          </w:tcPr>
          <w:p w14:paraId="56D133D6">
            <w:pPr>
              <w:widowControl/>
              <w:spacing w:line="276" w:lineRule="auto"/>
              <w:rPr>
                <w:i w:val="0"/>
                <w:iCs w:val="0"/>
                <w:color w:val="auto"/>
                <w:sz w:val="21"/>
                <w:szCs w:val="15"/>
                <w:highlight w:val="none"/>
              </w:rPr>
            </w:pPr>
            <w:r>
              <w:rPr>
                <w:rFonts w:hint="eastAsia"/>
                <w:i w:val="0"/>
                <w:iCs w:val="0"/>
                <w:color w:val="auto"/>
                <w:sz w:val="21"/>
                <w:szCs w:val="15"/>
                <w:highlight w:val="none"/>
              </w:rPr>
              <w:t>便携式维护终端</w:t>
            </w:r>
          </w:p>
        </w:tc>
        <w:tc>
          <w:tcPr>
            <w:tcW w:w="570" w:type="dxa"/>
            <w:tcBorders>
              <w:top w:val="nil"/>
              <w:left w:val="nil"/>
              <w:bottom w:val="single" w:color="000000" w:sz="4" w:space="0"/>
              <w:right w:val="single" w:color="000000" w:sz="4" w:space="0"/>
            </w:tcBorders>
            <w:vAlign w:val="center"/>
          </w:tcPr>
          <w:p w14:paraId="56D133D7">
            <w:pPr>
              <w:widowControl/>
              <w:spacing w:line="276" w:lineRule="auto"/>
              <w:rPr>
                <w:i w:val="0"/>
                <w:iCs w:val="0"/>
                <w:color w:val="auto"/>
                <w:sz w:val="21"/>
                <w:szCs w:val="15"/>
                <w:highlight w:val="none"/>
              </w:rPr>
            </w:pPr>
            <w:r>
              <w:rPr>
                <w:rFonts w:hint="eastAsia"/>
                <w:i w:val="0"/>
                <w:iCs w:val="0"/>
                <w:color w:val="auto"/>
                <w:sz w:val="21"/>
                <w:szCs w:val="15"/>
                <w:highlight w:val="none"/>
              </w:rPr>
              <w:t>台</w:t>
            </w:r>
          </w:p>
        </w:tc>
        <w:tc>
          <w:tcPr>
            <w:tcW w:w="630" w:type="dxa"/>
            <w:tcBorders>
              <w:top w:val="single" w:color="000000" w:sz="4" w:space="0"/>
              <w:left w:val="nil"/>
              <w:bottom w:val="single" w:color="000000" w:sz="4" w:space="0"/>
              <w:right w:val="single" w:color="000000" w:sz="4" w:space="0"/>
            </w:tcBorders>
            <w:vAlign w:val="center"/>
          </w:tcPr>
          <w:p w14:paraId="56D133D8">
            <w:pPr>
              <w:widowControl/>
              <w:spacing w:line="276" w:lineRule="auto"/>
              <w:rPr>
                <w:i w:val="0"/>
                <w:iCs w:val="0"/>
                <w:color w:val="auto"/>
                <w:sz w:val="21"/>
                <w:szCs w:val="15"/>
                <w:highlight w:val="none"/>
              </w:rPr>
            </w:pPr>
            <w:r>
              <w:rPr>
                <w:rFonts w:hint="eastAsia"/>
                <w:i w:val="0"/>
                <w:iCs w:val="0"/>
                <w:color w:val="auto"/>
                <w:sz w:val="21"/>
                <w:szCs w:val="15"/>
                <w:highlight w:val="none"/>
              </w:rPr>
              <w:t>9</w:t>
            </w:r>
          </w:p>
        </w:tc>
        <w:tc>
          <w:tcPr>
            <w:tcW w:w="3240" w:type="dxa"/>
            <w:tcBorders>
              <w:top w:val="single" w:color="000000" w:sz="4" w:space="0"/>
              <w:left w:val="nil"/>
              <w:bottom w:val="single" w:color="000000" w:sz="4" w:space="0"/>
              <w:right w:val="single" w:color="000000" w:sz="4" w:space="0"/>
            </w:tcBorders>
            <w:vAlign w:val="center"/>
          </w:tcPr>
          <w:p w14:paraId="56D133D9">
            <w:pPr>
              <w:widowControl/>
              <w:spacing w:line="276" w:lineRule="auto"/>
              <w:rPr>
                <w:i w:val="0"/>
                <w:iCs w:val="0"/>
                <w:color w:val="auto"/>
                <w:sz w:val="21"/>
                <w:szCs w:val="15"/>
                <w:highlight w:val="none"/>
              </w:rPr>
            </w:pPr>
          </w:p>
        </w:tc>
      </w:tr>
    </w:tbl>
    <w:p w14:paraId="56D133DB">
      <w:pPr>
        <w:pStyle w:val="5"/>
        <w:ind w:left="0"/>
        <w:rPr>
          <w:i w:val="0"/>
          <w:iCs w:val="0"/>
          <w:color w:val="auto"/>
          <w:sz w:val="22"/>
          <w:szCs w:val="22"/>
          <w:highlight w:val="none"/>
        </w:rPr>
      </w:pPr>
      <w:bookmarkStart w:id="376" w:name="_Toc14509"/>
      <w:r>
        <w:rPr>
          <w:rFonts w:hint="eastAsia"/>
          <w:i w:val="0"/>
          <w:iCs w:val="0"/>
          <w:color w:val="auto"/>
          <w:sz w:val="22"/>
          <w:szCs w:val="22"/>
          <w:highlight w:val="none"/>
          <w:lang w:val="en-US"/>
        </w:rPr>
        <w:t>通信智能运维主要设备清单</w:t>
      </w:r>
      <w:bookmarkEnd w:id="376"/>
    </w:p>
    <w:tbl>
      <w:tblPr>
        <w:tblStyle w:val="88"/>
        <w:tblW w:w="7643" w:type="dxa"/>
        <w:jc w:val="center"/>
        <w:tblLayout w:type="autofit"/>
        <w:tblCellMar>
          <w:top w:w="0" w:type="dxa"/>
          <w:left w:w="108" w:type="dxa"/>
          <w:bottom w:w="0" w:type="dxa"/>
          <w:right w:w="108" w:type="dxa"/>
        </w:tblCellMar>
      </w:tblPr>
      <w:tblGrid>
        <w:gridCol w:w="905"/>
        <w:gridCol w:w="2719"/>
        <w:gridCol w:w="763"/>
        <w:gridCol w:w="677"/>
        <w:gridCol w:w="2579"/>
      </w:tblGrid>
      <w:tr w14:paraId="56D133E1">
        <w:tblPrEx>
          <w:tblCellMar>
            <w:top w:w="0" w:type="dxa"/>
            <w:left w:w="108" w:type="dxa"/>
            <w:bottom w:w="0" w:type="dxa"/>
            <w:right w:w="108" w:type="dxa"/>
          </w:tblCellMar>
        </w:tblPrEx>
        <w:trPr>
          <w:trHeight w:val="23" w:hRule="atLeast"/>
          <w:jc w:val="center"/>
        </w:trPr>
        <w:tc>
          <w:tcPr>
            <w:tcW w:w="905" w:type="dxa"/>
            <w:tcBorders>
              <w:top w:val="single" w:color="000000" w:sz="4" w:space="0"/>
              <w:left w:val="single" w:color="000000" w:sz="4" w:space="0"/>
              <w:bottom w:val="single" w:color="000000" w:sz="4" w:space="0"/>
              <w:right w:val="single" w:color="000000" w:sz="4" w:space="0"/>
            </w:tcBorders>
            <w:vAlign w:val="center"/>
          </w:tcPr>
          <w:p w14:paraId="56D133DC">
            <w:pPr>
              <w:widowControl/>
              <w:spacing w:line="276" w:lineRule="auto"/>
              <w:rPr>
                <w:i w:val="0"/>
                <w:iCs w:val="0"/>
                <w:color w:val="auto"/>
                <w:sz w:val="21"/>
                <w:szCs w:val="15"/>
                <w:highlight w:val="none"/>
              </w:rPr>
            </w:pPr>
            <w:bookmarkStart w:id="377" w:name="bookmark149"/>
            <w:bookmarkEnd w:id="377"/>
            <w:r>
              <w:rPr>
                <w:rFonts w:hint="eastAsia"/>
                <w:i w:val="0"/>
                <w:iCs w:val="0"/>
                <w:color w:val="auto"/>
                <w:sz w:val="21"/>
                <w:szCs w:val="15"/>
                <w:highlight w:val="none"/>
              </w:rPr>
              <w:t>序号</w:t>
            </w:r>
          </w:p>
        </w:tc>
        <w:tc>
          <w:tcPr>
            <w:tcW w:w="2719" w:type="dxa"/>
            <w:tcBorders>
              <w:top w:val="single" w:color="000000" w:sz="4" w:space="0"/>
              <w:left w:val="nil"/>
              <w:bottom w:val="single" w:color="000000" w:sz="4" w:space="0"/>
              <w:right w:val="single" w:color="000000" w:sz="4" w:space="0"/>
            </w:tcBorders>
            <w:vAlign w:val="center"/>
          </w:tcPr>
          <w:p w14:paraId="56D133DD">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763" w:type="dxa"/>
            <w:tcBorders>
              <w:top w:val="single" w:color="000000" w:sz="4" w:space="0"/>
              <w:left w:val="nil"/>
              <w:bottom w:val="single" w:color="000000" w:sz="4" w:space="0"/>
              <w:right w:val="single" w:color="000000" w:sz="4" w:space="0"/>
            </w:tcBorders>
            <w:vAlign w:val="center"/>
          </w:tcPr>
          <w:p w14:paraId="56D133DE">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677" w:type="dxa"/>
            <w:tcBorders>
              <w:top w:val="single" w:color="000000" w:sz="4" w:space="0"/>
              <w:left w:val="nil"/>
              <w:bottom w:val="single" w:color="000000" w:sz="4" w:space="0"/>
              <w:right w:val="single" w:color="000000" w:sz="4" w:space="0"/>
            </w:tcBorders>
            <w:vAlign w:val="center"/>
          </w:tcPr>
          <w:p w14:paraId="56D133DF">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2579" w:type="dxa"/>
            <w:tcBorders>
              <w:top w:val="single" w:color="000000" w:sz="4" w:space="0"/>
              <w:left w:val="nil"/>
              <w:bottom w:val="nil"/>
              <w:right w:val="single" w:color="000000" w:sz="4" w:space="0"/>
            </w:tcBorders>
            <w:vAlign w:val="center"/>
          </w:tcPr>
          <w:p w14:paraId="56D133E0">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3E7">
        <w:tblPrEx>
          <w:tblCellMar>
            <w:top w:w="0" w:type="dxa"/>
            <w:left w:w="108" w:type="dxa"/>
            <w:bottom w:w="0" w:type="dxa"/>
            <w:right w:w="108" w:type="dxa"/>
          </w:tblCellMar>
        </w:tblPrEx>
        <w:trPr>
          <w:trHeight w:val="23" w:hRule="atLeast"/>
          <w:jc w:val="center"/>
        </w:trPr>
        <w:tc>
          <w:tcPr>
            <w:tcW w:w="905" w:type="dxa"/>
            <w:tcBorders>
              <w:top w:val="single" w:color="000000" w:sz="4" w:space="0"/>
              <w:left w:val="single" w:color="000000" w:sz="4" w:space="0"/>
              <w:bottom w:val="single" w:color="000000" w:sz="4" w:space="0"/>
              <w:right w:val="single" w:color="000000" w:sz="4" w:space="0"/>
            </w:tcBorders>
            <w:vAlign w:val="center"/>
          </w:tcPr>
          <w:p w14:paraId="56D133E2">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719" w:type="dxa"/>
            <w:tcBorders>
              <w:top w:val="nil"/>
              <w:left w:val="nil"/>
              <w:bottom w:val="single" w:color="000000" w:sz="4" w:space="0"/>
              <w:right w:val="single" w:color="000000" w:sz="4" w:space="0"/>
            </w:tcBorders>
            <w:vAlign w:val="center"/>
          </w:tcPr>
          <w:p w14:paraId="56D133E3">
            <w:pPr>
              <w:widowControl/>
              <w:spacing w:line="276" w:lineRule="auto"/>
              <w:rPr>
                <w:i w:val="0"/>
                <w:iCs w:val="0"/>
                <w:color w:val="auto"/>
                <w:sz w:val="21"/>
                <w:szCs w:val="15"/>
                <w:highlight w:val="none"/>
              </w:rPr>
            </w:pPr>
            <w:r>
              <w:rPr>
                <w:rFonts w:hint="eastAsia"/>
                <w:i w:val="0"/>
                <w:iCs w:val="0"/>
                <w:color w:val="auto"/>
                <w:sz w:val="21"/>
                <w:szCs w:val="15"/>
                <w:highlight w:val="none"/>
              </w:rPr>
              <w:t>主机设备数据采集软件</w:t>
            </w:r>
          </w:p>
        </w:tc>
        <w:tc>
          <w:tcPr>
            <w:tcW w:w="763" w:type="dxa"/>
            <w:tcBorders>
              <w:top w:val="nil"/>
              <w:left w:val="nil"/>
              <w:bottom w:val="single" w:color="000000" w:sz="4" w:space="0"/>
              <w:right w:val="single" w:color="000000" w:sz="4" w:space="0"/>
            </w:tcBorders>
            <w:vAlign w:val="center"/>
          </w:tcPr>
          <w:p w14:paraId="56D133E4">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77" w:type="dxa"/>
            <w:tcBorders>
              <w:top w:val="single" w:color="000000" w:sz="4" w:space="0"/>
              <w:left w:val="nil"/>
              <w:bottom w:val="single" w:color="000000" w:sz="4" w:space="0"/>
              <w:right w:val="single" w:color="000000" w:sz="4" w:space="0"/>
            </w:tcBorders>
            <w:vAlign w:val="center"/>
          </w:tcPr>
          <w:p w14:paraId="56D133E5">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579" w:type="dxa"/>
            <w:tcBorders>
              <w:top w:val="single" w:color="000000" w:sz="4" w:space="0"/>
              <w:left w:val="nil"/>
              <w:bottom w:val="single" w:color="000000" w:sz="4" w:space="0"/>
              <w:right w:val="single" w:color="000000" w:sz="4" w:space="0"/>
            </w:tcBorders>
            <w:vAlign w:val="center"/>
          </w:tcPr>
          <w:p w14:paraId="56D133E6">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ED">
        <w:tblPrEx>
          <w:tblCellMar>
            <w:top w:w="0" w:type="dxa"/>
            <w:left w:w="108" w:type="dxa"/>
            <w:bottom w:w="0" w:type="dxa"/>
            <w:right w:w="108" w:type="dxa"/>
          </w:tblCellMar>
        </w:tblPrEx>
        <w:trPr>
          <w:trHeight w:val="23" w:hRule="atLeast"/>
          <w:jc w:val="center"/>
        </w:trPr>
        <w:tc>
          <w:tcPr>
            <w:tcW w:w="905" w:type="dxa"/>
            <w:tcBorders>
              <w:top w:val="single" w:color="000000" w:sz="4" w:space="0"/>
              <w:left w:val="single" w:color="000000" w:sz="4" w:space="0"/>
              <w:bottom w:val="single" w:color="000000" w:sz="4" w:space="0"/>
              <w:right w:val="single" w:color="000000" w:sz="4" w:space="0"/>
            </w:tcBorders>
            <w:vAlign w:val="center"/>
          </w:tcPr>
          <w:p w14:paraId="56D133E8">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2719" w:type="dxa"/>
            <w:tcBorders>
              <w:top w:val="nil"/>
              <w:left w:val="nil"/>
              <w:bottom w:val="single" w:color="000000" w:sz="4" w:space="0"/>
              <w:right w:val="single" w:color="000000" w:sz="4" w:space="0"/>
            </w:tcBorders>
            <w:vAlign w:val="center"/>
          </w:tcPr>
          <w:p w14:paraId="56D133E9">
            <w:pPr>
              <w:widowControl/>
              <w:spacing w:line="276" w:lineRule="auto"/>
              <w:rPr>
                <w:i w:val="0"/>
                <w:iCs w:val="0"/>
                <w:color w:val="auto"/>
                <w:sz w:val="21"/>
                <w:szCs w:val="15"/>
                <w:highlight w:val="none"/>
              </w:rPr>
            </w:pPr>
            <w:r>
              <w:rPr>
                <w:rFonts w:hint="eastAsia"/>
                <w:i w:val="0"/>
                <w:iCs w:val="0"/>
                <w:color w:val="auto"/>
                <w:sz w:val="21"/>
                <w:szCs w:val="15"/>
                <w:highlight w:val="none"/>
              </w:rPr>
              <w:t>数通设备数据采集软件</w:t>
            </w:r>
          </w:p>
        </w:tc>
        <w:tc>
          <w:tcPr>
            <w:tcW w:w="763" w:type="dxa"/>
            <w:tcBorders>
              <w:top w:val="nil"/>
              <w:left w:val="nil"/>
              <w:bottom w:val="single" w:color="000000" w:sz="4" w:space="0"/>
              <w:right w:val="single" w:color="000000" w:sz="4" w:space="0"/>
            </w:tcBorders>
            <w:vAlign w:val="center"/>
          </w:tcPr>
          <w:p w14:paraId="56D133EA">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77" w:type="dxa"/>
            <w:tcBorders>
              <w:top w:val="single" w:color="000000" w:sz="4" w:space="0"/>
              <w:left w:val="nil"/>
              <w:bottom w:val="single" w:color="000000" w:sz="4" w:space="0"/>
              <w:right w:val="single" w:color="000000" w:sz="4" w:space="0"/>
            </w:tcBorders>
            <w:vAlign w:val="center"/>
          </w:tcPr>
          <w:p w14:paraId="56D133EB">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579" w:type="dxa"/>
            <w:tcBorders>
              <w:top w:val="single" w:color="000000" w:sz="4" w:space="0"/>
              <w:left w:val="nil"/>
              <w:bottom w:val="single" w:color="000000" w:sz="4" w:space="0"/>
              <w:right w:val="single" w:color="000000" w:sz="4" w:space="0"/>
            </w:tcBorders>
            <w:vAlign w:val="center"/>
          </w:tcPr>
          <w:p w14:paraId="56D133EC">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F3">
        <w:tblPrEx>
          <w:tblCellMar>
            <w:top w:w="0" w:type="dxa"/>
            <w:left w:w="108" w:type="dxa"/>
            <w:bottom w:w="0" w:type="dxa"/>
            <w:right w:w="108" w:type="dxa"/>
          </w:tblCellMar>
        </w:tblPrEx>
        <w:trPr>
          <w:trHeight w:val="23" w:hRule="atLeast"/>
          <w:jc w:val="center"/>
        </w:trPr>
        <w:tc>
          <w:tcPr>
            <w:tcW w:w="905" w:type="dxa"/>
            <w:tcBorders>
              <w:top w:val="single" w:color="000000" w:sz="4" w:space="0"/>
              <w:left w:val="single" w:color="000000" w:sz="4" w:space="0"/>
              <w:bottom w:val="single" w:color="000000" w:sz="4" w:space="0"/>
              <w:right w:val="single" w:color="000000" w:sz="4" w:space="0"/>
            </w:tcBorders>
            <w:vAlign w:val="center"/>
          </w:tcPr>
          <w:p w14:paraId="56D133EE">
            <w:pPr>
              <w:widowControl/>
              <w:spacing w:line="276" w:lineRule="auto"/>
              <w:rPr>
                <w:i w:val="0"/>
                <w:iCs w:val="0"/>
                <w:color w:val="auto"/>
                <w:sz w:val="21"/>
                <w:szCs w:val="15"/>
                <w:highlight w:val="none"/>
              </w:rPr>
            </w:pPr>
            <w:r>
              <w:rPr>
                <w:rFonts w:hint="eastAsia"/>
                <w:i w:val="0"/>
                <w:iCs w:val="0"/>
                <w:color w:val="auto"/>
                <w:sz w:val="21"/>
                <w:szCs w:val="15"/>
                <w:highlight w:val="none"/>
              </w:rPr>
              <w:t>3</w:t>
            </w:r>
          </w:p>
        </w:tc>
        <w:tc>
          <w:tcPr>
            <w:tcW w:w="2719" w:type="dxa"/>
            <w:tcBorders>
              <w:top w:val="nil"/>
              <w:left w:val="nil"/>
              <w:bottom w:val="single" w:color="000000" w:sz="4" w:space="0"/>
              <w:right w:val="single" w:color="000000" w:sz="4" w:space="0"/>
            </w:tcBorders>
            <w:vAlign w:val="center"/>
          </w:tcPr>
          <w:p w14:paraId="56D133EF">
            <w:pPr>
              <w:widowControl/>
              <w:spacing w:line="276" w:lineRule="auto"/>
              <w:rPr>
                <w:i w:val="0"/>
                <w:iCs w:val="0"/>
                <w:color w:val="auto"/>
                <w:sz w:val="21"/>
                <w:szCs w:val="15"/>
                <w:highlight w:val="none"/>
              </w:rPr>
            </w:pPr>
            <w:r>
              <w:rPr>
                <w:rFonts w:hint="eastAsia"/>
                <w:i w:val="0"/>
                <w:iCs w:val="0"/>
                <w:color w:val="auto"/>
                <w:sz w:val="21"/>
                <w:szCs w:val="15"/>
                <w:highlight w:val="none"/>
              </w:rPr>
              <w:t>设备性能分析功能</w:t>
            </w:r>
          </w:p>
        </w:tc>
        <w:tc>
          <w:tcPr>
            <w:tcW w:w="763" w:type="dxa"/>
            <w:tcBorders>
              <w:top w:val="nil"/>
              <w:left w:val="nil"/>
              <w:bottom w:val="single" w:color="000000" w:sz="4" w:space="0"/>
              <w:right w:val="single" w:color="000000" w:sz="4" w:space="0"/>
            </w:tcBorders>
            <w:vAlign w:val="center"/>
          </w:tcPr>
          <w:p w14:paraId="56D133F0">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77" w:type="dxa"/>
            <w:tcBorders>
              <w:top w:val="single" w:color="000000" w:sz="4" w:space="0"/>
              <w:left w:val="nil"/>
              <w:bottom w:val="single" w:color="000000" w:sz="4" w:space="0"/>
              <w:right w:val="single" w:color="000000" w:sz="4" w:space="0"/>
            </w:tcBorders>
            <w:vAlign w:val="center"/>
          </w:tcPr>
          <w:p w14:paraId="56D133F1">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579" w:type="dxa"/>
            <w:tcBorders>
              <w:top w:val="single" w:color="000000" w:sz="4" w:space="0"/>
              <w:left w:val="nil"/>
              <w:bottom w:val="single" w:color="000000" w:sz="4" w:space="0"/>
              <w:right w:val="single" w:color="000000" w:sz="4" w:space="0"/>
            </w:tcBorders>
            <w:vAlign w:val="center"/>
          </w:tcPr>
          <w:p w14:paraId="56D133F2">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F9">
        <w:tblPrEx>
          <w:tblCellMar>
            <w:top w:w="0" w:type="dxa"/>
            <w:left w:w="108" w:type="dxa"/>
            <w:bottom w:w="0" w:type="dxa"/>
            <w:right w:w="108" w:type="dxa"/>
          </w:tblCellMar>
        </w:tblPrEx>
        <w:trPr>
          <w:trHeight w:val="23" w:hRule="atLeast"/>
          <w:jc w:val="center"/>
        </w:trPr>
        <w:tc>
          <w:tcPr>
            <w:tcW w:w="905" w:type="dxa"/>
            <w:tcBorders>
              <w:top w:val="single" w:color="000000" w:sz="4" w:space="0"/>
              <w:left w:val="single" w:color="000000" w:sz="4" w:space="0"/>
              <w:bottom w:val="single" w:color="000000" w:sz="4" w:space="0"/>
              <w:right w:val="single" w:color="000000" w:sz="4" w:space="0"/>
            </w:tcBorders>
            <w:vAlign w:val="center"/>
          </w:tcPr>
          <w:p w14:paraId="56D133F4">
            <w:pPr>
              <w:widowControl/>
              <w:spacing w:line="276" w:lineRule="auto"/>
              <w:rPr>
                <w:i w:val="0"/>
                <w:iCs w:val="0"/>
                <w:color w:val="auto"/>
                <w:sz w:val="21"/>
                <w:szCs w:val="15"/>
                <w:highlight w:val="none"/>
              </w:rPr>
            </w:pPr>
            <w:r>
              <w:rPr>
                <w:rFonts w:hint="eastAsia"/>
                <w:i w:val="0"/>
                <w:iCs w:val="0"/>
                <w:color w:val="auto"/>
                <w:sz w:val="21"/>
                <w:szCs w:val="15"/>
                <w:highlight w:val="none"/>
              </w:rPr>
              <w:t>4</w:t>
            </w:r>
          </w:p>
        </w:tc>
        <w:tc>
          <w:tcPr>
            <w:tcW w:w="2719" w:type="dxa"/>
            <w:tcBorders>
              <w:top w:val="nil"/>
              <w:left w:val="nil"/>
              <w:bottom w:val="single" w:color="000000" w:sz="4" w:space="0"/>
              <w:right w:val="single" w:color="000000" w:sz="4" w:space="0"/>
            </w:tcBorders>
            <w:vAlign w:val="center"/>
          </w:tcPr>
          <w:p w14:paraId="56D133F5">
            <w:pPr>
              <w:widowControl/>
              <w:spacing w:line="276" w:lineRule="auto"/>
              <w:rPr>
                <w:i w:val="0"/>
                <w:iCs w:val="0"/>
                <w:color w:val="auto"/>
                <w:sz w:val="21"/>
                <w:szCs w:val="15"/>
                <w:highlight w:val="none"/>
              </w:rPr>
            </w:pPr>
            <w:r>
              <w:rPr>
                <w:rFonts w:hint="eastAsia"/>
                <w:i w:val="0"/>
                <w:iCs w:val="0"/>
                <w:color w:val="auto"/>
                <w:sz w:val="21"/>
                <w:szCs w:val="15"/>
                <w:highlight w:val="none"/>
              </w:rPr>
              <w:t>设备可靠度评估功能</w:t>
            </w:r>
          </w:p>
        </w:tc>
        <w:tc>
          <w:tcPr>
            <w:tcW w:w="763" w:type="dxa"/>
            <w:tcBorders>
              <w:top w:val="nil"/>
              <w:left w:val="nil"/>
              <w:bottom w:val="single" w:color="000000" w:sz="4" w:space="0"/>
              <w:right w:val="single" w:color="000000" w:sz="4" w:space="0"/>
            </w:tcBorders>
            <w:vAlign w:val="center"/>
          </w:tcPr>
          <w:p w14:paraId="56D133F6">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77" w:type="dxa"/>
            <w:tcBorders>
              <w:top w:val="single" w:color="000000" w:sz="4" w:space="0"/>
              <w:left w:val="nil"/>
              <w:bottom w:val="single" w:color="000000" w:sz="4" w:space="0"/>
              <w:right w:val="single" w:color="000000" w:sz="4" w:space="0"/>
            </w:tcBorders>
            <w:vAlign w:val="center"/>
          </w:tcPr>
          <w:p w14:paraId="56D133F7">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579" w:type="dxa"/>
            <w:tcBorders>
              <w:top w:val="single" w:color="000000" w:sz="4" w:space="0"/>
              <w:left w:val="nil"/>
              <w:bottom w:val="single" w:color="000000" w:sz="4" w:space="0"/>
              <w:right w:val="single" w:color="000000" w:sz="4" w:space="0"/>
            </w:tcBorders>
            <w:vAlign w:val="center"/>
          </w:tcPr>
          <w:p w14:paraId="56D133F8">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3FF">
        <w:tblPrEx>
          <w:tblCellMar>
            <w:top w:w="0" w:type="dxa"/>
            <w:left w:w="108" w:type="dxa"/>
            <w:bottom w:w="0" w:type="dxa"/>
            <w:right w:w="108" w:type="dxa"/>
          </w:tblCellMar>
        </w:tblPrEx>
        <w:trPr>
          <w:trHeight w:val="23" w:hRule="atLeast"/>
          <w:jc w:val="center"/>
        </w:trPr>
        <w:tc>
          <w:tcPr>
            <w:tcW w:w="905" w:type="dxa"/>
            <w:tcBorders>
              <w:top w:val="single" w:color="000000" w:sz="4" w:space="0"/>
              <w:left w:val="single" w:color="000000" w:sz="4" w:space="0"/>
              <w:bottom w:val="single" w:color="000000" w:sz="4" w:space="0"/>
              <w:right w:val="single" w:color="000000" w:sz="4" w:space="0"/>
            </w:tcBorders>
            <w:vAlign w:val="center"/>
          </w:tcPr>
          <w:p w14:paraId="56D133FA">
            <w:pPr>
              <w:widowControl/>
              <w:spacing w:line="276" w:lineRule="auto"/>
              <w:rPr>
                <w:i w:val="0"/>
                <w:iCs w:val="0"/>
                <w:color w:val="auto"/>
                <w:sz w:val="21"/>
                <w:szCs w:val="15"/>
                <w:highlight w:val="none"/>
              </w:rPr>
            </w:pPr>
            <w:r>
              <w:rPr>
                <w:rFonts w:hint="eastAsia"/>
                <w:i w:val="0"/>
                <w:iCs w:val="0"/>
                <w:color w:val="auto"/>
                <w:sz w:val="21"/>
                <w:szCs w:val="15"/>
                <w:highlight w:val="none"/>
              </w:rPr>
              <w:t>5</w:t>
            </w:r>
          </w:p>
        </w:tc>
        <w:tc>
          <w:tcPr>
            <w:tcW w:w="2719" w:type="dxa"/>
            <w:tcBorders>
              <w:top w:val="nil"/>
              <w:left w:val="nil"/>
              <w:bottom w:val="single" w:color="000000" w:sz="4" w:space="0"/>
              <w:right w:val="single" w:color="000000" w:sz="4" w:space="0"/>
            </w:tcBorders>
            <w:vAlign w:val="center"/>
          </w:tcPr>
          <w:p w14:paraId="56D133FB">
            <w:pPr>
              <w:widowControl/>
              <w:spacing w:line="276" w:lineRule="auto"/>
              <w:rPr>
                <w:i w:val="0"/>
                <w:iCs w:val="0"/>
                <w:color w:val="auto"/>
                <w:sz w:val="21"/>
                <w:szCs w:val="15"/>
                <w:highlight w:val="none"/>
              </w:rPr>
            </w:pPr>
            <w:r>
              <w:rPr>
                <w:rFonts w:hint="eastAsia"/>
                <w:i w:val="0"/>
                <w:iCs w:val="0"/>
                <w:color w:val="auto"/>
                <w:sz w:val="21"/>
                <w:szCs w:val="15"/>
                <w:highlight w:val="none"/>
              </w:rPr>
              <w:t>数据统计和趋势分析算法</w:t>
            </w:r>
          </w:p>
        </w:tc>
        <w:tc>
          <w:tcPr>
            <w:tcW w:w="763" w:type="dxa"/>
            <w:tcBorders>
              <w:top w:val="nil"/>
              <w:left w:val="nil"/>
              <w:bottom w:val="single" w:color="000000" w:sz="4" w:space="0"/>
              <w:right w:val="single" w:color="000000" w:sz="4" w:space="0"/>
            </w:tcBorders>
            <w:vAlign w:val="center"/>
          </w:tcPr>
          <w:p w14:paraId="56D133FC">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677" w:type="dxa"/>
            <w:tcBorders>
              <w:top w:val="single" w:color="000000" w:sz="4" w:space="0"/>
              <w:left w:val="nil"/>
              <w:bottom w:val="single" w:color="000000" w:sz="4" w:space="0"/>
              <w:right w:val="single" w:color="000000" w:sz="4" w:space="0"/>
            </w:tcBorders>
            <w:vAlign w:val="center"/>
          </w:tcPr>
          <w:p w14:paraId="56D133FD">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579" w:type="dxa"/>
            <w:tcBorders>
              <w:top w:val="single" w:color="000000" w:sz="4" w:space="0"/>
              <w:left w:val="nil"/>
              <w:bottom w:val="single" w:color="000000" w:sz="4" w:space="0"/>
              <w:right w:val="single" w:color="000000" w:sz="4" w:space="0"/>
            </w:tcBorders>
            <w:vAlign w:val="center"/>
          </w:tcPr>
          <w:p w14:paraId="56D133FE">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bl>
    <w:p w14:paraId="4C5EF917">
      <w:pPr>
        <w:pStyle w:val="5"/>
        <w:ind w:left="0"/>
      </w:pPr>
      <w:bookmarkStart w:id="378" w:name="_Toc2178"/>
      <w:r>
        <w:rPr>
          <w:rFonts w:hint="eastAsia"/>
          <w:i w:val="0"/>
          <w:iCs w:val="0"/>
          <w:color w:val="auto"/>
          <w:sz w:val="22"/>
          <w:szCs w:val="22"/>
          <w:highlight w:val="none"/>
          <w:lang w:val="en-US"/>
        </w:rPr>
        <w:t>自动售检票智能运维主要设备表</w:t>
      </w:r>
      <w:bookmarkEnd w:id="378"/>
    </w:p>
    <w:tbl>
      <w:tblPr>
        <w:tblStyle w:val="88"/>
        <w:tblpPr w:leftFromText="180" w:rightFromText="180" w:vertAnchor="text" w:horzAnchor="page" w:tblpXSpec="center" w:tblpY="16"/>
        <w:tblOverlap w:val="never"/>
        <w:tblW w:w="7642" w:type="dxa"/>
        <w:jc w:val="center"/>
        <w:tblLayout w:type="autofit"/>
        <w:tblCellMar>
          <w:top w:w="0" w:type="dxa"/>
          <w:left w:w="108" w:type="dxa"/>
          <w:bottom w:w="0" w:type="dxa"/>
          <w:right w:w="108" w:type="dxa"/>
        </w:tblCellMar>
      </w:tblPr>
      <w:tblGrid>
        <w:gridCol w:w="825"/>
        <w:gridCol w:w="3959"/>
        <w:gridCol w:w="950"/>
        <w:gridCol w:w="825"/>
        <w:gridCol w:w="1083"/>
      </w:tblGrid>
      <w:tr w14:paraId="3B72A13F">
        <w:tblPrEx>
          <w:tblCellMar>
            <w:top w:w="0" w:type="dxa"/>
            <w:left w:w="108" w:type="dxa"/>
            <w:bottom w:w="0" w:type="dxa"/>
            <w:right w:w="108" w:type="dxa"/>
          </w:tblCellMar>
        </w:tblPrEx>
        <w:trPr>
          <w:trHeight w:val="23"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9343D79">
            <w:pPr>
              <w:widowControl/>
              <w:spacing w:line="276" w:lineRule="auto"/>
              <w:jc w:val="left"/>
              <w:rPr>
                <w:i w:val="0"/>
                <w:iCs w:val="0"/>
                <w:color w:val="auto"/>
                <w:sz w:val="21"/>
                <w:szCs w:val="15"/>
                <w:highlight w:val="none"/>
              </w:rPr>
            </w:pPr>
            <w:r>
              <w:rPr>
                <w:rFonts w:hint="eastAsia"/>
                <w:i w:val="0"/>
                <w:iCs w:val="0"/>
                <w:color w:val="auto"/>
                <w:sz w:val="21"/>
                <w:szCs w:val="15"/>
                <w:highlight w:val="none"/>
              </w:rPr>
              <w:t>序号</w:t>
            </w:r>
          </w:p>
        </w:tc>
        <w:tc>
          <w:tcPr>
            <w:tcW w:w="3959" w:type="dxa"/>
            <w:tcBorders>
              <w:top w:val="single" w:color="000000" w:sz="4" w:space="0"/>
              <w:left w:val="nil"/>
              <w:bottom w:val="single" w:color="000000" w:sz="4" w:space="0"/>
              <w:right w:val="single" w:color="000000" w:sz="4" w:space="0"/>
            </w:tcBorders>
            <w:vAlign w:val="center"/>
          </w:tcPr>
          <w:p w14:paraId="4ACA94F0">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950" w:type="dxa"/>
            <w:tcBorders>
              <w:top w:val="single" w:color="000000" w:sz="4" w:space="0"/>
              <w:left w:val="nil"/>
              <w:bottom w:val="single" w:color="000000" w:sz="4" w:space="0"/>
              <w:right w:val="single" w:color="000000" w:sz="4" w:space="0"/>
            </w:tcBorders>
            <w:vAlign w:val="center"/>
          </w:tcPr>
          <w:p w14:paraId="741856CC">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825" w:type="dxa"/>
            <w:tcBorders>
              <w:top w:val="single" w:color="000000" w:sz="4" w:space="0"/>
              <w:left w:val="nil"/>
              <w:bottom w:val="single" w:color="000000" w:sz="4" w:space="0"/>
              <w:right w:val="single" w:color="000000" w:sz="4" w:space="0"/>
            </w:tcBorders>
            <w:vAlign w:val="center"/>
          </w:tcPr>
          <w:p w14:paraId="3D86494D">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1083" w:type="dxa"/>
            <w:tcBorders>
              <w:top w:val="single" w:color="000000" w:sz="4" w:space="0"/>
              <w:left w:val="nil"/>
              <w:bottom w:val="nil"/>
              <w:right w:val="single" w:color="000000" w:sz="4" w:space="0"/>
            </w:tcBorders>
            <w:vAlign w:val="center"/>
          </w:tcPr>
          <w:p w14:paraId="35D027A3">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469218E5">
        <w:tblPrEx>
          <w:tblCellMar>
            <w:top w:w="0" w:type="dxa"/>
            <w:left w:w="108" w:type="dxa"/>
            <w:bottom w:w="0" w:type="dxa"/>
            <w:right w:w="108" w:type="dxa"/>
          </w:tblCellMar>
        </w:tblPrEx>
        <w:trPr>
          <w:trHeight w:val="23"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19A004E8">
            <w:pPr>
              <w:widowControl/>
              <w:spacing w:line="240" w:lineRule="auto"/>
              <w:rPr>
                <w:i w:val="0"/>
                <w:iCs w:val="0"/>
                <w:color w:val="auto"/>
                <w:sz w:val="21"/>
                <w:szCs w:val="15"/>
                <w:highlight w:val="none"/>
              </w:rPr>
            </w:pPr>
            <w:r>
              <w:rPr>
                <w:rFonts w:hint="eastAsia"/>
                <w:i w:val="0"/>
                <w:iCs w:val="0"/>
                <w:color w:val="auto"/>
                <w:sz w:val="21"/>
                <w:szCs w:val="15"/>
                <w:highlight w:val="none"/>
              </w:rPr>
              <w:t>1</w:t>
            </w:r>
          </w:p>
        </w:tc>
        <w:tc>
          <w:tcPr>
            <w:tcW w:w="3959" w:type="dxa"/>
            <w:tcBorders>
              <w:top w:val="single" w:color="000000" w:sz="4" w:space="0"/>
              <w:left w:val="nil"/>
              <w:bottom w:val="single" w:color="000000" w:sz="4" w:space="0"/>
              <w:right w:val="single" w:color="000000" w:sz="4" w:space="0"/>
            </w:tcBorders>
            <w:vAlign w:val="center"/>
          </w:tcPr>
          <w:p w14:paraId="6682A81B">
            <w:pPr>
              <w:widowControl/>
              <w:spacing w:line="276" w:lineRule="auto"/>
              <w:rPr>
                <w:i w:val="0"/>
                <w:iCs w:val="0"/>
                <w:color w:val="auto"/>
                <w:sz w:val="21"/>
                <w:szCs w:val="15"/>
                <w:highlight w:val="none"/>
              </w:rPr>
            </w:pPr>
            <w:r>
              <w:rPr>
                <w:rFonts w:hint="eastAsia"/>
                <w:i w:val="0"/>
                <w:iCs w:val="0"/>
                <w:color w:val="auto"/>
                <w:sz w:val="21"/>
                <w:szCs w:val="15"/>
                <w:highlight w:val="none"/>
              </w:rPr>
              <w:t>车站AFC终端设备软件升级与适配</w:t>
            </w:r>
          </w:p>
        </w:tc>
        <w:tc>
          <w:tcPr>
            <w:tcW w:w="950" w:type="dxa"/>
            <w:tcBorders>
              <w:top w:val="nil"/>
              <w:left w:val="nil"/>
              <w:bottom w:val="single" w:color="000000" w:sz="4" w:space="0"/>
              <w:right w:val="single" w:color="000000" w:sz="4" w:space="0"/>
            </w:tcBorders>
            <w:vAlign w:val="center"/>
          </w:tcPr>
          <w:p w14:paraId="2EA8ADD6">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825" w:type="dxa"/>
            <w:tcBorders>
              <w:top w:val="single" w:color="000000" w:sz="4" w:space="0"/>
              <w:left w:val="nil"/>
              <w:bottom w:val="single" w:color="000000" w:sz="4" w:space="0"/>
              <w:right w:val="single" w:color="000000" w:sz="4" w:space="0"/>
            </w:tcBorders>
            <w:vAlign w:val="center"/>
          </w:tcPr>
          <w:p w14:paraId="41C043E1">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083" w:type="dxa"/>
            <w:tcBorders>
              <w:top w:val="single" w:color="000000" w:sz="4" w:space="0"/>
              <w:left w:val="nil"/>
              <w:bottom w:val="single" w:color="000000" w:sz="4" w:space="0"/>
              <w:right w:val="single" w:color="000000" w:sz="4" w:space="0"/>
            </w:tcBorders>
            <w:vAlign w:val="center"/>
          </w:tcPr>
          <w:p w14:paraId="3CB8C56C">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2537D688">
        <w:tblPrEx>
          <w:tblCellMar>
            <w:top w:w="0" w:type="dxa"/>
            <w:left w:w="108" w:type="dxa"/>
            <w:bottom w:w="0" w:type="dxa"/>
            <w:right w:w="108" w:type="dxa"/>
          </w:tblCellMar>
        </w:tblPrEx>
        <w:trPr>
          <w:trHeight w:val="23"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24047FBF">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959" w:type="dxa"/>
            <w:tcBorders>
              <w:top w:val="single" w:color="000000" w:sz="4" w:space="0"/>
              <w:left w:val="nil"/>
              <w:bottom w:val="single" w:color="000000" w:sz="4" w:space="0"/>
              <w:right w:val="single" w:color="000000" w:sz="4" w:space="0"/>
            </w:tcBorders>
            <w:vAlign w:val="center"/>
          </w:tcPr>
          <w:p w14:paraId="405F86F6">
            <w:pPr>
              <w:widowControl/>
              <w:spacing w:line="276" w:lineRule="auto"/>
              <w:rPr>
                <w:i w:val="0"/>
                <w:iCs w:val="0"/>
                <w:color w:val="auto"/>
                <w:sz w:val="21"/>
                <w:szCs w:val="15"/>
                <w:highlight w:val="none"/>
              </w:rPr>
            </w:pPr>
            <w:r>
              <w:rPr>
                <w:rFonts w:hint="eastAsia"/>
                <w:i w:val="0"/>
                <w:iCs w:val="0"/>
                <w:color w:val="auto"/>
                <w:sz w:val="21"/>
                <w:szCs w:val="15"/>
                <w:highlight w:val="none"/>
              </w:rPr>
              <w:t>SC设备软件升级与适配</w:t>
            </w:r>
          </w:p>
        </w:tc>
        <w:tc>
          <w:tcPr>
            <w:tcW w:w="950" w:type="dxa"/>
            <w:tcBorders>
              <w:top w:val="nil"/>
              <w:left w:val="nil"/>
              <w:bottom w:val="single" w:color="000000" w:sz="4" w:space="0"/>
              <w:right w:val="single" w:color="000000" w:sz="4" w:space="0"/>
            </w:tcBorders>
            <w:vAlign w:val="center"/>
          </w:tcPr>
          <w:p w14:paraId="1686A075">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825" w:type="dxa"/>
            <w:tcBorders>
              <w:top w:val="single" w:color="000000" w:sz="4" w:space="0"/>
              <w:left w:val="nil"/>
              <w:bottom w:val="single" w:color="000000" w:sz="4" w:space="0"/>
              <w:right w:val="single" w:color="000000" w:sz="4" w:space="0"/>
            </w:tcBorders>
            <w:vAlign w:val="center"/>
          </w:tcPr>
          <w:p w14:paraId="46273756">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083" w:type="dxa"/>
            <w:tcBorders>
              <w:top w:val="single" w:color="000000" w:sz="4" w:space="0"/>
              <w:left w:val="nil"/>
              <w:bottom w:val="single" w:color="000000" w:sz="4" w:space="0"/>
              <w:right w:val="single" w:color="000000" w:sz="4" w:space="0"/>
            </w:tcBorders>
            <w:vAlign w:val="center"/>
          </w:tcPr>
          <w:p w14:paraId="39D17308">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14AAA167">
        <w:tblPrEx>
          <w:tblCellMar>
            <w:top w:w="0" w:type="dxa"/>
            <w:left w:w="108" w:type="dxa"/>
            <w:bottom w:w="0" w:type="dxa"/>
            <w:right w:w="108" w:type="dxa"/>
          </w:tblCellMar>
        </w:tblPrEx>
        <w:trPr>
          <w:trHeight w:val="90"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045AE3D">
            <w:pPr>
              <w:widowControl/>
              <w:spacing w:line="276" w:lineRule="auto"/>
              <w:rPr>
                <w:i w:val="0"/>
                <w:iCs w:val="0"/>
                <w:color w:val="auto"/>
                <w:sz w:val="21"/>
                <w:szCs w:val="15"/>
                <w:highlight w:val="none"/>
              </w:rPr>
            </w:pPr>
            <w:r>
              <w:rPr>
                <w:rFonts w:hint="eastAsia"/>
                <w:i w:val="0"/>
                <w:iCs w:val="0"/>
                <w:color w:val="auto"/>
                <w:sz w:val="21"/>
                <w:szCs w:val="15"/>
                <w:highlight w:val="none"/>
              </w:rPr>
              <w:t>3</w:t>
            </w:r>
          </w:p>
        </w:tc>
        <w:tc>
          <w:tcPr>
            <w:tcW w:w="3959" w:type="dxa"/>
            <w:tcBorders>
              <w:top w:val="single" w:color="000000" w:sz="4" w:space="0"/>
              <w:left w:val="nil"/>
              <w:bottom w:val="single" w:color="000000" w:sz="4" w:space="0"/>
              <w:right w:val="single" w:color="000000" w:sz="4" w:space="0"/>
            </w:tcBorders>
            <w:vAlign w:val="center"/>
          </w:tcPr>
          <w:p w14:paraId="359F9B3F">
            <w:pPr>
              <w:widowControl/>
              <w:spacing w:line="276" w:lineRule="auto"/>
              <w:rPr>
                <w:i w:val="0"/>
                <w:iCs w:val="0"/>
                <w:color w:val="auto"/>
                <w:sz w:val="21"/>
                <w:szCs w:val="15"/>
                <w:highlight w:val="none"/>
              </w:rPr>
            </w:pPr>
            <w:r>
              <w:rPr>
                <w:rFonts w:hint="eastAsia"/>
                <w:i w:val="0"/>
                <w:iCs w:val="0"/>
                <w:color w:val="auto"/>
                <w:sz w:val="21"/>
                <w:szCs w:val="15"/>
                <w:highlight w:val="none"/>
              </w:rPr>
              <w:t>AFC状态监测</w:t>
            </w:r>
          </w:p>
        </w:tc>
        <w:tc>
          <w:tcPr>
            <w:tcW w:w="950" w:type="dxa"/>
            <w:tcBorders>
              <w:top w:val="nil"/>
              <w:left w:val="nil"/>
              <w:bottom w:val="single" w:color="000000" w:sz="4" w:space="0"/>
              <w:right w:val="single" w:color="000000" w:sz="4" w:space="0"/>
            </w:tcBorders>
            <w:vAlign w:val="center"/>
          </w:tcPr>
          <w:p w14:paraId="1139F408">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825" w:type="dxa"/>
            <w:tcBorders>
              <w:top w:val="single" w:color="000000" w:sz="4" w:space="0"/>
              <w:left w:val="nil"/>
              <w:bottom w:val="single" w:color="000000" w:sz="4" w:space="0"/>
              <w:right w:val="single" w:color="000000" w:sz="4" w:space="0"/>
            </w:tcBorders>
            <w:vAlign w:val="center"/>
          </w:tcPr>
          <w:p w14:paraId="53E52646">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083" w:type="dxa"/>
            <w:tcBorders>
              <w:top w:val="single" w:color="000000" w:sz="4" w:space="0"/>
              <w:left w:val="nil"/>
              <w:bottom w:val="single" w:color="000000" w:sz="4" w:space="0"/>
              <w:right w:val="single" w:color="000000" w:sz="4" w:space="0"/>
            </w:tcBorders>
            <w:vAlign w:val="center"/>
          </w:tcPr>
          <w:p w14:paraId="6460C53D">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AEBF85A">
        <w:tblPrEx>
          <w:tblCellMar>
            <w:top w:w="0" w:type="dxa"/>
            <w:left w:w="108" w:type="dxa"/>
            <w:bottom w:w="0" w:type="dxa"/>
            <w:right w:w="108" w:type="dxa"/>
          </w:tblCellMar>
        </w:tblPrEx>
        <w:trPr>
          <w:trHeight w:val="23"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3ED363ED">
            <w:pPr>
              <w:widowControl/>
              <w:spacing w:line="276" w:lineRule="auto"/>
              <w:rPr>
                <w:i w:val="0"/>
                <w:iCs w:val="0"/>
                <w:color w:val="auto"/>
                <w:sz w:val="21"/>
                <w:szCs w:val="15"/>
                <w:highlight w:val="none"/>
              </w:rPr>
            </w:pPr>
            <w:r>
              <w:rPr>
                <w:rFonts w:hint="eastAsia"/>
                <w:i w:val="0"/>
                <w:iCs w:val="0"/>
                <w:color w:val="auto"/>
                <w:sz w:val="21"/>
                <w:szCs w:val="15"/>
                <w:highlight w:val="none"/>
              </w:rPr>
              <w:t>4</w:t>
            </w:r>
          </w:p>
        </w:tc>
        <w:tc>
          <w:tcPr>
            <w:tcW w:w="3959" w:type="dxa"/>
            <w:tcBorders>
              <w:top w:val="single" w:color="000000" w:sz="4" w:space="0"/>
              <w:left w:val="nil"/>
              <w:bottom w:val="single" w:color="000000" w:sz="4" w:space="0"/>
              <w:right w:val="single" w:color="000000" w:sz="4" w:space="0"/>
            </w:tcBorders>
            <w:vAlign w:val="center"/>
          </w:tcPr>
          <w:p w14:paraId="5DCC7988">
            <w:pPr>
              <w:widowControl/>
              <w:spacing w:line="276" w:lineRule="auto"/>
              <w:rPr>
                <w:i w:val="0"/>
                <w:iCs w:val="0"/>
                <w:color w:val="auto"/>
                <w:sz w:val="21"/>
                <w:szCs w:val="15"/>
                <w:highlight w:val="none"/>
              </w:rPr>
            </w:pPr>
            <w:r>
              <w:rPr>
                <w:rFonts w:hint="eastAsia"/>
                <w:i w:val="0"/>
                <w:iCs w:val="0"/>
                <w:color w:val="auto"/>
                <w:sz w:val="21"/>
                <w:szCs w:val="15"/>
                <w:highlight w:val="none"/>
              </w:rPr>
              <w:t>AFC数据分析</w:t>
            </w:r>
          </w:p>
        </w:tc>
        <w:tc>
          <w:tcPr>
            <w:tcW w:w="950" w:type="dxa"/>
            <w:tcBorders>
              <w:top w:val="nil"/>
              <w:left w:val="nil"/>
              <w:bottom w:val="single" w:color="000000" w:sz="4" w:space="0"/>
              <w:right w:val="single" w:color="000000" w:sz="4" w:space="0"/>
            </w:tcBorders>
            <w:vAlign w:val="center"/>
          </w:tcPr>
          <w:p w14:paraId="2BA7BEEE">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825" w:type="dxa"/>
            <w:tcBorders>
              <w:top w:val="single" w:color="000000" w:sz="4" w:space="0"/>
              <w:left w:val="nil"/>
              <w:bottom w:val="single" w:color="000000" w:sz="4" w:space="0"/>
              <w:right w:val="single" w:color="000000" w:sz="4" w:space="0"/>
            </w:tcBorders>
            <w:vAlign w:val="center"/>
          </w:tcPr>
          <w:p w14:paraId="6BF562AF">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083" w:type="dxa"/>
            <w:tcBorders>
              <w:top w:val="single" w:color="000000" w:sz="4" w:space="0"/>
              <w:left w:val="nil"/>
              <w:bottom w:val="single" w:color="000000" w:sz="4" w:space="0"/>
              <w:right w:val="single" w:color="000000" w:sz="4" w:space="0"/>
            </w:tcBorders>
            <w:vAlign w:val="center"/>
          </w:tcPr>
          <w:p w14:paraId="788A52BB">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40559A90">
        <w:tblPrEx>
          <w:tblCellMar>
            <w:top w:w="0" w:type="dxa"/>
            <w:left w:w="108" w:type="dxa"/>
            <w:bottom w:w="0" w:type="dxa"/>
            <w:right w:w="108" w:type="dxa"/>
          </w:tblCellMar>
        </w:tblPrEx>
        <w:trPr>
          <w:trHeight w:val="23"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63FAD91">
            <w:pPr>
              <w:widowControl/>
              <w:spacing w:line="276" w:lineRule="auto"/>
              <w:rPr>
                <w:i w:val="0"/>
                <w:iCs w:val="0"/>
                <w:color w:val="auto"/>
                <w:sz w:val="21"/>
                <w:szCs w:val="15"/>
                <w:highlight w:val="none"/>
              </w:rPr>
            </w:pPr>
            <w:r>
              <w:rPr>
                <w:rFonts w:hint="eastAsia"/>
                <w:i w:val="0"/>
                <w:iCs w:val="0"/>
                <w:color w:val="auto"/>
                <w:sz w:val="21"/>
                <w:szCs w:val="15"/>
                <w:highlight w:val="none"/>
              </w:rPr>
              <w:t>5</w:t>
            </w:r>
          </w:p>
        </w:tc>
        <w:tc>
          <w:tcPr>
            <w:tcW w:w="3959" w:type="dxa"/>
            <w:tcBorders>
              <w:top w:val="single" w:color="000000" w:sz="4" w:space="0"/>
              <w:left w:val="nil"/>
              <w:bottom w:val="single" w:color="000000" w:sz="4" w:space="0"/>
              <w:right w:val="single" w:color="000000" w:sz="4" w:space="0"/>
            </w:tcBorders>
            <w:vAlign w:val="center"/>
          </w:tcPr>
          <w:p w14:paraId="49F24F6C">
            <w:pPr>
              <w:widowControl/>
              <w:spacing w:line="276" w:lineRule="auto"/>
              <w:rPr>
                <w:i w:val="0"/>
                <w:iCs w:val="0"/>
                <w:color w:val="auto"/>
                <w:sz w:val="21"/>
                <w:szCs w:val="15"/>
                <w:highlight w:val="none"/>
              </w:rPr>
            </w:pPr>
            <w:r>
              <w:rPr>
                <w:rFonts w:hint="eastAsia"/>
                <w:i w:val="0"/>
                <w:iCs w:val="0"/>
                <w:color w:val="auto"/>
                <w:sz w:val="21"/>
                <w:szCs w:val="15"/>
                <w:highlight w:val="none"/>
              </w:rPr>
              <w:t>AFC故障诊断</w:t>
            </w:r>
          </w:p>
        </w:tc>
        <w:tc>
          <w:tcPr>
            <w:tcW w:w="950" w:type="dxa"/>
            <w:tcBorders>
              <w:top w:val="nil"/>
              <w:left w:val="nil"/>
              <w:bottom w:val="single" w:color="000000" w:sz="4" w:space="0"/>
              <w:right w:val="single" w:color="000000" w:sz="4" w:space="0"/>
            </w:tcBorders>
            <w:vAlign w:val="center"/>
          </w:tcPr>
          <w:p w14:paraId="72D84A13">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825" w:type="dxa"/>
            <w:tcBorders>
              <w:top w:val="single" w:color="000000" w:sz="4" w:space="0"/>
              <w:left w:val="nil"/>
              <w:bottom w:val="single" w:color="000000" w:sz="4" w:space="0"/>
              <w:right w:val="single" w:color="000000" w:sz="4" w:space="0"/>
            </w:tcBorders>
            <w:vAlign w:val="center"/>
          </w:tcPr>
          <w:p w14:paraId="36A15534">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083" w:type="dxa"/>
            <w:tcBorders>
              <w:top w:val="single" w:color="000000" w:sz="4" w:space="0"/>
              <w:left w:val="nil"/>
              <w:bottom w:val="single" w:color="000000" w:sz="4" w:space="0"/>
              <w:right w:val="single" w:color="000000" w:sz="4" w:space="0"/>
            </w:tcBorders>
            <w:vAlign w:val="center"/>
          </w:tcPr>
          <w:p w14:paraId="7288F262">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77BC787C">
        <w:tblPrEx>
          <w:tblCellMar>
            <w:top w:w="0" w:type="dxa"/>
            <w:left w:w="108" w:type="dxa"/>
            <w:bottom w:w="0" w:type="dxa"/>
            <w:right w:w="108" w:type="dxa"/>
          </w:tblCellMar>
        </w:tblPrEx>
        <w:trPr>
          <w:trHeight w:val="23"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3174DDE3">
            <w:pPr>
              <w:widowControl/>
              <w:spacing w:line="276" w:lineRule="auto"/>
              <w:rPr>
                <w:i w:val="0"/>
                <w:iCs w:val="0"/>
                <w:color w:val="auto"/>
                <w:sz w:val="21"/>
                <w:szCs w:val="15"/>
                <w:highlight w:val="none"/>
              </w:rPr>
            </w:pPr>
            <w:r>
              <w:rPr>
                <w:rFonts w:hint="eastAsia"/>
                <w:i w:val="0"/>
                <w:iCs w:val="0"/>
                <w:color w:val="auto"/>
                <w:sz w:val="21"/>
                <w:szCs w:val="15"/>
                <w:highlight w:val="none"/>
              </w:rPr>
              <w:t>6</w:t>
            </w:r>
          </w:p>
        </w:tc>
        <w:tc>
          <w:tcPr>
            <w:tcW w:w="3959" w:type="dxa"/>
            <w:tcBorders>
              <w:top w:val="single" w:color="000000" w:sz="4" w:space="0"/>
              <w:left w:val="nil"/>
              <w:bottom w:val="single" w:color="000000" w:sz="4" w:space="0"/>
              <w:right w:val="single" w:color="000000" w:sz="4" w:space="0"/>
            </w:tcBorders>
            <w:vAlign w:val="center"/>
          </w:tcPr>
          <w:p w14:paraId="02E6F330">
            <w:pPr>
              <w:widowControl/>
              <w:spacing w:line="276" w:lineRule="auto"/>
              <w:rPr>
                <w:i w:val="0"/>
                <w:iCs w:val="0"/>
                <w:color w:val="auto"/>
                <w:sz w:val="21"/>
                <w:szCs w:val="15"/>
                <w:highlight w:val="none"/>
              </w:rPr>
            </w:pPr>
            <w:r>
              <w:rPr>
                <w:rFonts w:hint="eastAsia"/>
                <w:i w:val="0"/>
                <w:iCs w:val="0"/>
                <w:color w:val="auto"/>
                <w:sz w:val="21"/>
                <w:szCs w:val="15"/>
                <w:highlight w:val="none"/>
              </w:rPr>
              <w:t>AFC故障预警</w:t>
            </w:r>
          </w:p>
        </w:tc>
        <w:tc>
          <w:tcPr>
            <w:tcW w:w="950" w:type="dxa"/>
            <w:tcBorders>
              <w:top w:val="nil"/>
              <w:left w:val="nil"/>
              <w:bottom w:val="single" w:color="000000" w:sz="4" w:space="0"/>
              <w:right w:val="single" w:color="000000" w:sz="4" w:space="0"/>
            </w:tcBorders>
            <w:vAlign w:val="center"/>
          </w:tcPr>
          <w:p w14:paraId="13C094B5">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825" w:type="dxa"/>
            <w:tcBorders>
              <w:top w:val="single" w:color="000000" w:sz="4" w:space="0"/>
              <w:left w:val="nil"/>
              <w:bottom w:val="single" w:color="000000" w:sz="4" w:space="0"/>
              <w:right w:val="single" w:color="000000" w:sz="4" w:space="0"/>
            </w:tcBorders>
            <w:vAlign w:val="center"/>
          </w:tcPr>
          <w:p w14:paraId="56AD0259">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083" w:type="dxa"/>
            <w:tcBorders>
              <w:top w:val="single" w:color="000000" w:sz="4" w:space="0"/>
              <w:left w:val="nil"/>
              <w:bottom w:val="single" w:color="000000" w:sz="4" w:space="0"/>
              <w:right w:val="single" w:color="000000" w:sz="4" w:space="0"/>
            </w:tcBorders>
            <w:vAlign w:val="center"/>
          </w:tcPr>
          <w:p w14:paraId="7528B22F">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bl>
    <w:p w14:paraId="0D69EA87">
      <w:pPr>
        <w:pStyle w:val="6"/>
        <w:numPr>
          <w:ilvl w:val="3"/>
          <w:numId w:val="0"/>
        </w:numPr>
        <w:ind w:left="1418" w:leftChars="0"/>
      </w:pPr>
    </w:p>
    <w:p w14:paraId="56D1342B">
      <w:pPr>
        <w:pStyle w:val="5"/>
        <w:ind w:left="0"/>
        <w:rPr>
          <w:i w:val="0"/>
          <w:iCs w:val="0"/>
          <w:color w:val="auto"/>
          <w:sz w:val="22"/>
          <w:szCs w:val="22"/>
          <w:highlight w:val="none"/>
        </w:rPr>
      </w:pPr>
      <w:bookmarkStart w:id="379" w:name="_Toc13497"/>
      <w:r>
        <w:rPr>
          <w:rFonts w:hint="eastAsia"/>
          <w:i w:val="0"/>
          <w:iCs w:val="0"/>
          <w:color w:val="auto"/>
          <w:sz w:val="22"/>
          <w:szCs w:val="22"/>
          <w:highlight w:val="none"/>
          <w:lang w:val="en-US"/>
        </w:rPr>
        <w:t>电扶梯智能运维主要设备材料表</w:t>
      </w:r>
      <w:bookmarkEnd w:id="379"/>
    </w:p>
    <w:p w14:paraId="56D1342C">
      <w:pPr>
        <w:pStyle w:val="6"/>
        <w:ind w:left="0"/>
        <w:rPr>
          <w:i w:val="0"/>
          <w:iCs w:val="0"/>
          <w:color w:val="auto"/>
          <w:sz w:val="21"/>
          <w:szCs w:val="21"/>
          <w:highlight w:val="none"/>
        </w:rPr>
      </w:pPr>
      <w:r>
        <w:rPr>
          <w:rFonts w:hint="eastAsia"/>
          <w:i w:val="0"/>
          <w:iCs w:val="0"/>
          <w:color w:val="auto"/>
          <w:sz w:val="21"/>
          <w:szCs w:val="21"/>
          <w:highlight w:val="none"/>
        </w:rPr>
        <w:t>主要设备表</w:t>
      </w:r>
    </w:p>
    <w:tbl>
      <w:tblPr>
        <w:tblStyle w:val="88"/>
        <w:tblW w:w="7654" w:type="dxa"/>
        <w:jc w:val="center"/>
        <w:tblLayout w:type="autofit"/>
        <w:tblCellMar>
          <w:top w:w="0" w:type="dxa"/>
          <w:left w:w="108" w:type="dxa"/>
          <w:bottom w:w="0" w:type="dxa"/>
          <w:right w:w="108" w:type="dxa"/>
        </w:tblCellMar>
      </w:tblPr>
      <w:tblGrid>
        <w:gridCol w:w="853"/>
        <w:gridCol w:w="2599"/>
        <w:gridCol w:w="780"/>
        <w:gridCol w:w="730"/>
        <w:gridCol w:w="2692"/>
      </w:tblGrid>
      <w:tr w14:paraId="56D13432">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42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599" w:type="dxa"/>
            <w:tcBorders>
              <w:top w:val="single" w:color="000000" w:sz="4" w:space="0"/>
              <w:left w:val="nil"/>
              <w:bottom w:val="single" w:color="000000" w:sz="4" w:space="0"/>
              <w:right w:val="single" w:color="000000" w:sz="4" w:space="0"/>
            </w:tcBorders>
            <w:vAlign w:val="center"/>
          </w:tcPr>
          <w:p w14:paraId="56D1342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设备/功能模块名称</w:t>
            </w:r>
          </w:p>
        </w:tc>
        <w:tc>
          <w:tcPr>
            <w:tcW w:w="780" w:type="dxa"/>
            <w:tcBorders>
              <w:top w:val="single" w:color="000000" w:sz="4" w:space="0"/>
              <w:left w:val="nil"/>
              <w:bottom w:val="single" w:color="000000" w:sz="4" w:space="0"/>
              <w:right w:val="single" w:color="000000" w:sz="4" w:space="0"/>
            </w:tcBorders>
            <w:vAlign w:val="center"/>
          </w:tcPr>
          <w:p w14:paraId="56D1342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730" w:type="dxa"/>
            <w:tcBorders>
              <w:top w:val="single" w:color="000000" w:sz="4" w:space="0"/>
              <w:left w:val="nil"/>
              <w:bottom w:val="single" w:color="000000" w:sz="4" w:space="0"/>
              <w:right w:val="single" w:color="000000" w:sz="4" w:space="0"/>
            </w:tcBorders>
            <w:vAlign w:val="center"/>
          </w:tcPr>
          <w:p w14:paraId="56D1343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2692" w:type="dxa"/>
            <w:tcBorders>
              <w:top w:val="single" w:color="000000" w:sz="4" w:space="0"/>
              <w:left w:val="nil"/>
              <w:bottom w:val="nil"/>
              <w:right w:val="single" w:color="000000" w:sz="4" w:space="0"/>
            </w:tcBorders>
            <w:vAlign w:val="center"/>
          </w:tcPr>
          <w:p w14:paraId="56D1343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43E">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43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599" w:type="dxa"/>
            <w:tcBorders>
              <w:top w:val="nil"/>
              <w:left w:val="nil"/>
              <w:bottom w:val="single" w:color="000000" w:sz="4" w:space="0"/>
              <w:right w:val="single" w:color="000000" w:sz="4" w:space="0"/>
            </w:tcBorders>
            <w:vAlign w:val="center"/>
          </w:tcPr>
          <w:p w14:paraId="56D1343A">
            <w:pPr>
              <w:widowControl/>
              <w:spacing w:line="276" w:lineRule="auto"/>
              <w:rPr>
                <w:i w:val="0"/>
                <w:iCs w:val="0"/>
                <w:color w:val="auto"/>
                <w:sz w:val="21"/>
                <w:szCs w:val="15"/>
                <w:highlight w:val="none"/>
              </w:rPr>
            </w:pPr>
            <w:r>
              <w:rPr>
                <w:rFonts w:hint="eastAsia"/>
                <w:i w:val="0"/>
                <w:iCs w:val="0"/>
                <w:color w:val="auto"/>
                <w:sz w:val="21"/>
                <w:szCs w:val="15"/>
                <w:highlight w:val="none"/>
              </w:rPr>
              <w:t>数据采集箱</w:t>
            </w:r>
          </w:p>
        </w:tc>
        <w:tc>
          <w:tcPr>
            <w:tcW w:w="780" w:type="dxa"/>
            <w:tcBorders>
              <w:top w:val="nil"/>
              <w:left w:val="nil"/>
              <w:bottom w:val="single" w:color="000000" w:sz="4" w:space="0"/>
              <w:right w:val="single" w:color="000000" w:sz="4" w:space="0"/>
            </w:tcBorders>
            <w:vAlign w:val="center"/>
          </w:tcPr>
          <w:p w14:paraId="56D1343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vAlign w:val="center"/>
          </w:tcPr>
          <w:p w14:paraId="56D1343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80</w:t>
            </w:r>
          </w:p>
        </w:tc>
        <w:tc>
          <w:tcPr>
            <w:tcW w:w="2692" w:type="dxa"/>
            <w:tcBorders>
              <w:top w:val="single" w:color="000000" w:sz="4" w:space="0"/>
              <w:left w:val="nil"/>
              <w:bottom w:val="single" w:color="000000" w:sz="4" w:space="0"/>
              <w:right w:val="single" w:color="000000" w:sz="4" w:space="0"/>
            </w:tcBorders>
            <w:vAlign w:val="center"/>
          </w:tcPr>
          <w:p w14:paraId="56D1343D">
            <w:pPr>
              <w:widowControl/>
              <w:spacing w:line="276" w:lineRule="auto"/>
              <w:rPr>
                <w:i w:val="0"/>
                <w:iCs w:val="0"/>
                <w:color w:val="auto"/>
                <w:sz w:val="21"/>
                <w:szCs w:val="15"/>
                <w:highlight w:val="none"/>
              </w:rPr>
            </w:pPr>
            <w:r>
              <w:rPr>
                <w:rFonts w:hint="eastAsia"/>
                <w:i w:val="0"/>
                <w:iCs w:val="0"/>
                <w:color w:val="auto"/>
                <w:sz w:val="21"/>
                <w:szCs w:val="15"/>
                <w:highlight w:val="none"/>
              </w:rPr>
              <w:t>含边缘网关、交换机、电能表、安装底座及至各传感器线缆</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444">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43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599" w:type="dxa"/>
            <w:tcBorders>
              <w:top w:val="nil"/>
              <w:left w:val="nil"/>
              <w:bottom w:val="single" w:color="000000" w:sz="4" w:space="0"/>
              <w:right w:val="single" w:color="000000" w:sz="4" w:space="0"/>
            </w:tcBorders>
            <w:vAlign w:val="center"/>
          </w:tcPr>
          <w:p w14:paraId="56D13440">
            <w:pPr>
              <w:widowControl/>
              <w:spacing w:line="276" w:lineRule="auto"/>
              <w:rPr>
                <w:i w:val="0"/>
                <w:iCs w:val="0"/>
                <w:color w:val="auto"/>
                <w:sz w:val="21"/>
                <w:szCs w:val="15"/>
                <w:highlight w:val="none"/>
              </w:rPr>
            </w:pPr>
            <w:r>
              <w:rPr>
                <w:rFonts w:hint="eastAsia"/>
                <w:i w:val="0"/>
                <w:iCs w:val="0"/>
                <w:color w:val="auto"/>
                <w:sz w:val="21"/>
                <w:szCs w:val="15"/>
                <w:highlight w:val="none"/>
              </w:rPr>
              <w:t>单轴压电式传感器</w:t>
            </w:r>
          </w:p>
        </w:tc>
        <w:tc>
          <w:tcPr>
            <w:tcW w:w="780" w:type="dxa"/>
            <w:tcBorders>
              <w:top w:val="nil"/>
              <w:left w:val="nil"/>
              <w:bottom w:val="single" w:color="000000" w:sz="4" w:space="0"/>
              <w:right w:val="single" w:color="000000" w:sz="4" w:space="0"/>
            </w:tcBorders>
            <w:vAlign w:val="center"/>
          </w:tcPr>
          <w:p w14:paraId="56D1344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vAlign w:val="center"/>
          </w:tcPr>
          <w:p w14:paraId="56D1344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600</w:t>
            </w:r>
          </w:p>
        </w:tc>
        <w:tc>
          <w:tcPr>
            <w:tcW w:w="2692" w:type="dxa"/>
            <w:tcBorders>
              <w:top w:val="single" w:color="000000" w:sz="4" w:space="0"/>
              <w:left w:val="nil"/>
              <w:bottom w:val="single" w:color="000000" w:sz="4" w:space="0"/>
              <w:right w:val="single" w:color="000000" w:sz="4" w:space="0"/>
            </w:tcBorders>
            <w:vAlign w:val="center"/>
          </w:tcPr>
          <w:p w14:paraId="56D13443">
            <w:pPr>
              <w:widowControl/>
              <w:spacing w:line="276" w:lineRule="auto"/>
              <w:rPr>
                <w:i w:val="0"/>
                <w:iCs w:val="0"/>
                <w:color w:val="auto"/>
                <w:sz w:val="21"/>
                <w:szCs w:val="15"/>
                <w:highlight w:val="none"/>
              </w:rPr>
            </w:pPr>
            <w:r>
              <w:rPr>
                <w:rFonts w:hint="eastAsia"/>
                <w:i w:val="0"/>
                <w:iCs w:val="0"/>
                <w:color w:val="auto"/>
                <w:sz w:val="21"/>
                <w:szCs w:val="15"/>
                <w:highlight w:val="none"/>
              </w:rPr>
              <w:t>含安装底座</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44A">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44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599" w:type="dxa"/>
            <w:tcBorders>
              <w:top w:val="nil"/>
              <w:left w:val="nil"/>
              <w:bottom w:val="single" w:color="000000" w:sz="4" w:space="0"/>
              <w:right w:val="single" w:color="000000" w:sz="4" w:space="0"/>
            </w:tcBorders>
            <w:vAlign w:val="center"/>
          </w:tcPr>
          <w:p w14:paraId="56D13446">
            <w:pPr>
              <w:widowControl/>
              <w:spacing w:line="276" w:lineRule="auto"/>
              <w:rPr>
                <w:i w:val="0"/>
                <w:iCs w:val="0"/>
                <w:color w:val="auto"/>
                <w:sz w:val="21"/>
                <w:szCs w:val="15"/>
                <w:highlight w:val="none"/>
              </w:rPr>
            </w:pPr>
            <w:r>
              <w:rPr>
                <w:rFonts w:hint="eastAsia"/>
                <w:i w:val="0"/>
                <w:iCs w:val="0"/>
                <w:color w:val="auto"/>
                <w:sz w:val="21"/>
                <w:szCs w:val="15"/>
                <w:highlight w:val="none"/>
              </w:rPr>
              <w:t>红外温度传感器</w:t>
            </w:r>
          </w:p>
        </w:tc>
        <w:tc>
          <w:tcPr>
            <w:tcW w:w="780" w:type="dxa"/>
            <w:tcBorders>
              <w:top w:val="nil"/>
              <w:left w:val="nil"/>
              <w:bottom w:val="single" w:color="000000" w:sz="4" w:space="0"/>
              <w:right w:val="single" w:color="000000" w:sz="4" w:space="0"/>
            </w:tcBorders>
            <w:vAlign w:val="center"/>
          </w:tcPr>
          <w:p w14:paraId="56D1344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vAlign w:val="center"/>
          </w:tcPr>
          <w:p w14:paraId="56D1344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160</w:t>
            </w:r>
          </w:p>
        </w:tc>
        <w:tc>
          <w:tcPr>
            <w:tcW w:w="2692" w:type="dxa"/>
            <w:tcBorders>
              <w:top w:val="single" w:color="000000" w:sz="4" w:space="0"/>
              <w:left w:val="nil"/>
              <w:bottom w:val="single" w:color="000000" w:sz="4" w:space="0"/>
              <w:right w:val="single" w:color="000000" w:sz="4" w:space="0"/>
            </w:tcBorders>
            <w:vAlign w:val="center"/>
          </w:tcPr>
          <w:p w14:paraId="56D13449">
            <w:pPr>
              <w:widowControl/>
              <w:spacing w:line="276" w:lineRule="auto"/>
              <w:rPr>
                <w:i w:val="0"/>
                <w:iCs w:val="0"/>
                <w:color w:val="auto"/>
                <w:sz w:val="21"/>
                <w:szCs w:val="15"/>
                <w:highlight w:val="none"/>
              </w:rPr>
            </w:pPr>
            <w:r>
              <w:rPr>
                <w:rFonts w:hint="eastAsia"/>
                <w:i w:val="0"/>
                <w:iCs w:val="0"/>
                <w:color w:val="auto"/>
                <w:sz w:val="21"/>
                <w:szCs w:val="15"/>
                <w:highlight w:val="none"/>
              </w:rPr>
              <w:t>含安装底座</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450">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44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2599" w:type="dxa"/>
            <w:tcBorders>
              <w:top w:val="nil"/>
              <w:left w:val="nil"/>
              <w:bottom w:val="single" w:color="000000" w:sz="4" w:space="0"/>
              <w:right w:val="single" w:color="000000" w:sz="4" w:space="0"/>
            </w:tcBorders>
            <w:vAlign w:val="center"/>
          </w:tcPr>
          <w:p w14:paraId="56D1344C">
            <w:pPr>
              <w:widowControl/>
              <w:spacing w:line="276" w:lineRule="auto"/>
              <w:rPr>
                <w:i w:val="0"/>
                <w:iCs w:val="0"/>
                <w:color w:val="auto"/>
                <w:sz w:val="21"/>
                <w:szCs w:val="15"/>
                <w:highlight w:val="none"/>
              </w:rPr>
            </w:pPr>
            <w:r>
              <w:rPr>
                <w:rFonts w:hint="eastAsia"/>
                <w:i w:val="0"/>
                <w:iCs w:val="0"/>
                <w:color w:val="auto"/>
                <w:sz w:val="21"/>
                <w:szCs w:val="15"/>
                <w:highlight w:val="none"/>
              </w:rPr>
              <w:t>汇聚交换机</w:t>
            </w:r>
          </w:p>
        </w:tc>
        <w:tc>
          <w:tcPr>
            <w:tcW w:w="780" w:type="dxa"/>
            <w:tcBorders>
              <w:top w:val="nil"/>
              <w:left w:val="nil"/>
              <w:bottom w:val="single" w:color="000000" w:sz="4" w:space="0"/>
              <w:right w:val="single" w:color="000000" w:sz="4" w:space="0"/>
            </w:tcBorders>
            <w:vAlign w:val="center"/>
          </w:tcPr>
          <w:p w14:paraId="56D1344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30" w:type="dxa"/>
            <w:tcBorders>
              <w:top w:val="single" w:color="000000" w:sz="4" w:space="0"/>
              <w:left w:val="nil"/>
              <w:bottom w:val="single" w:color="000000" w:sz="4" w:space="0"/>
              <w:right w:val="single" w:color="000000" w:sz="4" w:space="0"/>
            </w:tcBorders>
            <w:vAlign w:val="center"/>
          </w:tcPr>
          <w:p w14:paraId="56D1344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10</w:t>
            </w:r>
          </w:p>
        </w:tc>
        <w:tc>
          <w:tcPr>
            <w:tcW w:w="2692" w:type="dxa"/>
            <w:tcBorders>
              <w:top w:val="single" w:color="000000" w:sz="4" w:space="0"/>
              <w:left w:val="nil"/>
              <w:bottom w:val="single" w:color="000000" w:sz="4" w:space="0"/>
              <w:right w:val="single" w:color="000000" w:sz="4" w:space="0"/>
            </w:tcBorders>
            <w:vAlign w:val="center"/>
          </w:tcPr>
          <w:p w14:paraId="56D1344F">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456">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45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2599" w:type="dxa"/>
            <w:tcBorders>
              <w:top w:val="nil"/>
              <w:left w:val="nil"/>
              <w:bottom w:val="single" w:color="000000" w:sz="4" w:space="0"/>
              <w:right w:val="single" w:color="000000" w:sz="4" w:space="0"/>
            </w:tcBorders>
            <w:vAlign w:val="center"/>
          </w:tcPr>
          <w:p w14:paraId="56D13452">
            <w:pPr>
              <w:widowControl/>
              <w:spacing w:line="276" w:lineRule="auto"/>
              <w:rPr>
                <w:i w:val="0"/>
                <w:iCs w:val="0"/>
                <w:color w:val="auto"/>
                <w:sz w:val="21"/>
                <w:szCs w:val="15"/>
                <w:highlight w:val="none"/>
              </w:rPr>
            </w:pPr>
            <w:r>
              <w:rPr>
                <w:rFonts w:hint="eastAsia"/>
                <w:i w:val="0"/>
                <w:iCs w:val="0"/>
                <w:color w:val="auto"/>
                <w:sz w:val="21"/>
                <w:szCs w:val="15"/>
                <w:highlight w:val="none"/>
              </w:rPr>
              <w:t>预防性维护软件</w:t>
            </w:r>
          </w:p>
        </w:tc>
        <w:tc>
          <w:tcPr>
            <w:tcW w:w="780" w:type="dxa"/>
            <w:tcBorders>
              <w:top w:val="nil"/>
              <w:left w:val="nil"/>
              <w:bottom w:val="single" w:color="000000" w:sz="4" w:space="0"/>
              <w:right w:val="single" w:color="000000" w:sz="4" w:space="0"/>
            </w:tcBorders>
            <w:vAlign w:val="center"/>
          </w:tcPr>
          <w:p w14:paraId="56D1345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30" w:type="dxa"/>
            <w:tcBorders>
              <w:top w:val="single" w:color="000000" w:sz="4" w:space="0"/>
              <w:left w:val="nil"/>
              <w:bottom w:val="single" w:color="000000" w:sz="4" w:space="0"/>
              <w:right w:val="single" w:color="000000" w:sz="4" w:space="0"/>
            </w:tcBorders>
            <w:vAlign w:val="center"/>
          </w:tcPr>
          <w:p w14:paraId="56D1345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692" w:type="dxa"/>
            <w:tcBorders>
              <w:top w:val="single" w:color="000000" w:sz="4" w:space="0"/>
              <w:left w:val="nil"/>
              <w:bottom w:val="single" w:color="000000" w:sz="4" w:space="0"/>
              <w:right w:val="single" w:color="000000" w:sz="4" w:space="0"/>
            </w:tcBorders>
            <w:vAlign w:val="center"/>
          </w:tcPr>
          <w:p w14:paraId="56D13455">
            <w:pPr>
              <w:widowControl/>
              <w:spacing w:line="276" w:lineRule="auto"/>
              <w:rPr>
                <w:i w:val="0"/>
                <w:iCs w:val="0"/>
                <w:color w:val="auto"/>
                <w:sz w:val="21"/>
                <w:szCs w:val="15"/>
                <w:highlight w:val="none"/>
              </w:rPr>
            </w:pPr>
            <w:r>
              <w:rPr>
                <w:rFonts w:hint="eastAsia"/>
                <w:i w:val="0"/>
                <w:iCs w:val="0"/>
                <w:color w:val="auto"/>
                <w:sz w:val="21"/>
                <w:szCs w:val="15"/>
                <w:highlight w:val="none"/>
              </w:rPr>
              <w:t>站级调试与模型训练、实时状态监测、故障诊断、故障预测</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45C">
        <w:tblPrEx>
          <w:tblCellMar>
            <w:top w:w="0" w:type="dxa"/>
            <w:left w:w="108" w:type="dxa"/>
            <w:bottom w:w="0" w:type="dxa"/>
            <w:right w:w="108" w:type="dxa"/>
          </w:tblCellMar>
        </w:tblPrEx>
        <w:trPr>
          <w:trHeight w:val="23" w:hRule="atLeast"/>
          <w:jc w:val="center"/>
        </w:trPr>
        <w:tc>
          <w:tcPr>
            <w:tcW w:w="853" w:type="dxa"/>
            <w:tcBorders>
              <w:top w:val="single" w:color="000000" w:sz="4" w:space="0"/>
              <w:left w:val="single" w:color="000000" w:sz="4" w:space="0"/>
              <w:bottom w:val="single" w:color="000000" w:sz="4" w:space="0"/>
              <w:right w:val="single" w:color="000000" w:sz="4" w:space="0"/>
            </w:tcBorders>
            <w:vAlign w:val="center"/>
          </w:tcPr>
          <w:p w14:paraId="56D1345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2599" w:type="dxa"/>
            <w:tcBorders>
              <w:top w:val="nil"/>
              <w:left w:val="nil"/>
              <w:bottom w:val="single" w:color="000000" w:sz="4" w:space="0"/>
              <w:right w:val="single" w:color="000000" w:sz="4" w:space="0"/>
            </w:tcBorders>
            <w:vAlign w:val="center"/>
          </w:tcPr>
          <w:p w14:paraId="56D13458">
            <w:pPr>
              <w:widowControl/>
              <w:spacing w:line="276" w:lineRule="auto"/>
              <w:rPr>
                <w:i w:val="0"/>
                <w:iCs w:val="0"/>
                <w:color w:val="auto"/>
                <w:sz w:val="21"/>
                <w:szCs w:val="15"/>
                <w:highlight w:val="none"/>
              </w:rPr>
            </w:pPr>
            <w:r>
              <w:rPr>
                <w:rFonts w:hint="eastAsia"/>
                <w:i w:val="0"/>
                <w:iCs w:val="0"/>
                <w:color w:val="auto"/>
                <w:sz w:val="21"/>
                <w:szCs w:val="15"/>
                <w:highlight w:val="none"/>
              </w:rPr>
              <w:t>与电扶梯系统接口</w:t>
            </w:r>
          </w:p>
        </w:tc>
        <w:tc>
          <w:tcPr>
            <w:tcW w:w="780" w:type="dxa"/>
            <w:tcBorders>
              <w:top w:val="nil"/>
              <w:left w:val="nil"/>
              <w:bottom w:val="single" w:color="000000" w:sz="4" w:space="0"/>
              <w:right w:val="single" w:color="000000" w:sz="4" w:space="0"/>
            </w:tcBorders>
            <w:vAlign w:val="center"/>
          </w:tcPr>
          <w:p w14:paraId="56D1345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730" w:type="dxa"/>
            <w:tcBorders>
              <w:top w:val="single" w:color="000000" w:sz="4" w:space="0"/>
              <w:left w:val="nil"/>
              <w:bottom w:val="single" w:color="000000" w:sz="4" w:space="0"/>
              <w:right w:val="single" w:color="000000" w:sz="4" w:space="0"/>
            </w:tcBorders>
            <w:vAlign w:val="center"/>
          </w:tcPr>
          <w:p w14:paraId="56D1345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692" w:type="dxa"/>
            <w:tcBorders>
              <w:top w:val="single" w:color="000000" w:sz="4" w:space="0"/>
              <w:left w:val="nil"/>
              <w:bottom w:val="single" w:color="000000" w:sz="4" w:space="0"/>
              <w:right w:val="single" w:color="000000" w:sz="4" w:space="0"/>
            </w:tcBorders>
            <w:vAlign w:val="center"/>
          </w:tcPr>
          <w:p w14:paraId="56D1345B">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bl>
    <w:p w14:paraId="56D1345D">
      <w:pPr>
        <w:rPr>
          <w:rFonts w:hint="eastAsia" w:ascii="等线" w:hAnsi="等线" w:eastAsia="等线" w:cs="宋体"/>
          <w:i w:val="0"/>
          <w:iCs w:val="0"/>
          <w:color w:val="auto"/>
          <w:sz w:val="15"/>
          <w:szCs w:val="15"/>
          <w:highlight w:val="none"/>
        </w:rPr>
      </w:pPr>
    </w:p>
    <w:p w14:paraId="56D1345E">
      <w:pPr>
        <w:pStyle w:val="6"/>
        <w:ind w:left="0"/>
        <w:rPr>
          <w:i w:val="0"/>
          <w:iCs w:val="0"/>
          <w:color w:val="auto"/>
          <w:sz w:val="21"/>
          <w:szCs w:val="21"/>
          <w:highlight w:val="none"/>
        </w:rPr>
      </w:pPr>
      <w:r>
        <w:rPr>
          <w:rFonts w:hint="eastAsia"/>
          <w:i w:val="0"/>
          <w:iCs w:val="0"/>
          <w:color w:val="auto"/>
          <w:sz w:val="21"/>
          <w:szCs w:val="21"/>
          <w:highlight w:val="none"/>
        </w:rPr>
        <w:t>安装清单</w:t>
      </w:r>
    </w:p>
    <w:tbl>
      <w:tblPr>
        <w:tblStyle w:val="88"/>
        <w:tblW w:w="7820" w:type="dxa"/>
        <w:jc w:val="center"/>
        <w:tblLayout w:type="autofit"/>
        <w:tblCellMar>
          <w:top w:w="0" w:type="dxa"/>
          <w:left w:w="108" w:type="dxa"/>
          <w:bottom w:w="0" w:type="dxa"/>
          <w:right w:w="108" w:type="dxa"/>
        </w:tblCellMar>
      </w:tblPr>
      <w:tblGrid>
        <w:gridCol w:w="782"/>
        <w:gridCol w:w="2360"/>
        <w:gridCol w:w="850"/>
        <w:gridCol w:w="800"/>
        <w:gridCol w:w="3028"/>
      </w:tblGrid>
      <w:tr w14:paraId="56D13464">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5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360" w:type="dxa"/>
            <w:tcBorders>
              <w:top w:val="single" w:color="000000" w:sz="4" w:space="0"/>
              <w:left w:val="nil"/>
              <w:bottom w:val="single" w:color="000000" w:sz="4" w:space="0"/>
              <w:right w:val="single" w:color="000000" w:sz="4" w:space="0"/>
            </w:tcBorders>
            <w:vAlign w:val="center"/>
          </w:tcPr>
          <w:p w14:paraId="56D13460">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850" w:type="dxa"/>
            <w:tcBorders>
              <w:top w:val="single" w:color="000000" w:sz="4" w:space="0"/>
              <w:left w:val="nil"/>
              <w:bottom w:val="single" w:color="000000" w:sz="4" w:space="0"/>
              <w:right w:val="single" w:color="000000" w:sz="4" w:space="0"/>
            </w:tcBorders>
            <w:vAlign w:val="center"/>
          </w:tcPr>
          <w:p w14:paraId="56D13461">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800" w:type="dxa"/>
            <w:tcBorders>
              <w:top w:val="single" w:color="000000" w:sz="4" w:space="0"/>
              <w:left w:val="nil"/>
              <w:bottom w:val="single" w:color="000000" w:sz="4" w:space="0"/>
              <w:right w:val="single" w:color="000000" w:sz="4" w:space="0"/>
            </w:tcBorders>
            <w:vAlign w:val="center"/>
          </w:tcPr>
          <w:p w14:paraId="56D13462">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3028" w:type="dxa"/>
            <w:tcBorders>
              <w:top w:val="single" w:color="000000" w:sz="4" w:space="0"/>
              <w:left w:val="nil"/>
              <w:bottom w:val="nil"/>
              <w:right w:val="single" w:color="000000" w:sz="4" w:space="0"/>
            </w:tcBorders>
            <w:vAlign w:val="center"/>
          </w:tcPr>
          <w:p w14:paraId="56D13463">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46A">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6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360" w:type="dxa"/>
            <w:tcBorders>
              <w:top w:val="nil"/>
              <w:left w:val="nil"/>
              <w:bottom w:val="single" w:color="000000" w:sz="4" w:space="0"/>
              <w:right w:val="single" w:color="000000" w:sz="4" w:space="0"/>
            </w:tcBorders>
            <w:vAlign w:val="center"/>
          </w:tcPr>
          <w:p w14:paraId="56D13466">
            <w:pPr>
              <w:widowControl/>
              <w:spacing w:line="276" w:lineRule="auto"/>
              <w:rPr>
                <w:i w:val="0"/>
                <w:iCs w:val="0"/>
                <w:color w:val="auto"/>
                <w:sz w:val="21"/>
                <w:szCs w:val="15"/>
                <w:highlight w:val="none"/>
              </w:rPr>
            </w:pPr>
            <w:r>
              <w:rPr>
                <w:rFonts w:hint="eastAsia"/>
                <w:i w:val="0"/>
                <w:iCs w:val="0"/>
                <w:color w:val="auto"/>
                <w:sz w:val="21"/>
                <w:szCs w:val="15"/>
                <w:highlight w:val="none"/>
              </w:rPr>
              <w:t>4芯单模光缆</w:t>
            </w:r>
          </w:p>
        </w:tc>
        <w:tc>
          <w:tcPr>
            <w:tcW w:w="850" w:type="dxa"/>
            <w:tcBorders>
              <w:top w:val="nil"/>
              <w:left w:val="nil"/>
              <w:bottom w:val="single" w:color="000000" w:sz="4" w:space="0"/>
              <w:right w:val="single" w:color="000000" w:sz="4" w:space="0"/>
            </w:tcBorders>
            <w:vAlign w:val="center"/>
          </w:tcPr>
          <w:p w14:paraId="56D13467">
            <w:pPr>
              <w:widowControl/>
              <w:spacing w:line="276" w:lineRule="auto"/>
              <w:rPr>
                <w:i w:val="0"/>
                <w:iCs w:val="0"/>
                <w:color w:val="auto"/>
                <w:sz w:val="21"/>
                <w:szCs w:val="15"/>
                <w:highlight w:val="none"/>
              </w:rPr>
            </w:pPr>
            <w:r>
              <w:rPr>
                <w:rFonts w:hint="eastAsia"/>
                <w:i w:val="0"/>
                <w:iCs w:val="0"/>
                <w:color w:val="auto"/>
                <w:sz w:val="21"/>
                <w:szCs w:val="15"/>
                <w:highlight w:val="none"/>
              </w:rPr>
              <w:t>米</w:t>
            </w:r>
          </w:p>
        </w:tc>
        <w:tc>
          <w:tcPr>
            <w:tcW w:w="800" w:type="dxa"/>
            <w:tcBorders>
              <w:top w:val="single" w:color="000000" w:sz="4" w:space="0"/>
              <w:left w:val="nil"/>
              <w:bottom w:val="single" w:color="000000" w:sz="4" w:space="0"/>
              <w:right w:val="single" w:color="000000" w:sz="4" w:space="0"/>
            </w:tcBorders>
            <w:vAlign w:val="center"/>
          </w:tcPr>
          <w:p w14:paraId="56D1346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24000</w:t>
            </w:r>
          </w:p>
        </w:tc>
        <w:tc>
          <w:tcPr>
            <w:tcW w:w="3028" w:type="dxa"/>
            <w:tcBorders>
              <w:top w:val="single" w:color="000000" w:sz="4" w:space="0"/>
              <w:left w:val="nil"/>
              <w:bottom w:val="single" w:color="000000" w:sz="4" w:space="0"/>
              <w:right w:val="single" w:color="000000" w:sz="4" w:space="0"/>
            </w:tcBorders>
            <w:vAlign w:val="center"/>
          </w:tcPr>
          <w:p w14:paraId="56D13469">
            <w:pPr>
              <w:widowControl/>
              <w:spacing w:line="276" w:lineRule="auto"/>
              <w:rPr>
                <w:i w:val="0"/>
                <w:iCs w:val="0"/>
                <w:color w:val="auto"/>
                <w:sz w:val="21"/>
                <w:szCs w:val="15"/>
                <w:highlight w:val="none"/>
              </w:rPr>
            </w:pPr>
          </w:p>
        </w:tc>
      </w:tr>
      <w:tr w14:paraId="56D13470">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6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360" w:type="dxa"/>
            <w:tcBorders>
              <w:top w:val="nil"/>
              <w:left w:val="nil"/>
              <w:bottom w:val="single" w:color="000000" w:sz="4" w:space="0"/>
              <w:right w:val="single" w:color="000000" w:sz="4" w:space="0"/>
            </w:tcBorders>
            <w:vAlign w:val="center"/>
          </w:tcPr>
          <w:p w14:paraId="56D1346C">
            <w:pPr>
              <w:widowControl/>
              <w:spacing w:line="276" w:lineRule="auto"/>
              <w:rPr>
                <w:i w:val="0"/>
                <w:iCs w:val="0"/>
                <w:color w:val="auto"/>
                <w:sz w:val="21"/>
                <w:szCs w:val="15"/>
                <w:highlight w:val="none"/>
              </w:rPr>
            </w:pPr>
            <w:r>
              <w:rPr>
                <w:rFonts w:hint="eastAsia"/>
                <w:i w:val="0"/>
                <w:iCs w:val="0"/>
                <w:color w:val="auto"/>
                <w:sz w:val="21"/>
                <w:szCs w:val="15"/>
                <w:highlight w:val="none"/>
              </w:rPr>
              <w:t>WDZBN-YJY-3X4mm²</w:t>
            </w:r>
          </w:p>
        </w:tc>
        <w:tc>
          <w:tcPr>
            <w:tcW w:w="850" w:type="dxa"/>
            <w:tcBorders>
              <w:top w:val="nil"/>
              <w:left w:val="nil"/>
              <w:bottom w:val="single" w:color="000000" w:sz="4" w:space="0"/>
              <w:right w:val="single" w:color="000000" w:sz="4" w:space="0"/>
            </w:tcBorders>
            <w:vAlign w:val="center"/>
          </w:tcPr>
          <w:p w14:paraId="56D1346D">
            <w:pPr>
              <w:widowControl/>
              <w:spacing w:line="276" w:lineRule="auto"/>
              <w:rPr>
                <w:i w:val="0"/>
                <w:iCs w:val="0"/>
                <w:color w:val="auto"/>
                <w:sz w:val="21"/>
                <w:szCs w:val="15"/>
                <w:highlight w:val="none"/>
              </w:rPr>
            </w:pPr>
            <w:r>
              <w:rPr>
                <w:rFonts w:hint="eastAsia"/>
                <w:i w:val="0"/>
                <w:iCs w:val="0"/>
                <w:color w:val="auto"/>
                <w:sz w:val="21"/>
                <w:szCs w:val="15"/>
                <w:highlight w:val="none"/>
              </w:rPr>
              <w:t>米</w:t>
            </w:r>
          </w:p>
        </w:tc>
        <w:tc>
          <w:tcPr>
            <w:tcW w:w="800" w:type="dxa"/>
            <w:tcBorders>
              <w:top w:val="single" w:color="000000" w:sz="4" w:space="0"/>
              <w:left w:val="nil"/>
              <w:bottom w:val="single" w:color="000000" w:sz="4" w:space="0"/>
              <w:right w:val="single" w:color="000000" w:sz="4" w:space="0"/>
            </w:tcBorders>
            <w:vAlign w:val="center"/>
          </w:tcPr>
          <w:p w14:paraId="56D1346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800</w:t>
            </w:r>
          </w:p>
        </w:tc>
        <w:tc>
          <w:tcPr>
            <w:tcW w:w="3028" w:type="dxa"/>
            <w:tcBorders>
              <w:top w:val="single" w:color="000000" w:sz="4" w:space="0"/>
              <w:left w:val="nil"/>
              <w:bottom w:val="single" w:color="000000" w:sz="4" w:space="0"/>
              <w:right w:val="single" w:color="000000" w:sz="4" w:space="0"/>
            </w:tcBorders>
            <w:vAlign w:val="center"/>
          </w:tcPr>
          <w:p w14:paraId="56D1346F">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低烟无卤阻燃耐火，燃烧性能满足BI级。</w:t>
            </w:r>
          </w:p>
        </w:tc>
      </w:tr>
      <w:tr w14:paraId="56D13476">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7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360" w:type="dxa"/>
            <w:tcBorders>
              <w:top w:val="nil"/>
              <w:left w:val="nil"/>
              <w:bottom w:val="single" w:color="000000" w:sz="4" w:space="0"/>
              <w:right w:val="single" w:color="000000" w:sz="4" w:space="0"/>
            </w:tcBorders>
            <w:vAlign w:val="center"/>
          </w:tcPr>
          <w:p w14:paraId="56D13472">
            <w:pPr>
              <w:widowControl/>
              <w:spacing w:line="276" w:lineRule="auto"/>
              <w:rPr>
                <w:i w:val="0"/>
                <w:iCs w:val="0"/>
                <w:color w:val="auto"/>
                <w:sz w:val="21"/>
                <w:szCs w:val="15"/>
                <w:highlight w:val="none"/>
              </w:rPr>
            </w:pPr>
            <w:r>
              <w:rPr>
                <w:rFonts w:hint="eastAsia"/>
                <w:i w:val="0"/>
                <w:iCs w:val="0"/>
                <w:color w:val="auto"/>
                <w:sz w:val="21"/>
                <w:szCs w:val="15"/>
                <w:highlight w:val="none"/>
              </w:rPr>
              <w:t>镀锌钢管SC32</w:t>
            </w:r>
          </w:p>
        </w:tc>
        <w:tc>
          <w:tcPr>
            <w:tcW w:w="850" w:type="dxa"/>
            <w:tcBorders>
              <w:top w:val="nil"/>
              <w:left w:val="nil"/>
              <w:bottom w:val="single" w:color="000000" w:sz="4" w:space="0"/>
              <w:right w:val="single" w:color="000000" w:sz="4" w:space="0"/>
            </w:tcBorders>
            <w:vAlign w:val="center"/>
          </w:tcPr>
          <w:p w14:paraId="56D13473">
            <w:pPr>
              <w:widowControl/>
              <w:spacing w:line="276" w:lineRule="auto"/>
              <w:rPr>
                <w:i w:val="0"/>
                <w:iCs w:val="0"/>
                <w:color w:val="auto"/>
                <w:sz w:val="21"/>
                <w:szCs w:val="15"/>
                <w:highlight w:val="none"/>
              </w:rPr>
            </w:pPr>
            <w:r>
              <w:rPr>
                <w:rFonts w:hint="eastAsia"/>
                <w:i w:val="0"/>
                <w:iCs w:val="0"/>
                <w:color w:val="auto"/>
                <w:sz w:val="21"/>
                <w:szCs w:val="15"/>
                <w:highlight w:val="none"/>
              </w:rPr>
              <w:t>米</w:t>
            </w:r>
          </w:p>
        </w:tc>
        <w:tc>
          <w:tcPr>
            <w:tcW w:w="800" w:type="dxa"/>
            <w:tcBorders>
              <w:top w:val="single" w:color="000000" w:sz="4" w:space="0"/>
              <w:left w:val="nil"/>
              <w:bottom w:val="single" w:color="000000" w:sz="4" w:space="0"/>
              <w:right w:val="single" w:color="000000" w:sz="4" w:space="0"/>
            </w:tcBorders>
            <w:vAlign w:val="center"/>
          </w:tcPr>
          <w:p w14:paraId="56D1347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2000</w:t>
            </w:r>
          </w:p>
        </w:tc>
        <w:tc>
          <w:tcPr>
            <w:tcW w:w="3028" w:type="dxa"/>
            <w:tcBorders>
              <w:top w:val="single" w:color="000000" w:sz="4" w:space="0"/>
              <w:left w:val="nil"/>
              <w:bottom w:val="single" w:color="000000" w:sz="4" w:space="0"/>
              <w:right w:val="single" w:color="000000" w:sz="4" w:space="0"/>
            </w:tcBorders>
            <w:vAlign w:val="center"/>
          </w:tcPr>
          <w:p w14:paraId="56D13475">
            <w:pPr>
              <w:widowControl/>
              <w:spacing w:line="276" w:lineRule="auto"/>
              <w:rPr>
                <w:i w:val="0"/>
                <w:iCs w:val="0"/>
                <w:color w:val="auto"/>
                <w:sz w:val="21"/>
                <w:szCs w:val="15"/>
                <w:highlight w:val="none"/>
              </w:rPr>
            </w:pPr>
            <w:r>
              <w:rPr>
                <w:rFonts w:hint="eastAsia"/>
                <w:i w:val="0"/>
                <w:iCs w:val="0"/>
                <w:color w:val="auto"/>
                <w:sz w:val="21"/>
                <w:szCs w:val="15"/>
                <w:highlight w:val="none"/>
              </w:rPr>
              <w:t>含安装辅件</w:t>
            </w:r>
          </w:p>
        </w:tc>
      </w:tr>
      <w:tr w14:paraId="56D1347C">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7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2360" w:type="dxa"/>
            <w:tcBorders>
              <w:top w:val="nil"/>
              <w:left w:val="nil"/>
              <w:bottom w:val="single" w:color="000000" w:sz="4" w:space="0"/>
              <w:right w:val="single" w:color="000000" w:sz="4" w:space="0"/>
            </w:tcBorders>
            <w:vAlign w:val="center"/>
          </w:tcPr>
          <w:p w14:paraId="56D13478">
            <w:pPr>
              <w:widowControl/>
              <w:spacing w:line="276" w:lineRule="auto"/>
              <w:rPr>
                <w:i w:val="0"/>
                <w:iCs w:val="0"/>
                <w:color w:val="auto"/>
                <w:sz w:val="21"/>
                <w:szCs w:val="15"/>
                <w:highlight w:val="none"/>
              </w:rPr>
            </w:pPr>
            <w:r>
              <w:rPr>
                <w:rFonts w:hint="eastAsia"/>
                <w:i w:val="0"/>
                <w:iCs w:val="0"/>
                <w:color w:val="auto"/>
                <w:sz w:val="21"/>
                <w:szCs w:val="15"/>
                <w:highlight w:val="none"/>
              </w:rPr>
              <w:t>施工辅材</w:t>
            </w:r>
          </w:p>
        </w:tc>
        <w:tc>
          <w:tcPr>
            <w:tcW w:w="850" w:type="dxa"/>
            <w:tcBorders>
              <w:top w:val="nil"/>
              <w:left w:val="nil"/>
              <w:bottom w:val="single" w:color="000000" w:sz="4" w:space="0"/>
              <w:right w:val="single" w:color="000000" w:sz="4" w:space="0"/>
            </w:tcBorders>
            <w:vAlign w:val="center"/>
          </w:tcPr>
          <w:p w14:paraId="56D13479">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800" w:type="dxa"/>
            <w:tcBorders>
              <w:top w:val="single" w:color="000000" w:sz="4" w:space="0"/>
              <w:left w:val="nil"/>
              <w:bottom w:val="single" w:color="000000" w:sz="4" w:space="0"/>
              <w:right w:val="single" w:color="000000" w:sz="4" w:space="0"/>
            </w:tcBorders>
            <w:vAlign w:val="center"/>
          </w:tcPr>
          <w:p w14:paraId="56D1347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028" w:type="dxa"/>
            <w:tcBorders>
              <w:top w:val="single" w:color="000000" w:sz="4" w:space="0"/>
              <w:left w:val="nil"/>
              <w:bottom w:val="single" w:color="000000" w:sz="4" w:space="0"/>
              <w:right w:val="single" w:color="000000" w:sz="4" w:space="0"/>
            </w:tcBorders>
            <w:vAlign w:val="center"/>
          </w:tcPr>
          <w:p w14:paraId="56D1347B">
            <w:pPr>
              <w:widowControl/>
              <w:spacing w:line="276" w:lineRule="auto"/>
              <w:rPr>
                <w:i w:val="0"/>
                <w:iCs w:val="0"/>
                <w:color w:val="auto"/>
                <w:sz w:val="21"/>
                <w:szCs w:val="15"/>
                <w:highlight w:val="none"/>
              </w:rPr>
            </w:pPr>
            <w:r>
              <w:rPr>
                <w:rFonts w:hint="eastAsia"/>
                <w:i w:val="0"/>
                <w:iCs w:val="0"/>
                <w:color w:val="auto"/>
                <w:sz w:val="21"/>
                <w:szCs w:val="15"/>
                <w:highlight w:val="none"/>
              </w:rPr>
              <w:t>防火泥等</w:t>
            </w:r>
          </w:p>
        </w:tc>
      </w:tr>
    </w:tbl>
    <w:p w14:paraId="56D1347D">
      <w:pPr>
        <w:pStyle w:val="5"/>
        <w:ind w:left="0"/>
        <w:rPr>
          <w:i w:val="0"/>
          <w:iCs w:val="0"/>
          <w:color w:val="auto"/>
          <w:sz w:val="22"/>
          <w:szCs w:val="22"/>
          <w:highlight w:val="none"/>
        </w:rPr>
      </w:pPr>
      <w:bookmarkStart w:id="380" w:name="_Toc27614"/>
      <w:r>
        <w:rPr>
          <w:rFonts w:hint="eastAsia"/>
          <w:i w:val="0"/>
          <w:iCs w:val="0"/>
          <w:color w:val="auto"/>
          <w:sz w:val="22"/>
          <w:szCs w:val="22"/>
          <w:highlight w:val="none"/>
          <w:lang w:val="en-US"/>
        </w:rPr>
        <w:t>站台门</w:t>
      </w:r>
      <w:r>
        <w:rPr>
          <w:rFonts w:hint="eastAsia"/>
          <w:i w:val="0"/>
          <w:iCs w:val="0"/>
          <w:color w:val="auto"/>
          <w:sz w:val="22"/>
          <w:szCs w:val="22"/>
          <w:highlight w:val="none"/>
        </w:rPr>
        <w:t>智能运维</w:t>
      </w:r>
      <w:r>
        <w:rPr>
          <w:rFonts w:hint="eastAsia"/>
          <w:i w:val="0"/>
          <w:iCs w:val="0"/>
          <w:color w:val="auto"/>
          <w:sz w:val="22"/>
          <w:szCs w:val="22"/>
          <w:highlight w:val="none"/>
          <w:lang w:val="en-US"/>
        </w:rPr>
        <w:t>主要设备表</w:t>
      </w:r>
      <w:bookmarkEnd w:id="380"/>
    </w:p>
    <w:tbl>
      <w:tblPr>
        <w:tblStyle w:val="88"/>
        <w:tblW w:w="7872" w:type="dxa"/>
        <w:jc w:val="center"/>
        <w:tblLayout w:type="autofit"/>
        <w:tblCellMar>
          <w:top w:w="0" w:type="dxa"/>
          <w:left w:w="108" w:type="dxa"/>
          <w:bottom w:w="0" w:type="dxa"/>
          <w:right w:w="108" w:type="dxa"/>
        </w:tblCellMar>
      </w:tblPr>
      <w:tblGrid>
        <w:gridCol w:w="878"/>
        <w:gridCol w:w="3478"/>
        <w:gridCol w:w="1040"/>
        <w:gridCol w:w="888"/>
        <w:gridCol w:w="1588"/>
      </w:tblGrid>
      <w:tr w14:paraId="56D13483">
        <w:tblPrEx>
          <w:tblCellMar>
            <w:top w:w="0" w:type="dxa"/>
            <w:left w:w="108" w:type="dxa"/>
            <w:bottom w:w="0" w:type="dxa"/>
            <w:right w:w="108" w:type="dxa"/>
          </w:tblCellMar>
        </w:tblPrEx>
        <w:trPr>
          <w:trHeight w:val="541" w:hRule="atLeast"/>
          <w:jc w:val="center"/>
        </w:trPr>
        <w:tc>
          <w:tcPr>
            <w:tcW w:w="878" w:type="dxa"/>
            <w:tcBorders>
              <w:top w:val="single" w:color="000000" w:sz="4" w:space="0"/>
              <w:left w:val="single" w:color="000000" w:sz="4" w:space="0"/>
              <w:bottom w:val="single" w:color="000000" w:sz="4" w:space="0"/>
              <w:right w:val="single" w:color="000000" w:sz="4" w:space="0"/>
            </w:tcBorders>
            <w:vAlign w:val="center"/>
          </w:tcPr>
          <w:p w14:paraId="56D1347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3478" w:type="dxa"/>
            <w:tcBorders>
              <w:top w:val="single" w:color="000000" w:sz="4" w:space="0"/>
              <w:left w:val="nil"/>
              <w:bottom w:val="single" w:color="000000" w:sz="4" w:space="0"/>
              <w:right w:val="single" w:color="000000" w:sz="4" w:space="0"/>
            </w:tcBorders>
            <w:vAlign w:val="center"/>
          </w:tcPr>
          <w:p w14:paraId="56D1347F">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1040" w:type="dxa"/>
            <w:tcBorders>
              <w:top w:val="single" w:color="000000" w:sz="4" w:space="0"/>
              <w:left w:val="nil"/>
              <w:bottom w:val="single" w:color="000000" w:sz="4" w:space="0"/>
              <w:right w:val="single" w:color="000000" w:sz="4" w:space="0"/>
            </w:tcBorders>
            <w:vAlign w:val="center"/>
          </w:tcPr>
          <w:p w14:paraId="56D13480">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888" w:type="dxa"/>
            <w:tcBorders>
              <w:top w:val="single" w:color="000000" w:sz="4" w:space="0"/>
              <w:left w:val="nil"/>
              <w:bottom w:val="single" w:color="000000" w:sz="4" w:space="0"/>
              <w:right w:val="single" w:color="000000" w:sz="4" w:space="0"/>
            </w:tcBorders>
            <w:vAlign w:val="center"/>
          </w:tcPr>
          <w:p w14:paraId="56D13481">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1588" w:type="dxa"/>
            <w:tcBorders>
              <w:top w:val="single" w:color="000000" w:sz="4" w:space="0"/>
              <w:left w:val="nil"/>
              <w:bottom w:val="nil"/>
              <w:right w:val="single" w:color="000000" w:sz="4" w:space="0"/>
            </w:tcBorders>
            <w:vAlign w:val="center"/>
          </w:tcPr>
          <w:p w14:paraId="56D13482">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489">
        <w:tblPrEx>
          <w:tblCellMar>
            <w:top w:w="0" w:type="dxa"/>
            <w:left w:w="108" w:type="dxa"/>
            <w:bottom w:w="0" w:type="dxa"/>
            <w:right w:w="108" w:type="dxa"/>
          </w:tblCellMar>
        </w:tblPrEx>
        <w:trPr>
          <w:trHeight w:val="380" w:hRule="atLeast"/>
          <w:jc w:val="center"/>
        </w:trPr>
        <w:tc>
          <w:tcPr>
            <w:tcW w:w="878" w:type="dxa"/>
            <w:tcBorders>
              <w:top w:val="single" w:color="000000" w:sz="4" w:space="0"/>
              <w:left w:val="single" w:color="000000" w:sz="4" w:space="0"/>
              <w:bottom w:val="single" w:color="000000" w:sz="4" w:space="0"/>
              <w:right w:val="single" w:color="000000" w:sz="4" w:space="0"/>
            </w:tcBorders>
            <w:vAlign w:val="center"/>
          </w:tcPr>
          <w:p w14:paraId="56D13484">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1</w:t>
            </w:r>
          </w:p>
        </w:tc>
        <w:tc>
          <w:tcPr>
            <w:tcW w:w="3478" w:type="dxa"/>
            <w:tcBorders>
              <w:top w:val="nil"/>
              <w:left w:val="nil"/>
              <w:bottom w:val="single" w:color="000000" w:sz="4" w:space="0"/>
              <w:right w:val="single" w:color="000000" w:sz="4" w:space="0"/>
            </w:tcBorders>
            <w:vAlign w:val="center"/>
          </w:tcPr>
          <w:p w14:paraId="56D13485">
            <w:pPr>
              <w:widowControl/>
              <w:spacing w:line="276" w:lineRule="auto"/>
              <w:rPr>
                <w:i w:val="0"/>
                <w:iCs w:val="0"/>
                <w:color w:val="auto"/>
                <w:sz w:val="21"/>
                <w:szCs w:val="15"/>
                <w:highlight w:val="none"/>
              </w:rPr>
            </w:pPr>
            <w:r>
              <w:rPr>
                <w:rFonts w:hint="eastAsia"/>
                <w:i w:val="0"/>
                <w:iCs w:val="0"/>
                <w:color w:val="auto"/>
                <w:sz w:val="21"/>
                <w:szCs w:val="15"/>
                <w:highlight w:val="none"/>
              </w:rPr>
              <w:t>车站PSC软件升级与适配</w:t>
            </w:r>
          </w:p>
        </w:tc>
        <w:tc>
          <w:tcPr>
            <w:tcW w:w="1040" w:type="dxa"/>
            <w:tcBorders>
              <w:top w:val="single" w:color="000000" w:sz="4" w:space="0"/>
              <w:left w:val="nil"/>
              <w:bottom w:val="single" w:color="000000" w:sz="4" w:space="0"/>
              <w:right w:val="single" w:color="000000" w:sz="4" w:space="0"/>
            </w:tcBorders>
            <w:vAlign w:val="center"/>
          </w:tcPr>
          <w:p w14:paraId="56D13486">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888" w:type="dxa"/>
            <w:tcBorders>
              <w:top w:val="single" w:color="000000" w:sz="4" w:space="0"/>
              <w:left w:val="nil"/>
              <w:bottom w:val="single" w:color="000000" w:sz="4" w:space="0"/>
              <w:right w:val="single" w:color="000000" w:sz="4" w:space="0"/>
            </w:tcBorders>
            <w:vAlign w:val="center"/>
          </w:tcPr>
          <w:p w14:paraId="56D13487">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588" w:type="dxa"/>
            <w:tcBorders>
              <w:top w:val="single" w:color="000000" w:sz="4" w:space="0"/>
              <w:left w:val="nil"/>
              <w:bottom w:val="single" w:color="000000" w:sz="4" w:space="0"/>
              <w:right w:val="single" w:color="000000" w:sz="4" w:space="0"/>
            </w:tcBorders>
            <w:vAlign w:val="center"/>
          </w:tcPr>
          <w:p w14:paraId="56D13488">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48F">
        <w:tblPrEx>
          <w:tblCellMar>
            <w:top w:w="0" w:type="dxa"/>
            <w:left w:w="108" w:type="dxa"/>
            <w:bottom w:w="0" w:type="dxa"/>
            <w:right w:w="108" w:type="dxa"/>
          </w:tblCellMar>
        </w:tblPrEx>
        <w:trPr>
          <w:trHeight w:val="380" w:hRule="atLeast"/>
          <w:jc w:val="center"/>
        </w:trPr>
        <w:tc>
          <w:tcPr>
            <w:tcW w:w="878" w:type="dxa"/>
            <w:tcBorders>
              <w:top w:val="single" w:color="000000" w:sz="4" w:space="0"/>
              <w:left w:val="single" w:color="000000" w:sz="4" w:space="0"/>
              <w:bottom w:val="single" w:color="000000" w:sz="4" w:space="0"/>
              <w:right w:val="single" w:color="000000" w:sz="4" w:space="0"/>
            </w:tcBorders>
            <w:vAlign w:val="center"/>
          </w:tcPr>
          <w:p w14:paraId="56D1348A">
            <w:pPr>
              <w:widowControl/>
              <w:spacing w:line="276" w:lineRule="auto"/>
              <w:jc w:val="center"/>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2</w:t>
            </w:r>
          </w:p>
        </w:tc>
        <w:tc>
          <w:tcPr>
            <w:tcW w:w="3478" w:type="dxa"/>
            <w:tcBorders>
              <w:top w:val="nil"/>
              <w:left w:val="nil"/>
              <w:bottom w:val="single" w:color="000000" w:sz="4" w:space="0"/>
              <w:right w:val="single" w:color="000000" w:sz="4" w:space="0"/>
            </w:tcBorders>
            <w:vAlign w:val="center"/>
          </w:tcPr>
          <w:p w14:paraId="56D1348B">
            <w:pPr>
              <w:widowControl/>
              <w:spacing w:line="276" w:lineRule="auto"/>
              <w:rPr>
                <w:i w:val="0"/>
                <w:iCs w:val="0"/>
                <w:color w:val="auto"/>
                <w:sz w:val="21"/>
                <w:szCs w:val="15"/>
                <w:highlight w:val="none"/>
              </w:rPr>
            </w:pPr>
            <w:r>
              <w:rPr>
                <w:rFonts w:hint="eastAsia"/>
                <w:i w:val="0"/>
                <w:iCs w:val="0"/>
                <w:color w:val="auto"/>
                <w:sz w:val="21"/>
                <w:szCs w:val="15"/>
                <w:highlight w:val="none"/>
              </w:rPr>
              <w:t>车站DCU软件升级与适配</w:t>
            </w:r>
          </w:p>
        </w:tc>
        <w:tc>
          <w:tcPr>
            <w:tcW w:w="1040" w:type="dxa"/>
            <w:tcBorders>
              <w:top w:val="single" w:color="000000" w:sz="4" w:space="0"/>
              <w:left w:val="nil"/>
              <w:bottom w:val="single" w:color="000000" w:sz="4" w:space="0"/>
              <w:right w:val="single" w:color="000000" w:sz="4" w:space="0"/>
            </w:tcBorders>
            <w:vAlign w:val="center"/>
          </w:tcPr>
          <w:p w14:paraId="56D1348C">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888" w:type="dxa"/>
            <w:tcBorders>
              <w:top w:val="single" w:color="000000" w:sz="4" w:space="0"/>
              <w:left w:val="nil"/>
              <w:bottom w:val="single" w:color="000000" w:sz="4" w:space="0"/>
              <w:right w:val="single" w:color="000000" w:sz="4" w:space="0"/>
            </w:tcBorders>
            <w:vAlign w:val="center"/>
          </w:tcPr>
          <w:p w14:paraId="56D1348D">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588" w:type="dxa"/>
            <w:tcBorders>
              <w:top w:val="single" w:color="000000" w:sz="4" w:space="0"/>
              <w:left w:val="nil"/>
              <w:bottom w:val="single" w:color="000000" w:sz="4" w:space="0"/>
              <w:right w:val="single" w:color="000000" w:sz="4" w:space="0"/>
            </w:tcBorders>
            <w:vAlign w:val="center"/>
          </w:tcPr>
          <w:p w14:paraId="56D1348E">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495">
        <w:tblPrEx>
          <w:tblCellMar>
            <w:top w:w="0" w:type="dxa"/>
            <w:left w:w="108" w:type="dxa"/>
            <w:bottom w:w="0" w:type="dxa"/>
            <w:right w:w="108" w:type="dxa"/>
          </w:tblCellMar>
        </w:tblPrEx>
        <w:trPr>
          <w:trHeight w:val="380" w:hRule="atLeast"/>
          <w:jc w:val="center"/>
        </w:trPr>
        <w:tc>
          <w:tcPr>
            <w:tcW w:w="878" w:type="dxa"/>
            <w:tcBorders>
              <w:top w:val="single" w:color="000000" w:sz="4" w:space="0"/>
              <w:left w:val="single" w:color="000000" w:sz="4" w:space="0"/>
              <w:bottom w:val="single" w:color="auto" w:sz="4" w:space="0"/>
              <w:right w:val="single" w:color="000000" w:sz="4" w:space="0"/>
            </w:tcBorders>
            <w:vAlign w:val="center"/>
          </w:tcPr>
          <w:p w14:paraId="56D1349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3478" w:type="dxa"/>
            <w:tcBorders>
              <w:top w:val="nil"/>
              <w:left w:val="nil"/>
              <w:bottom w:val="single" w:color="auto" w:sz="4" w:space="0"/>
              <w:right w:val="single" w:color="000000" w:sz="4" w:space="0"/>
            </w:tcBorders>
            <w:vAlign w:val="center"/>
          </w:tcPr>
          <w:p w14:paraId="56D13491">
            <w:pPr>
              <w:widowControl/>
              <w:spacing w:line="276" w:lineRule="auto"/>
              <w:rPr>
                <w:i w:val="0"/>
                <w:iCs w:val="0"/>
                <w:color w:val="auto"/>
                <w:sz w:val="21"/>
                <w:szCs w:val="15"/>
                <w:highlight w:val="none"/>
              </w:rPr>
            </w:pPr>
            <w:r>
              <w:rPr>
                <w:rFonts w:hint="eastAsia"/>
                <w:i w:val="0"/>
                <w:iCs w:val="0"/>
                <w:color w:val="auto"/>
                <w:sz w:val="21"/>
                <w:szCs w:val="15"/>
                <w:highlight w:val="none"/>
              </w:rPr>
              <w:t>站级软件调试与模型训练</w:t>
            </w:r>
          </w:p>
        </w:tc>
        <w:tc>
          <w:tcPr>
            <w:tcW w:w="1040" w:type="dxa"/>
            <w:tcBorders>
              <w:top w:val="single" w:color="000000" w:sz="4" w:space="0"/>
              <w:left w:val="nil"/>
              <w:bottom w:val="single" w:color="auto" w:sz="4" w:space="0"/>
              <w:right w:val="single" w:color="000000" w:sz="4" w:space="0"/>
            </w:tcBorders>
            <w:vAlign w:val="center"/>
          </w:tcPr>
          <w:p w14:paraId="56D13492">
            <w:pPr>
              <w:widowControl/>
              <w:spacing w:line="276" w:lineRule="auto"/>
              <w:rPr>
                <w:i w:val="0"/>
                <w:iCs w:val="0"/>
                <w:color w:val="auto"/>
                <w:sz w:val="21"/>
                <w:szCs w:val="15"/>
                <w:highlight w:val="none"/>
              </w:rPr>
            </w:pPr>
            <w:r>
              <w:rPr>
                <w:rFonts w:hint="eastAsia"/>
                <w:i w:val="0"/>
                <w:iCs w:val="0"/>
                <w:color w:val="auto"/>
                <w:sz w:val="21"/>
                <w:szCs w:val="15"/>
                <w:highlight w:val="none"/>
              </w:rPr>
              <w:t>套</w:t>
            </w:r>
          </w:p>
        </w:tc>
        <w:tc>
          <w:tcPr>
            <w:tcW w:w="888" w:type="dxa"/>
            <w:tcBorders>
              <w:top w:val="single" w:color="000000" w:sz="4" w:space="0"/>
              <w:left w:val="nil"/>
              <w:bottom w:val="single" w:color="000000" w:sz="4" w:space="0"/>
              <w:right w:val="single" w:color="000000" w:sz="4" w:space="0"/>
            </w:tcBorders>
            <w:vAlign w:val="center"/>
          </w:tcPr>
          <w:p w14:paraId="56D13493">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588" w:type="dxa"/>
            <w:tcBorders>
              <w:top w:val="single" w:color="000000" w:sz="4" w:space="0"/>
              <w:left w:val="nil"/>
              <w:bottom w:val="single" w:color="000000" w:sz="4" w:space="0"/>
              <w:right w:val="single" w:color="000000" w:sz="4" w:space="0"/>
            </w:tcBorders>
            <w:vAlign w:val="center"/>
          </w:tcPr>
          <w:p w14:paraId="56D13494">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49B">
        <w:tblPrEx>
          <w:tblCellMar>
            <w:top w:w="0" w:type="dxa"/>
            <w:left w:w="108" w:type="dxa"/>
            <w:bottom w:w="0" w:type="dxa"/>
            <w:right w:w="108" w:type="dxa"/>
          </w:tblCellMar>
        </w:tblPrEx>
        <w:trPr>
          <w:trHeight w:val="380" w:hRule="atLeast"/>
          <w:jc w:val="center"/>
        </w:trPr>
        <w:tc>
          <w:tcPr>
            <w:tcW w:w="878" w:type="dxa"/>
            <w:tcBorders>
              <w:top w:val="single" w:color="auto" w:sz="4" w:space="0"/>
              <w:left w:val="single" w:color="auto" w:sz="4" w:space="0"/>
              <w:bottom w:val="single" w:color="auto" w:sz="4" w:space="0"/>
              <w:right w:val="single" w:color="000000" w:sz="4" w:space="0"/>
            </w:tcBorders>
            <w:vAlign w:val="center"/>
          </w:tcPr>
          <w:p w14:paraId="56D1349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3478" w:type="dxa"/>
            <w:tcBorders>
              <w:top w:val="single" w:color="auto" w:sz="4" w:space="0"/>
              <w:left w:val="nil"/>
              <w:bottom w:val="single" w:color="auto" w:sz="4" w:space="0"/>
              <w:right w:val="single" w:color="000000" w:sz="4" w:space="0"/>
            </w:tcBorders>
            <w:vAlign w:val="center"/>
          </w:tcPr>
          <w:p w14:paraId="56D13497">
            <w:pPr>
              <w:widowControl/>
              <w:spacing w:line="276" w:lineRule="auto"/>
              <w:rPr>
                <w:i w:val="0"/>
                <w:iCs w:val="0"/>
                <w:color w:val="auto"/>
                <w:sz w:val="21"/>
                <w:szCs w:val="15"/>
                <w:highlight w:val="none"/>
              </w:rPr>
            </w:pPr>
            <w:r>
              <w:rPr>
                <w:rFonts w:hint="eastAsia"/>
                <w:i w:val="0"/>
                <w:iCs w:val="0"/>
                <w:color w:val="auto"/>
                <w:sz w:val="21"/>
                <w:szCs w:val="15"/>
                <w:highlight w:val="none"/>
              </w:rPr>
              <w:t>站台门可视化监测功能</w:t>
            </w:r>
          </w:p>
        </w:tc>
        <w:tc>
          <w:tcPr>
            <w:tcW w:w="1040" w:type="dxa"/>
            <w:tcBorders>
              <w:top w:val="single" w:color="auto" w:sz="4" w:space="0"/>
              <w:left w:val="nil"/>
              <w:bottom w:val="single" w:color="auto" w:sz="4" w:space="0"/>
              <w:right w:val="single" w:color="auto" w:sz="4" w:space="0"/>
            </w:tcBorders>
            <w:vAlign w:val="center"/>
          </w:tcPr>
          <w:p w14:paraId="56D13498">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888" w:type="dxa"/>
            <w:tcBorders>
              <w:top w:val="single" w:color="000000" w:sz="4" w:space="0"/>
              <w:left w:val="single" w:color="auto" w:sz="4" w:space="0"/>
              <w:bottom w:val="single" w:color="000000" w:sz="4" w:space="0"/>
              <w:right w:val="single" w:color="000000" w:sz="4" w:space="0"/>
            </w:tcBorders>
            <w:vAlign w:val="center"/>
          </w:tcPr>
          <w:p w14:paraId="56D13499">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588" w:type="dxa"/>
            <w:tcBorders>
              <w:top w:val="single" w:color="000000" w:sz="4" w:space="0"/>
              <w:left w:val="nil"/>
              <w:bottom w:val="single" w:color="000000" w:sz="4" w:space="0"/>
              <w:right w:val="single" w:color="000000" w:sz="4" w:space="0"/>
            </w:tcBorders>
            <w:vAlign w:val="center"/>
          </w:tcPr>
          <w:p w14:paraId="56D1349A">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4A1">
        <w:tblPrEx>
          <w:tblCellMar>
            <w:top w:w="0" w:type="dxa"/>
            <w:left w:w="108" w:type="dxa"/>
            <w:bottom w:w="0" w:type="dxa"/>
            <w:right w:w="108" w:type="dxa"/>
          </w:tblCellMar>
        </w:tblPrEx>
        <w:trPr>
          <w:trHeight w:val="380" w:hRule="atLeast"/>
          <w:jc w:val="center"/>
        </w:trPr>
        <w:tc>
          <w:tcPr>
            <w:tcW w:w="878" w:type="dxa"/>
            <w:tcBorders>
              <w:top w:val="single" w:color="auto" w:sz="4" w:space="0"/>
              <w:left w:val="single" w:color="000000" w:sz="4" w:space="0"/>
              <w:bottom w:val="single" w:color="000000" w:sz="4" w:space="0"/>
              <w:right w:val="single" w:color="000000" w:sz="4" w:space="0"/>
            </w:tcBorders>
            <w:vAlign w:val="center"/>
          </w:tcPr>
          <w:p w14:paraId="56D1349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3478" w:type="dxa"/>
            <w:tcBorders>
              <w:top w:val="single" w:color="auto" w:sz="4" w:space="0"/>
              <w:left w:val="nil"/>
              <w:bottom w:val="single" w:color="000000" w:sz="4" w:space="0"/>
              <w:right w:val="single" w:color="000000" w:sz="4" w:space="0"/>
            </w:tcBorders>
            <w:vAlign w:val="center"/>
          </w:tcPr>
          <w:p w14:paraId="56D1349D">
            <w:pPr>
              <w:widowControl/>
              <w:spacing w:line="276" w:lineRule="auto"/>
              <w:rPr>
                <w:i w:val="0"/>
                <w:iCs w:val="0"/>
                <w:color w:val="auto"/>
                <w:sz w:val="21"/>
                <w:szCs w:val="15"/>
                <w:highlight w:val="none"/>
              </w:rPr>
            </w:pPr>
            <w:r>
              <w:rPr>
                <w:rFonts w:hint="eastAsia"/>
                <w:i w:val="0"/>
                <w:iCs w:val="0"/>
                <w:color w:val="auto"/>
                <w:sz w:val="21"/>
                <w:szCs w:val="15"/>
                <w:highlight w:val="none"/>
              </w:rPr>
              <w:t>站台门故障诊断功能</w:t>
            </w:r>
          </w:p>
        </w:tc>
        <w:tc>
          <w:tcPr>
            <w:tcW w:w="1040" w:type="dxa"/>
            <w:tcBorders>
              <w:top w:val="single" w:color="auto" w:sz="4" w:space="0"/>
              <w:left w:val="nil"/>
              <w:bottom w:val="single" w:color="000000" w:sz="4" w:space="0"/>
              <w:right w:val="single" w:color="000000" w:sz="4" w:space="0"/>
            </w:tcBorders>
            <w:vAlign w:val="center"/>
          </w:tcPr>
          <w:p w14:paraId="56D1349E">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888" w:type="dxa"/>
            <w:tcBorders>
              <w:top w:val="single" w:color="000000" w:sz="4" w:space="0"/>
              <w:left w:val="nil"/>
              <w:bottom w:val="single" w:color="000000" w:sz="4" w:space="0"/>
              <w:right w:val="single" w:color="000000" w:sz="4" w:space="0"/>
            </w:tcBorders>
            <w:vAlign w:val="center"/>
          </w:tcPr>
          <w:p w14:paraId="56D1349F">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588" w:type="dxa"/>
            <w:tcBorders>
              <w:top w:val="single" w:color="000000" w:sz="4" w:space="0"/>
              <w:left w:val="nil"/>
              <w:bottom w:val="single" w:color="000000" w:sz="4" w:space="0"/>
              <w:right w:val="single" w:color="000000" w:sz="4" w:space="0"/>
            </w:tcBorders>
            <w:vAlign w:val="center"/>
          </w:tcPr>
          <w:p w14:paraId="56D134A0">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4A7">
        <w:tblPrEx>
          <w:tblCellMar>
            <w:top w:w="0" w:type="dxa"/>
            <w:left w:w="108" w:type="dxa"/>
            <w:bottom w:w="0" w:type="dxa"/>
            <w:right w:w="108" w:type="dxa"/>
          </w:tblCellMar>
        </w:tblPrEx>
        <w:trPr>
          <w:trHeight w:val="380" w:hRule="atLeast"/>
          <w:jc w:val="center"/>
        </w:trPr>
        <w:tc>
          <w:tcPr>
            <w:tcW w:w="878" w:type="dxa"/>
            <w:tcBorders>
              <w:top w:val="single" w:color="000000" w:sz="4" w:space="0"/>
              <w:left w:val="single" w:color="000000" w:sz="4" w:space="0"/>
              <w:bottom w:val="single" w:color="000000" w:sz="4" w:space="0"/>
              <w:right w:val="single" w:color="000000" w:sz="4" w:space="0"/>
            </w:tcBorders>
            <w:vAlign w:val="center"/>
          </w:tcPr>
          <w:p w14:paraId="56D134A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3478" w:type="dxa"/>
            <w:tcBorders>
              <w:top w:val="nil"/>
              <w:left w:val="nil"/>
              <w:bottom w:val="single" w:color="000000" w:sz="4" w:space="0"/>
              <w:right w:val="single" w:color="000000" w:sz="4" w:space="0"/>
            </w:tcBorders>
            <w:vAlign w:val="center"/>
          </w:tcPr>
          <w:p w14:paraId="56D134A3">
            <w:pPr>
              <w:widowControl/>
              <w:spacing w:line="276" w:lineRule="auto"/>
              <w:rPr>
                <w:i w:val="0"/>
                <w:iCs w:val="0"/>
                <w:color w:val="auto"/>
                <w:sz w:val="21"/>
                <w:szCs w:val="15"/>
                <w:highlight w:val="none"/>
              </w:rPr>
            </w:pPr>
            <w:r>
              <w:rPr>
                <w:rFonts w:hint="eastAsia"/>
                <w:i w:val="0"/>
                <w:iCs w:val="0"/>
                <w:color w:val="auto"/>
                <w:sz w:val="21"/>
                <w:szCs w:val="15"/>
                <w:highlight w:val="none"/>
              </w:rPr>
              <w:t>站台门故障预测功能</w:t>
            </w:r>
          </w:p>
        </w:tc>
        <w:tc>
          <w:tcPr>
            <w:tcW w:w="1040" w:type="dxa"/>
            <w:tcBorders>
              <w:top w:val="single" w:color="000000" w:sz="4" w:space="0"/>
              <w:left w:val="nil"/>
              <w:bottom w:val="single" w:color="000000" w:sz="4" w:space="0"/>
              <w:right w:val="single" w:color="000000" w:sz="4" w:space="0"/>
            </w:tcBorders>
            <w:vAlign w:val="center"/>
          </w:tcPr>
          <w:p w14:paraId="56D134A4">
            <w:pPr>
              <w:widowControl/>
              <w:spacing w:line="276" w:lineRule="auto"/>
              <w:rPr>
                <w:i w:val="0"/>
                <w:iCs w:val="0"/>
                <w:color w:val="auto"/>
                <w:sz w:val="21"/>
                <w:szCs w:val="15"/>
                <w:highlight w:val="none"/>
              </w:rPr>
            </w:pPr>
            <w:r>
              <w:rPr>
                <w:rFonts w:hint="eastAsia"/>
                <w:i w:val="0"/>
                <w:iCs w:val="0"/>
                <w:color w:val="auto"/>
                <w:sz w:val="21"/>
                <w:szCs w:val="15"/>
                <w:highlight w:val="none"/>
              </w:rPr>
              <w:t>项</w:t>
            </w:r>
          </w:p>
        </w:tc>
        <w:tc>
          <w:tcPr>
            <w:tcW w:w="888" w:type="dxa"/>
            <w:tcBorders>
              <w:top w:val="single" w:color="000000" w:sz="4" w:space="0"/>
              <w:left w:val="nil"/>
              <w:bottom w:val="single" w:color="000000" w:sz="4" w:space="0"/>
              <w:right w:val="single" w:color="000000" w:sz="4" w:space="0"/>
            </w:tcBorders>
            <w:vAlign w:val="center"/>
          </w:tcPr>
          <w:p w14:paraId="56D134A5">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1588" w:type="dxa"/>
            <w:tcBorders>
              <w:top w:val="single" w:color="000000" w:sz="4" w:space="0"/>
              <w:left w:val="nil"/>
              <w:bottom w:val="single" w:color="000000" w:sz="4" w:space="0"/>
              <w:right w:val="single" w:color="000000" w:sz="4" w:space="0"/>
            </w:tcBorders>
            <w:vAlign w:val="center"/>
          </w:tcPr>
          <w:p w14:paraId="56D134A6">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bl>
    <w:p w14:paraId="56D134A8">
      <w:pPr>
        <w:rPr>
          <w:rFonts w:hint="eastAsia" w:ascii="等线" w:hAnsi="等线" w:eastAsia="等线" w:cs="宋体"/>
          <w:i w:val="0"/>
          <w:iCs w:val="0"/>
          <w:color w:val="auto"/>
          <w:sz w:val="15"/>
          <w:szCs w:val="15"/>
          <w:highlight w:val="none"/>
        </w:rPr>
      </w:pPr>
    </w:p>
    <w:p w14:paraId="56D134A9">
      <w:pPr>
        <w:pStyle w:val="5"/>
        <w:ind w:left="0"/>
        <w:rPr>
          <w:i w:val="0"/>
          <w:iCs w:val="0"/>
          <w:color w:val="auto"/>
          <w:sz w:val="22"/>
          <w:szCs w:val="22"/>
          <w:highlight w:val="none"/>
        </w:rPr>
      </w:pPr>
      <w:bookmarkStart w:id="381" w:name="_Toc9791"/>
      <w:r>
        <w:rPr>
          <w:rFonts w:hint="eastAsia"/>
          <w:i w:val="0"/>
          <w:iCs w:val="0"/>
          <w:color w:val="auto"/>
          <w:sz w:val="22"/>
          <w:szCs w:val="22"/>
          <w:highlight w:val="none"/>
          <w:lang w:val="en-US"/>
        </w:rPr>
        <w:t>供电智能运维主要设备材料表</w:t>
      </w:r>
      <w:bookmarkEnd w:id="381"/>
    </w:p>
    <w:p w14:paraId="56D134AA">
      <w:pPr>
        <w:pStyle w:val="6"/>
        <w:ind w:left="0"/>
        <w:rPr>
          <w:i w:val="0"/>
          <w:iCs w:val="0"/>
          <w:color w:val="auto"/>
          <w:sz w:val="21"/>
          <w:szCs w:val="21"/>
          <w:highlight w:val="none"/>
        </w:rPr>
      </w:pPr>
      <w:r>
        <w:rPr>
          <w:rFonts w:hint="eastAsia"/>
          <w:i w:val="0"/>
          <w:iCs w:val="0"/>
          <w:color w:val="auto"/>
          <w:sz w:val="21"/>
          <w:szCs w:val="21"/>
          <w:highlight w:val="none"/>
        </w:rPr>
        <w:t>主要设备表</w:t>
      </w:r>
    </w:p>
    <w:tbl>
      <w:tblPr>
        <w:tblStyle w:val="88"/>
        <w:tblW w:w="7949" w:type="dxa"/>
        <w:jc w:val="center"/>
        <w:tblLayout w:type="fixed"/>
        <w:tblCellMar>
          <w:top w:w="0" w:type="dxa"/>
          <w:left w:w="108" w:type="dxa"/>
          <w:bottom w:w="0" w:type="dxa"/>
          <w:right w:w="108" w:type="dxa"/>
        </w:tblCellMar>
      </w:tblPr>
      <w:tblGrid>
        <w:gridCol w:w="855"/>
        <w:gridCol w:w="3848"/>
        <w:gridCol w:w="832"/>
        <w:gridCol w:w="874"/>
        <w:gridCol w:w="1540"/>
      </w:tblGrid>
      <w:tr w14:paraId="56D134B0">
        <w:tblPrEx>
          <w:tblCellMar>
            <w:top w:w="0" w:type="dxa"/>
            <w:left w:w="108" w:type="dxa"/>
            <w:bottom w:w="0" w:type="dxa"/>
            <w:right w:w="108" w:type="dxa"/>
          </w:tblCellMar>
        </w:tblPrEx>
        <w:trPr>
          <w:trHeight w:val="23" w:hRule="atLeast"/>
          <w:jc w:val="center"/>
        </w:trPr>
        <w:tc>
          <w:tcPr>
            <w:tcW w:w="855" w:type="dxa"/>
            <w:tcBorders>
              <w:top w:val="single" w:color="000000" w:sz="4" w:space="0"/>
              <w:left w:val="single" w:color="000000" w:sz="4" w:space="0"/>
              <w:bottom w:val="single" w:color="000000" w:sz="4" w:space="0"/>
              <w:right w:val="single" w:color="000000" w:sz="4" w:space="0"/>
            </w:tcBorders>
            <w:vAlign w:val="center"/>
          </w:tcPr>
          <w:p w14:paraId="56D134A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3848" w:type="dxa"/>
            <w:tcBorders>
              <w:top w:val="single" w:color="000000" w:sz="4" w:space="0"/>
              <w:left w:val="nil"/>
              <w:bottom w:val="single" w:color="000000" w:sz="4" w:space="0"/>
              <w:right w:val="single" w:color="000000" w:sz="4" w:space="0"/>
            </w:tcBorders>
            <w:vAlign w:val="center"/>
          </w:tcPr>
          <w:p w14:paraId="56D134A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设备/功能模块名称</w:t>
            </w:r>
          </w:p>
        </w:tc>
        <w:tc>
          <w:tcPr>
            <w:tcW w:w="832" w:type="dxa"/>
            <w:tcBorders>
              <w:top w:val="single" w:color="000000" w:sz="4" w:space="0"/>
              <w:left w:val="nil"/>
              <w:bottom w:val="single" w:color="000000" w:sz="4" w:space="0"/>
              <w:right w:val="single" w:color="000000" w:sz="4" w:space="0"/>
            </w:tcBorders>
            <w:vAlign w:val="center"/>
          </w:tcPr>
          <w:p w14:paraId="56D134A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874" w:type="dxa"/>
            <w:tcBorders>
              <w:top w:val="single" w:color="000000" w:sz="4" w:space="0"/>
              <w:left w:val="nil"/>
              <w:bottom w:val="single" w:color="000000" w:sz="4" w:space="0"/>
              <w:right w:val="single" w:color="000000" w:sz="4" w:space="0"/>
            </w:tcBorders>
            <w:vAlign w:val="center"/>
          </w:tcPr>
          <w:p w14:paraId="56D134A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1540" w:type="dxa"/>
            <w:tcBorders>
              <w:top w:val="single" w:color="000000" w:sz="4" w:space="0"/>
              <w:left w:val="nil"/>
              <w:bottom w:val="nil"/>
              <w:right w:val="single" w:color="000000" w:sz="4" w:space="0"/>
            </w:tcBorders>
            <w:vAlign w:val="center"/>
          </w:tcPr>
          <w:p w14:paraId="56D134A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4B6">
        <w:tblPrEx>
          <w:tblCellMar>
            <w:top w:w="0" w:type="dxa"/>
            <w:left w:w="108" w:type="dxa"/>
            <w:bottom w:w="0" w:type="dxa"/>
            <w:right w:w="108" w:type="dxa"/>
          </w:tblCellMar>
        </w:tblPrEx>
        <w:trPr>
          <w:trHeight w:val="23" w:hRule="atLeast"/>
          <w:jc w:val="center"/>
        </w:trPr>
        <w:tc>
          <w:tcPr>
            <w:tcW w:w="855" w:type="dxa"/>
            <w:tcBorders>
              <w:top w:val="single" w:color="000000" w:sz="4" w:space="0"/>
              <w:left w:val="single" w:color="000000" w:sz="4" w:space="0"/>
              <w:bottom w:val="single" w:color="000000" w:sz="4" w:space="0"/>
              <w:right w:val="single" w:color="000000" w:sz="4" w:space="0"/>
            </w:tcBorders>
            <w:vAlign w:val="center"/>
          </w:tcPr>
          <w:p w14:paraId="56D134B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848" w:type="dxa"/>
            <w:tcBorders>
              <w:top w:val="single" w:color="000000" w:sz="4" w:space="0"/>
              <w:left w:val="nil"/>
              <w:bottom w:val="single" w:color="000000" w:sz="4" w:space="0"/>
              <w:right w:val="single" w:color="000000" w:sz="4" w:space="0"/>
            </w:tcBorders>
            <w:vAlign w:val="center"/>
          </w:tcPr>
          <w:p w14:paraId="56D134B2">
            <w:pPr>
              <w:widowControl/>
              <w:spacing w:line="276" w:lineRule="auto"/>
              <w:rPr>
                <w:i w:val="0"/>
                <w:iCs w:val="0"/>
                <w:color w:val="auto"/>
                <w:sz w:val="21"/>
                <w:szCs w:val="15"/>
                <w:highlight w:val="none"/>
              </w:rPr>
            </w:pPr>
            <w:r>
              <w:rPr>
                <w:rFonts w:hint="eastAsia"/>
                <w:i w:val="0"/>
                <w:iCs w:val="0"/>
                <w:color w:val="auto"/>
                <w:sz w:val="21"/>
                <w:szCs w:val="15"/>
                <w:highlight w:val="none"/>
              </w:rPr>
              <w:t>前端通信处理机</w:t>
            </w:r>
          </w:p>
        </w:tc>
        <w:tc>
          <w:tcPr>
            <w:tcW w:w="832" w:type="dxa"/>
            <w:tcBorders>
              <w:top w:val="single" w:color="000000" w:sz="4" w:space="0"/>
              <w:left w:val="nil"/>
              <w:bottom w:val="single" w:color="000000" w:sz="4" w:space="0"/>
              <w:right w:val="single" w:color="000000" w:sz="4" w:space="0"/>
            </w:tcBorders>
            <w:vAlign w:val="center"/>
          </w:tcPr>
          <w:p w14:paraId="56D134B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874" w:type="dxa"/>
            <w:tcBorders>
              <w:top w:val="single" w:color="000000" w:sz="4" w:space="0"/>
              <w:left w:val="nil"/>
              <w:bottom w:val="single" w:color="000000" w:sz="4" w:space="0"/>
              <w:right w:val="single" w:color="000000" w:sz="4" w:space="0"/>
            </w:tcBorders>
            <w:noWrap/>
            <w:vAlign w:val="center"/>
          </w:tcPr>
          <w:p w14:paraId="56D134B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36</w:t>
            </w:r>
          </w:p>
        </w:tc>
        <w:tc>
          <w:tcPr>
            <w:tcW w:w="1540" w:type="dxa"/>
            <w:vMerge w:val="restart"/>
            <w:tcBorders>
              <w:top w:val="single" w:color="000000" w:sz="4" w:space="0"/>
              <w:left w:val="nil"/>
              <w:right w:val="single" w:color="000000" w:sz="4" w:space="0"/>
            </w:tcBorders>
            <w:vAlign w:val="center"/>
          </w:tcPr>
          <w:p w14:paraId="56D134B5">
            <w:pPr>
              <w:widowControl/>
              <w:spacing w:line="276" w:lineRule="auto"/>
              <w:rPr>
                <w:i w:val="0"/>
                <w:iCs w:val="0"/>
                <w:color w:val="auto"/>
                <w:sz w:val="21"/>
                <w:szCs w:val="15"/>
                <w:highlight w:val="none"/>
              </w:rPr>
            </w:pPr>
            <w:r>
              <w:rPr>
                <w:rFonts w:hint="eastAsia"/>
                <w:i w:val="0"/>
                <w:iCs w:val="0"/>
                <w:color w:val="auto"/>
                <w:sz w:val="21"/>
                <w:szCs w:val="15"/>
                <w:highlight w:val="none"/>
              </w:rPr>
              <w:t>含机箱、PDU</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4BC">
        <w:tblPrEx>
          <w:tblCellMar>
            <w:top w:w="0" w:type="dxa"/>
            <w:left w:w="108" w:type="dxa"/>
            <w:bottom w:w="0" w:type="dxa"/>
            <w:right w:w="108" w:type="dxa"/>
          </w:tblCellMar>
        </w:tblPrEx>
        <w:trPr>
          <w:trHeight w:val="23" w:hRule="atLeast"/>
          <w:jc w:val="center"/>
        </w:trPr>
        <w:tc>
          <w:tcPr>
            <w:tcW w:w="855" w:type="dxa"/>
            <w:tcBorders>
              <w:top w:val="single" w:color="000000" w:sz="4" w:space="0"/>
              <w:left w:val="single" w:color="000000" w:sz="4" w:space="0"/>
              <w:bottom w:val="single" w:color="000000" w:sz="4" w:space="0"/>
              <w:right w:val="single" w:color="000000" w:sz="4" w:space="0"/>
            </w:tcBorders>
            <w:vAlign w:val="center"/>
          </w:tcPr>
          <w:p w14:paraId="56D134B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3848" w:type="dxa"/>
            <w:tcBorders>
              <w:top w:val="single" w:color="000000" w:sz="4" w:space="0"/>
              <w:left w:val="nil"/>
              <w:bottom w:val="single" w:color="000000" w:sz="4" w:space="0"/>
              <w:right w:val="single" w:color="000000" w:sz="4" w:space="0"/>
            </w:tcBorders>
            <w:vAlign w:val="center"/>
          </w:tcPr>
          <w:p w14:paraId="56D134B8">
            <w:pPr>
              <w:widowControl/>
              <w:spacing w:line="276" w:lineRule="auto"/>
              <w:rPr>
                <w:i w:val="0"/>
                <w:iCs w:val="0"/>
                <w:color w:val="auto"/>
                <w:sz w:val="21"/>
                <w:szCs w:val="15"/>
                <w:highlight w:val="none"/>
              </w:rPr>
            </w:pPr>
            <w:r>
              <w:rPr>
                <w:rFonts w:hint="eastAsia"/>
                <w:i w:val="0"/>
                <w:iCs w:val="0"/>
                <w:color w:val="auto"/>
                <w:sz w:val="21"/>
                <w:szCs w:val="15"/>
                <w:highlight w:val="none"/>
              </w:rPr>
              <w:t>工业交换机</w:t>
            </w:r>
          </w:p>
        </w:tc>
        <w:tc>
          <w:tcPr>
            <w:tcW w:w="832" w:type="dxa"/>
            <w:tcBorders>
              <w:top w:val="single" w:color="000000" w:sz="4" w:space="0"/>
              <w:left w:val="nil"/>
              <w:bottom w:val="single" w:color="000000" w:sz="4" w:space="0"/>
              <w:right w:val="single" w:color="000000" w:sz="4" w:space="0"/>
            </w:tcBorders>
            <w:vAlign w:val="center"/>
          </w:tcPr>
          <w:p w14:paraId="56D134B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874" w:type="dxa"/>
            <w:tcBorders>
              <w:top w:val="single" w:color="000000" w:sz="4" w:space="0"/>
              <w:left w:val="nil"/>
              <w:bottom w:val="single" w:color="000000" w:sz="4" w:space="0"/>
              <w:right w:val="single" w:color="000000" w:sz="4" w:space="0"/>
            </w:tcBorders>
            <w:noWrap/>
            <w:vAlign w:val="center"/>
          </w:tcPr>
          <w:p w14:paraId="56D134B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36</w:t>
            </w:r>
          </w:p>
        </w:tc>
        <w:tc>
          <w:tcPr>
            <w:tcW w:w="1540" w:type="dxa"/>
            <w:vMerge w:val="continue"/>
            <w:tcBorders>
              <w:left w:val="nil"/>
              <w:bottom w:val="single" w:color="000000" w:sz="4" w:space="0"/>
              <w:right w:val="single" w:color="000000" w:sz="4" w:space="0"/>
            </w:tcBorders>
            <w:vAlign w:val="center"/>
          </w:tcPr>
          <w:p w14:paraId="56D134BB">
            <w:pPr>
              <w:widowControl/>
              <w:spacing w:line="276" w:lineRule="auto"/>
              <w:rPr>
                <w:i w:val="0"/>
                <w:iCs w:val="0"/>
                <w:color w:val="auto"/>
                <w:sz w:val="21"/>
                <w:szCs w:val="15"/>
                <w:highlight w:val="none"/>
              </w:rPr>
            </w:pPr>
          </w:p>
        </w:tc>
      </w:tr>
      <w:tr w14:paraId="56D134C2">
        <w:tblPrEx>
          <w:tblCellMar>
            <w:top w:w="0" w:type="dxa"/>
            <w:left w:w="108" w:type="dxa"/>
            <w:bottom w:w="0" w:type="dxa"/>
            <w:right w:w="108" w:type="dxa"/>
          </w:tblCellMar>
        </w:tblPrEx>
        <w:trPr>
          <w:trHeight w:val="23" w:hRule="atLeast"/>
          <w:jc w:val="center"/>
        </w:trPr>
        <w:tc>
          <w:tcPr>
            <w:tcW w:w="855" w:type="dxa"/>
            <w:tcBorders>
              <w:top w:val="single" w:color="000000" w:sz="4" w:space="0"/>
              <w:left w:val="single" w:color="000000" w:sz="4" w:space="0"/>
              <w:bottom w:val="single" w:color="000000" w:sz="4" w:space="0"/>
              <w:right w:val="single" w:color="000000" w:sz="4" w:space="0"/>
            </w:tcBorders>
            <w:vAlign w:val="center"/>
          </w:tcPr>
          <w:p w14:paraId="56D134B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3848" w:type="dxa"/>
            <w:tcBorders>
              <w:top w:val="single" w:color="000000" w:sz="4" w:space="0"/>
              <w:left w:val="nil"/>
              <w:bottom w:val="single" w:color="000000" w:sz="4" w:space="0"/>
              <w:right w:val="single" w:color="000000" w:sz="4" w:space="0"/>
            </w:tcBorders>
            <w:vAlign w:val="center"/>
          </w:tcPr>
          <w:p w14:paraId="56D134BE">
            <w:pPr>
              <w:widowControl/>
              <w:spacing w:line="276" w:lineRule="auto"/>
              <w:rPr>
                <w:i w:val="0"/>
                <w:iCs w:val="0"/>
                <w:color w:val="auto"/>
                <w:sz w:val="21"/>
                <w:szCs w:val="15"/>
                <w:highlight w:val="none"/>
              </w:rPr>
            </w:pPr>
            <w:r>
              <w:rPr>
                <w:rFonts w:hint="eastAsia"/>
                <w:i w:val="0"/>
                <w:iCs w:val="0"/>
                <w:color w:val="auto"/>
                <w:sz w:val="21"/>
                <w:szCs w:val="15"/>
                <w:highlight w:val="none"/>
              </w:rPr>
              <w:t>通信接口软件</w:t>
            </w:r>
          </w:p>
        </w:tc>
        <w:tc>
          <w:tcPr>
            <w:tcW w:w="832" w:type="dxa"/>
            <w:tcBorders>
              <w:top w:val="single" w:color="000000" w:sz="4" w:space="0"/>
              <w:left w:val="nil"/>
              <w:bottom w:val="single" w:color="000000" w:sz="4" w:space="0"/>
              <w:right w:val="single" w:color="000000" w:sz="4" w:space="0"/>
            </w:tcBorders>
            <w:vAlign w:val="center"/>
          </w:tcPr>
          <w:p w14:paraId="56D134B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874" w:type="dxa"/>
            <w:tcBorders>
              <w:top w:val="single" w:color="000000" w:sz="4" w:space="0"/>
              <w:left w:val="nil"/>
              <w:bottom w:val="single" w:color="000000" w:sz="4" w:space="0"/>
              <w:right w:val="single" w:color="000000" w:sz="4" w:space="0"/>
            </w:tcBorders>
            <w:noWrap/>
            <w:vAlign w:val="center"/>
          </w:tcPr>
          <w:p w14:paraId="56D134C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540" w:type="dxa"/>
            <w:tcBorders>
              <w:top w:val="single" w:color="000000" w:sz="4" w:space="0"/>
              <w:left w:val="nil"/>
              <w:bottom w:val="single" w:color="000000" w:sz="4" w:space="0"/>
              <w:right w:val="single" w:color="000000" w:sz="4" w:space="0"/>
            </w:tcBorders>
            <w:vAlign w:val="center"/>
          </w:tcPr>
          <w:p w14:paraId="56D134C1">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4C8">
        <w:tblPrEx>
          <w:tblCellMar>
            <w:top w:w="0" w:type="dxa"/>
            <w:left w:w="108" w:type="dxa"/>
            <w:bottom w:w="0" w:type="dxa"/>
            <w:right w:w="108" w:type="dxa"/>
          </w:tblCellMar>
        </w:tblPrEx>
        <w:trPr>
          <w:trHeight w:val="23" w:hRule="atLeast"/>
          <w:jc w:val="center"/>
        </w:trPr>
        <w:tc>
          <w:tcPr>
            <w:tcW w:w="855" w:type="dxa"/>
            <w:tcBorders>
              <w:top w:val="single" w:color="000000" w:sz="4" w:space="0"/>
              <w:left w:val="single" w:color="000000" w:sz="4" w:space="0"/>
              <w:bottom w:val="single" w:color="000000" w:sz="4" w:space="0"/>
              <w:right w:val="single" w:color="000000" w:sz="4" w:space="0"/>
            </w:tcBorders>
            <w:vAlign w:val="center"/>
          </w:tcPr>
          <w:p w14:paraId="56D134C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3848" w:type="dxa"/>
            <w:tcBorders>
              <w:top w:val="single" w:color="000000" w:sz="4" w:space="0"/>
              <w:left w:val="nil"/>
              <w:bottom w:val="single" w:color="000000" w:sz="4" w:space="0"/>
              <w:right w:val="single" w:color="000000" w:sz="4" w:space="0"/>
            </w:tcBorders>
            <w:vAlign w:val="center"/>
          </w:tcPr>
          <w:p w14:paraId="56D134C4">
            <w:pPr>
              <w:widowControl/>
              <w:spacing w:line="276" w:lineRule="auto"/>
              <w:rPr>
                <w:i w:val="0"/>
                <w:iCs w:val="0"/>
                <w:color w:val="auto"/>
                <w:sz w:val="21"/>
                <w:szCs w:val="15"/>
                <w:highlight w:val="none"/>
              </w:rPr>
            </w:pPr>
            <w:r>
              <w:rPr>
                <w:rFonts w:hint="eastAsia"/>
                <w:i w:val="0"/>
                <w:iCs w:val="0"/>
                <w:color w:val="auto"/>
                <w:sz w:val="21"/>
                <w:szCs w:val="15"/>
                <w:highlight w:val="none"/>
              </w:rPr>
              <w:t>供电智能运维采集软件</w:t>
            </w:r>
          </w:p>
        </w:tc>
        <w:tc>
          <w:tcPr>
            <w:tcW w:w="832" w:type="dxa"/>
            <w:tcBorders>
              <w:top w:val="single" w:color="000000" w:sz="4" w:space="0"/>
              <w:left w:val="nil"/>
              <w:bottom w:val="single" w:color="000000" w:sz="4" w:space="0"/>
              <w:right w:val="single" w:color="000000" w:sz="4" w:space="0"/>
            </w:tcBorders>
            <w:vAlign w:val="center"/>
          </w:tcPr>
          <w:p w14:paraId="56D134C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874" w:type="dxa"/>
            <w:tcBorders>
              <w:top w:val="single" w:color="000000" w:sz="4" w:space="0"/>
              <w:left w:val="nil"/>
              <w:bottom w:val="single" w:color="000000" w:sz="4" w:space="0"/>
              <w:right w:val="single" w:color="000000" w:sz="4" w:space="0"/>
            </w:tcBorders>
            <w:noWrap/>
            <w:vAlign w:val="center"/>
          </w:tcPr>
          <w:p w14:paraId="56D134C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540" w:type="dxa"/>
            <w:tcBorders>
              <w:top w:val="single" w:color="000000" w:sz="4" w:space="0"/>
              <w:left w:val="nil"/>
              <w:bottom w:val="single" w:color="000000" w:sz="4" w:space="0"/>
              <w:right w:val="single" w:color="000000" w:sz="4" w:space="0"/>
            </w:tcBorders>
            <w:vAlign w:val="center"/>
          </w:tcPr>
          <w:p w14:paraId="56D134C7">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4CE">
        <w:tblPrEx>
          <w:tblCellMar>
            <w:top w:w="0" w:type="dxa"/>
            <w:left w:w="108" w:type="dxa"/>
            <w:bottom w:w="0" w:type="dxa"/>
            <w:right w:w="108" w:type="dxa"/>
          </w:tblCellMar>
        </w:tblPrEx>
        <w:trPr>
          <w:trHeight w:val="23" w:hRule="atLeast"/>
          <w:jc w:val="center"/>
        </w:trPr>
        <w:tc>
          <w:tcPr>
            <w:tcW w:w="855" w:type="dxa"/>
            <w:tcBorders>
              <w:top w:val="single" w:color="000000" w:sz="4" w:space="0"/>
              <w:left w:val="single" w:color="000000" w:sz="4" w:space="0"/>
              <w:bottom w:val="single" w:color="000000" w:sz="4" w:space="0"/>
              <w:right w:val="single" w:color="000000" w:sz="4" w:space="0"/>
            </w:tcBorders>
            <w:vAlign w:val="center"/>
          </w:tcPr>
          <w:p w14:paraId="56D134C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3848" w:type="dxa"/>
            <w:tcBorders>
              <w:top w:val="single" w:color="000000" w:sz="4" w:space="0"/>
              <w:left w:val="nil"/>
              <w:bottom w:val="single" w:color="000000" w:sz="4" w:space="0"/>
              <w:right w:val="single" w:color="000000" w:sz="4" w:space="0"/>
            </w:tcBorders>
            <w:vAlign w:val="center"/>
          </w:tcPr>
          <w:p w14:paraId="56D134CA">
            <w:pPr>
              <w:widowControl/>
              <w:spacing w:line="276" w:lineRule="auto"/>
              <w:rPr>
                <w:i w:val="0"/>
                <w:iCs w:val="0"/>
                <w:color w:val="auto"/>
                <w:sz w:val="21"/>
                <w:szCs w:val="15"/>
                <w:highlight w:val="none"/>
              </w:rPr>
            </w:pPr>
            <w:r>
              <w:rPr>
                <w:rFonts w:hint="eastAsia"/>
                <w:i w:val="0"/>
                <w:iCs w:val="0"/>
                <w:color w:val="auto"/>
                <w:sz w:val="21"/>
                <w:szCs w:val="15"/>
                <w:highlight w:val="none"/>
              </w:rPr>
              <w:t>供电智能运维监测软件</w:t>
            </w:r>
          </w:p>
        </w:tc>
        <w:tc>
          <w:tcPr>
            <w:tcW w:w="832" w:type="dxa"/>
            <w:tcBorders>
              <w:top w:val="single" w:color="000000" w:sz="4" w:space="0"/>
              <w:left w:val="nil"/>
              <w:bottom w:val="single" w:color="000000" w:sz="4" w:space="0"/>
              <w:right w:val="single" w:color="000000" w:sz="4" w:space="0"/>
            </w:tcBorders>
            <w:vAlign w:val="center"/>
          </w:tcPr>
          <w:p w14:paraId="56D134C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874" w:type="dxa"/>
            <w:tcBorders>
              <w:top w:val="single" w:color="000000" w:sz="4" w:space="0"/>
              <w:left w:val="nil"/>
              <w:bottom w:val="single" w:color="000000" w:sz="4" w:space="0"/>
              <w:right w:val="single" w:color="000000" w:sz="4" w:space="0"/>
            </w:tcBorders>
            <w:noWrap/>
            <w:vAlign w:val="center"/>
          </w:tcPr>
          <w:p w14:paraId="56D134C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540" w:type="dxa"/>
            <w:tcBorders>
              <w:top w:val="single" w:color="000000" w:sz="4" w:space="0"/>
              <w:left w:val="nil"/>
              <w:bottom w:val="single" w:color="000000" w:sz="4" w:space="0"/>
              <w:right w:val="single" w:color="000000" w:sz="4" w:space="0"/>
            </w:tcBorders>
            <w:vAlign w:val="center"/>
          </w:tcPr>
          <w:p w14:paraId="56D134CD">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r w14:paraId="56D134D4">
        <w:tblPrEx>
          <w:tblCellMar>
            <w:top w:w="0" w:type="dxa"/>
            <w:left w:w="108" w:type="dxa"/>
            <w:bottom w:w="0" w:type="dxa"/>
            <w:right w:w="108" w:type="dxa"/>
          </w:tblCellMar>
        </w:tblPrEx>
        <w:trPr>
          <w:trHeight w:val="23" w:hRule="atLeast"/>
          <w:jc w:val="center"/>
        </w:trPr>
        <w:tc>
          <w:tcPr>
            <w:tcW w:w="855" w:type="dxa"/>
            <w:tcBorders>
              <w:top w:val="single" w:color="000000" w:sz="4" w:space="0"/>
              <w:left w:val="single" w:color="000000" w:sz="4" w:space="0"/>
              <w:bottom w:val="single" w:color="000000" w:sz="4" w:space="0"/>
              <w:right w:val="single" w:color="000000" w:sz="4" w:space="0"/>
            </w:tcBorders>
            <w:vAlign w:val="center"/>
          </w:tcPr>
          <w:p w14:paraId="56D134C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3848" w:type="dxa"/>
            <w:tcBorders>
              <w:top w:val="single" w:color="000000" w:sz="4" w:space="0"/>
              <w:left w:val="nil"/>
              <w:bottom w:val="single" w:color="000000" w:sz="4" w:space="0"/>
              <w:right w:val="single" w:color="000000" w:sz="4" w:space="0"/>
            </w:tcBorders>
            <w:vAlign w:val="center"/>
          </w:tcPr>
          <w:p w14:paraId="56D134D0">
            <w:pPr>
              <w:widowControl/>
              <w:spacing w:line="276" w:lineRule="auto"/>
              <w:rPr>
                <w:i w:val="0"/>
                <w:iCs w:val="0"/>
                <w:color w:val="auto"/>
                <w:sz w:val="21"/>
                <w:szCs w:val="15"/>
                <w:highlight w:val="none"/>
              </w:rPr>
            </w:pPr>
            <w:r>
              <w:rPr>
                <w:rFonts w:hint="eastAsia"/>
                <w:i w:val="0"/>
                <w:iCs w:val="0"/>
                <w:color w:val="auto"/>
                <w:sz w:val="21"/>
                <w:szCs w:val="15"/>
                <w:highlight w:val="none"/>
              </w:rPr>
              <w:t>供电智能运维故障诊断及智能分析算法</w:t>
            </w:r>
          </w:p>
        </w:tc>
        <w:tc>
          <w:tcPr>
            <w:tcW w:w="832" w:type="dxa"/>
            <w:tcBorders>
              <w:top w:val="single" w:color="000000" w:sz="4" w:space="0"/>
              <w:left w:val="nil"/>
              <w:bottom w:val="single" w:color="000000" w:sz="4" w:space="0"/>
              <w:right w:val="single" w:color="000000" w:sz="4" w:space="0"/>
            </w:tcBorders>
            <w:vAlign w:val="center"/>
          </w:tcPr>
          <w:p w14:paraId="56D134D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874" w:type="dxa"/>
            <w:tcBorders>
              <w:top w:val="single" w:color="000000" w:sz="4" w:space="0"/>
              <w:left w:val="nil"/>
              <w:bottom w:val="single" w:color="000000" w:sz="4" w:space="0"/>
              <w:right w:val="single" w:color="000000" w:sz="4" w:space="0"/>
            </w:tcBorders>
            <w:noWrap/>
            <w:vAlign w:val="center"/>
          </w:tcPr>
          <w:p w14:paraId="56D134D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1540" w:type="dxa"/>
            <w:tcBorders>
              <w:top w:val="single" w:color="000000" w:sz="4" w:space="0"/>
              <w:left w:val="nil"/>
              <w:bottom w:val="single" w:color="000000" w:sz="4" w:space="0"/>
              <w:right w:val="single" w:color="000000" w:sz="4" w:space="0"/>
            </w:tcBorders>
            <w:vAlign w:val="center"/>
          </w:tcPr>
          <w:p w14:paraId="56D134D3">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bl>
    <w:p w14:paraId="56D134D5">
      <w:pPr>
        <w:rPr>
          <w:rFonts w:hint="eastAsia" w:ascii="等线" w:hAnsi="等线" w:eastAsia="等线" w:cs="宋体"/>
          <w:i w:val="0"/>
          <w:iCs w:val="0"/>
          <w:color w:val="auto"/>
          <w:sz w:val="15"/>
          <w:szCs w:val="15"/>
          <w:highlight w:val="none"/>
        </w:rPr>
      </w:pPr>
    </w:p>
    <w:p w14:paraId="56D134D6">
      <w:pPr>
        <w:pStyle w:val="6"/>
        <w:ind w:left="0"/>
        <w:rPr>
          <w:i w:val="0"/>
          <w:iCs w:val="0"/>
          <w:color w:val="auto"/>
          <w:sz w:val="21"/>
          <w:szCs w:val="21"/>
          <w:highlight w:val="none"/>
        </w:rPr>
      </w:pPr>
      <w:r>
        <w:rPr>
          <w:rFonts w:hint="eastAsia"/>
          <w:i w:val="0"/>
          <w:iCs w:val="0"/>
          <w:color w:val="auto"/>
          <w:sz w:val="21"/>
          <w:szCs w:val="21"/>
          <w:highlight w:val="none"/>
        </w:rPr>
        <w:t>主要材料表</w:t>
      </w:r>
    </w:p>
    <w:tbl>
      <w:tblPr>
        <w:tblStyle w:val="88"/>
        <w:tblW w:w="8027" w:type="dxa"/>
        <w:jc w:val="center"/>
        <w:tblLayout w:type="autofit"/>
        <w:tblCellMar>
          <w:top w:w="0" w:type="dxa"/>
          <w:left w:w="108" w:type="dxa"/>
          <w:bottom w:w="0" w:type="dxa"/>
          <w:right w:w="108" w:type="dxa"/>
        </w:tblCellMar>
      </w:tblPr>
      <w:tblGrid>
        <w:gridCol w:w="782"/>
        <w:gridCol w:w="2502"/>
        <w:gridCol w:w="708"/>
        <w:gridCol w:w="800"/>
        <w:gridCol w:w="3235"/>
      </w:tblGrid>
      <w:tr w14:paraId="56D134DC">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D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502" w:type="dxa"/>
            <w:tcBorders>
              <w:top w:val="single" w:color="000000" w:sz="4" w:space="0"/>
              <w:left w:val="nil"/>
              <w:bottom w:val="single" w:color="000000" w:sz="4" w:space="0"/>
              <w:right w:val="single" w:color="000000" w:sz="4" w:space="0"/>
            </w:tcBorders>
            <w:vAlign w:val="center"/>
          </w:tcPr>
          <w:p w14:paraId="56D134D8">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708" w:type="dxa"/>
            <w:tcBorders>
              <w:top w:val="single" w:color="000000" w:sz="4" w:space="0"/>
              <w:left w:val="nil"/>
              <w:bottom w:val="single" w:color="000000" w:sz="4" w:space="0"/>
              <w:right w:val="single" w:color="000000" w:sz="4" w:space="0"/>
            </w:tcBorders>
            <w:vAlign w:val="center"/>
          </w:tcPr>
          <w:p w14:paraId="56D134D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800" w:type="dxa"/>
            <w:tcBorders>
              <w:top w:val="single" w:color="000000" w:sz="4" w:space="0"/>
              <w:left w:val="nil"/>
              <w:bottom w:val="single" w:color="000000" w:sz="4" w:space="0"/>
              <w:right w:val="single" w:color="000000" w:sz="4" w:space="0"/>
            </w:tcBorders>
            <w:vAlign w:val="center"/>
          </w:tcPr>
          <w:p w14:paraId="56D134D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235" w:type="dxa"/>
            <w:tcBorders>
              <w:top w:val="single" w:color="000000" w:sz="4" w:space="0"/>
              <w:left w:val="nil"/>
              <w:bottom w:val="nil"/>
              <w:right w:val="single" w:color="000000" w:sz="4" w:space="0"/>
            </w:tcBorders>
            <w:vAlign w:val="center"/>
          </w:tcPr>
          <w:p w14:paraId="56D134DB">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4E2">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D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502" w:type="dxa"/>
            <w:tcBorders>
              <w:top w:val="nil"/>
              <w:left w:val="nil"/>
              <w:bottom w:val="single" w:color="000000" w:sz="4" w:space="0"/>
              <w:right w:val="single" w:color="000000" w:sz="4" w:space="0"/>
            </w:tcBorders>
            <w:vAlign w:val="center"/>
          </w:tcPr>
          <w:p w14:paraId="56D134DE">
            <w:pPr>
              <w:widowControl/>
              <w:spacing w:line="276" w:lineRule="auto"/>
              <w:rPr>
                <w:i w:val="0"/>
                <w:iCs w:val="0"/>
                <w:color w:val="auto"/>
                <w:sz w:val="21"/>
                <w:szCs w:val="15"/>
                <w:highlight w:val="none"/>
              </w:rPr>
            </w:pPr>
            <w:r>
              <w:rPr>
                <w:rFonts w:hint="eastAsia"/>
                <w:i w:val="0"/>
                <w:iCs w:val="0"/>
                <w:color w:val="auto"/>
                <w:sz w:val="21"/>
                <w:szCs w:val="15"/>
                <w:highlight w:val="none"/>
              </w:rPr>
              <w:t>4芯单模光缆</w:t>
            </w:r>
          </w:p>
        </w:tc>
        <w:tc>
          <w:tcPr>
            <w:tcW w:w="708" w:type="dxa"/>
            <w:tcBorders>
              <w:top w:val="nil"/>
              <w:left w:val="nil"/>
              <w:bottom w:val="single" w:color="000000" w:sz="4" w:space="0"/>
              <w:right w:val="single" w:color="000000" w:sz="4" w:space="0"/>
            </w:tcBorders>
            <w:vAlign w:val="center"/>
          </w:tcPr>
          <w:p w14:paraId="56D134D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800" w:type="dxa"/>
            <w:tcBorders>
              <w:top w:val="single" w:color="000000" w:sz="4" w:space="0"/>
              <w:left w:val="nil"/>
              <w:bottom w:val="single" w:color="000000" w:sz="4" w:space="0"/>
              <w:right w:val="single" w:color="000000" w:sz="4" w:space="0"/>
            </w:tcBorders>
            <w:vAlign w:val="center"/>
          </w:tcPr>
          <w:p w14:paraId="56D134E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24000</w:t>
            </w:r>
          </w:p>
        </w:tc>
        <w:tc>
          <w:tcPr>
            <w:tcW w:w="3235" w:type="dxa"/>
            <w:tcBorders>
              <w:top w:val="single" w:color="000000" w:sz="4" w:space="0"/>
              <w:left w:val="nil"/>
              <w:bottom w:val="single" w:color="000000" w:sz="4" w:space="0"/>
              <w:right w:val="single" w:color="000000" w:sz="4" w:space="0"/>
            </w:tcBorders>
            <w:vAlign w:val="center"/>
          </w:tcPr>
          <w:p w14:paraId="56D134E1">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w:t>
            </w:r>
          </w:p>
        </w:tc>
      </w:tr>
      <w:tr w14:paraId="56D134E8">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E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502" w:type="dxa"/>
            <w:tcBorders>
              <w:top w:val="nil"/>
              <w:left w:val="nil"/>
              <w:bottom w:val="single" w:color="000000" w:sz="4" w:space="0"/>
              <w:right w:val="single" w:color="000000" w:sz="4" w:space="0"/>
            </w:tcBorders>
            <w:vAlign w:val="center"/>
          </w:tcPr>
          <w:p w14:paraId="56D134E4">
            <w:pPr>
              <w:widowControl/>
              <w:spacing w:line="276" w:lineRule="auto"/>
              <w:rPr>
                <w:i w:val="0"/>
                <w:iCs w:val="0"/>
                <w:color w:val="auto"/>
                <w:sz w:val="21"/>
                <w:szCs w:val="15"/>
                <w:highlight w:val="none"/>
              </w:rPr>
            </w:pPr>
            <w:r>
              <w:rPr>
                <w:rFonts w:hint="eastAsia"/>
                <w:i w:val="0"/>
                <w:iCs w:val="0"/>
                <w:color w:val="auto"/>
                <w:sz w:val="21"/>
                <w:szCs w:val="15"/>
                <w:highlight w:val="none"/>
              </w:rPr>
              <w:t>WDZBN-YJY-3X4mm</w:t>
            </w:r>
            <w:r>
              <w:rPr>
                <w:rFonts w:ascii="Calibri" w:hAnsi="Calibri" w:cs="Calibri"/>
                <w:i w:val="0"/>
                <w:iCs w:val="0"/>
                <w:color w:val="auto"/>
                <w:sz w:val="21"/>
                <w:szCs w:val="15"/>
                <w:highlight w:val="none"/>
              </w:rPr>
              <w:t>²</w:t>
            </w:r>
          </w:p>
        </w:tc>
        <w:tc>
          <w:tcPr>
            <w:tcW w:w="708" w:type="dxa"/>
            <w:tcBorders>
              <w:top w:val="nil"/>
              <w:left w:val="nil"/>
              <w:bottom w:val="single" w:color="000000" w:sz="4" w:space="0"/>
              <w:right w:val="single" w:color="000000" w:sz="4" w:space="0"/>
            </w:tcBorders>
            <w:vAlign w:val="center"/>
          </w:tcPr>
          <w:p w14:paraId="56D134E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800" w:type="dxa"/>
            <w:tcBorders>
              <w:top w:val="single" w:color="000000" w:sz="4" w:space="0"/>
              <w:left w:val="nil"/>
              <w:bottom w:val="single" w:color="000000" w:sz="4" w:space="0"/>
              <w:right w:val="single" w:color="000000" w:sz="4" w:space="0"/>
            </w:tcBorders>
            <w:vAlign w:val="center"/>
          </w:tcPr>
          <w:p w14:paraId="56D134E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800</w:t>
            </w:r>
          </w:p>
        </w:tc>
        <w:tc>
          <w:tcPr>
            <w:tcW w:w="3235" w:type="dxa"/>
            <w:tcBorders>
              <w:top w:val="single" w:color="000000" w:sz="4" w:space="0"/>
              <w:left w:val="nil"/>
              <w:bottom w:val="single" w:color="000000" w:sz="4" w:space="0"/>
              <w:right w:val="single" w:color="000000" w:sz="4" w:space="0"/>
            </w:tcBorders>
            <w:vAlign w:val="center"/>
          </w:tcPr>
          <w:p w14:paraId="56D134E7">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低烟无卤阻燃耐火，燃烧性能满足BI级。</w:t>
            </w:r>
          </w:p>
        </w:tc>
      </w:tr>
      <w:tr w14:paraId="56D134EE">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E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502" w:type="dxa"/>
            <w:tcBorders>
              <w:top w:val="nil"/>
              <w:left w:val="nil"/>
              <w:bottom w:val="single" w:color="000000" w:sz="4" w:space="0"/>
              <w:right w:val="single" w:color="000000" w:sz="4" w:space="0"/>
            </w:tcBorders>
            <w:vAlign w:val="center"/>
          </w:tcPr>
          <w:p w14:paraId="56D134EA">
            <w:pPr>
              <w:widowControl/>
              <w:spacing w:line="276" w:lineRule="auto"/>
              <w:rPr>
                <w:i w:val="0"/>
                <w:iCs w:val="0"/>
                <w:color w:val="auto"/>
                <w:sz w:val="21"/>
                <w:szCs w:val="15"/>
                <w:highlight w:val="none"/>
              </w:rPr>
            </w:pPr>
            <w:r>
              <w:rPr>
                <w:rFonts w:hint="eastAsia"/>
                <w:i w:val="0"/>
                <w:iCs w:val="0"/>
                <w:color w:val="auto"/>
                <w:sz w:val="21"/>
                <w:szCs w:val="15"/>
                <w:highlight w:val="none"/>
              </w:rPr>
              <w:t>超五类屏蔽双绞线</w:t>
            </w:r>
          </w:p>
        </w:tc>
        <w:tc>
          <w:tcPr>
            <w:tcW w:w="708" w:type="dxa"/>
            <w:tcBorders>
              <w:top w:val="nil"/>
              <w:left w:val="nil"/>
              <w:bottom w:val="single" w:color="000000" w:sz="4" w:space="0"/>
              <w:right w:val="single" w:color="000000" w:sz="4" w:space="0"/>
            </w:tcBorders>
            <w:vAlign w:val="center"/>
          </w:tcPr>
          <w:p w14:paraId="56D134E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800" w:type="dxa"/>
            <w:tcBorders>
              <w:top w:val="single" w:color="000000" w:sz="4" w:space="0"/>
              <w:left w:val="nil"/>
              <w:bottom w:val="single" w:color="000000" w:sz="4" w:space="0"/>
              <w:right w:val="single" w:color="000000" w:sz="4" w:space="0"/>
            </w:tcBorders>
            <w:vAlign w:val="center"/>
          </w:tcPr>
          <w:p w14:paraId="56D134E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4000</w:t>
            </w:r>
          </w:p>
        </w:tc>
        <w:tc>
          <w:tcPr>
            <w:tcW w:w="3235" w:type="dxa"/>
            <w:tcBorders>
              <w:top w:val="single" w:color="000000" w:sz="4" w:space="0"/>
              <w:left w:val="nil"/>
              <w:bottom w:val="single" w:color="000000" w:sz="4" w:space="0"/>
              <w:right w:val="single" w:color="000000" w:sz="4" w:space="0"/>
            </w:tcBorders>
            <w:vAlign w:val="center"/>
          </w:tcPr>
          <w:p w14:paraId="56D134ED">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低烟无卤阻燃，燃烧性能满足B1级</w:t>
            </w:r>
          </w:p>
        </w:tc>
      </w:tr>
      <w:tr w14:paraId="56D134F4">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E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2502" w:type="dxa"/>
            <w:tcBorders>
              <w:top w:val="nil"/>
              <w:left w:val="nil"/>
              <w:bottom w:val="single" w:color="000000" w:sz="4" w:space="0"/>
              <w:right w:val="single" w:color="000000" w:sz="4" w:space="0"/>
            </w:tcBorders>
            <w:vAlign w:val="center"/>
          </w:tcPr>
          <w:p w14:paraId="56D134F0">
            <w:pPr>
              <w:widowControl/>
              <w:spacing w:line="276" w:lineRule="auto"/>
              <w:rPr>
                <w:i w:val="0"/>
                <w:iCs w:val="0"/>
                <w:color w:val="auto"/>
                <w:sz w:val="21"/>
                <w:szCs w:val="15"/>
                <w:highlight w:val="none"/>
              </w:rPr>
            </w:pPr>
            <w:r>
              <w:rPr>
                <w:i w:val="0"/>
                <w:iCs w:val="0"/>
                <w:color w:val="auto"/>
                <w:sz w:val="21"/>
                <w:szCs w:val="15"/>
                <w:highlight w:val="none"/>
              </w:rPr>
              <w:t>WDZBN-RYYSP2×2×1.0</w:t>
            </w:r>
          </w:p>
        </w:tc>
        <w:tc>
          <w:tcPr>
            <w:tcW w:w="708" w:type="dxa"/>
            <w:tcBorders>
              <w:top w:val="nil"/>
              <w:left w:val="nil"/>
              <w:bottom w:val="single" w:color="000000" w:sz="4" w:space="0"/>
              <w:right w:val="single" w:color="000000" w:sz="4" w:space="0"/>
            </w:tcBorders>
            <w:vAlign w:val="center"/>
          </w:tcPr>
          <w:p w14:paraId="56D134F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800" w:type="dxa"/>
            <w:tcBorders>
              <w:top w:val="single" w:color="000000" w:sz="4" w:space="0"/>
              <w:left w:val="nil"/>
              <w:bottom w:val="single" w:color="000000" w:sz="4" w:space="0"/>
              <w:right w:val="single" w:color="000000" w:sz="4" w:space="0"/>
            </w:tcBorders>
            <w:vAlign w:val="center"/>
          </w:tcPr>
          <w:p w14:paraId="56D134F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3500</w:t>
            </w:r>
          </w:p>
        </w:tc>
        <w:tc>
          <w:tcPr>
            <w:tcW w:w="3235" w:type="dxa"/>
            <w:tcBorders>
              <w:top w:val="single" w:color="000000" w:sz="4" w:space="0"/>
              <w:left w:val="nil"/>
              <w:bottom w:val="single" w:color="000000" w:sz="4" w:space="0"/>
              <w:right w:val="single" w:color="000000" w:sz="4" w:space="0"/>
            </w:tcBorders>
            <w:vAlign w:val="center"/>
          </w:tcPr>
          <w:p w14:paraId="56D134F3">
            <w:pPr>
              <w:widowControl/>
              <w:spacing w:line="276" w:lineRule="auto"/>
              <w:rPr>
                <w:i w:val="0"/>
                <w:iCs w:val="0"/>
                <w:color w:val="auto"/>
                <w:sz w:val="21"/>
                <w:szCs w:val="15"/>
                <w:highlight w:val="none"/>
              </w:rPr>
            </w:pPr>
            <w:r>
              <w:rPr>
                <w:rFonts w:hint="eastAsia"/>
                <w:i w:val="0"/>
                <w:iCs w:val="0"/>
                <w:color w:val="auto"/>
                <w:sz w:val="21"/>
                <w:szCs w:val="15"/>
                <w:highlight w:val="none"/>
              </w:rPr>
              <w:t>低烟无卤耐火阻燃，燃烧性能满足B1级</w:t>
            </w:r>
          </w:p>
        </w:tc>
      </w:tr>
      <w:tr w14:paraId="56D134FA">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F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2502" w:type="dxa"/>
            <w:tcBorders>
              <w:top w:val="nil"/>
              <w:left w:val="nil"/>
              <w:bottom w:val="single" w:color="000000" w:sz="4" w:space="0"/>
              <w:right w:val="single" w:color="000000" w:sz="4" w:space="0"/>
            </w:tcBorders>
            <w:vAlign w:val="center"/>
          </w:tcPr>
          <w:p w14:paraId="56D134F6">
            <w:pPr>
              <w:widowControl/>
              <w:spacing w:line="276" w:lineRule="auto"/>
              <w:rPr>
                <w:i w:val="0"/>
                <w:iCs w:val="0"/>
                <w:color w:val="auto"/>
                <w:sz w:val="21"/>
                <w:szCs w:val="15"/>
                <w:highlight w:val="none"/>
              </w:rPr>
            </w:pPr>
            <w:r>
              <w:rPr>
                <w:rFonts w:hint="eastAsia"/>
                <w:i w:val="0"/>
                <w:iCs w:val="0"/>
                <w:color w:val="auto"/>
                <w:sz w:val="21"/>
                <w:szCs w:val="15"/>
                <w:highlight w:val="none"/>
              </w:rPr>
              <w:t>镀锌钢管SC32</w:t>
            </w:r>
          </w:p>
        </w:tc>
        <w:tc>
          <w:tcPr>
            <w:tcW w:w="708" w:type="dxa"/>
            <w:tcBorders>
              <w:top w:val="nil"/>
              <w:left w:val="nil"/>
              <w:bottom w:val="single" w:color="000000" w:sz="4" w:space="0"/>
              <w:right w:val="single" w:color="000000" w:sz="4" w:space="0"/>
            </w:tcBorders>
            <w:vAlign w:val="center"/>
          </w:tcPr>
          <w:p w14:paraId="56D134F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800" w:type="dxa"/>
            <w:tcBorders>
              <w:top w:val="single" w:color="000000" w:sz="4" w:space="0"/>
              <w:left w:val="nil"/>
              <w:bottom w:val="single" w:color="000000" w:sz="4" w:space="0"/>
              <w:right w:val="single" w:color="000000" w:sz="4" w:space="0"/>
            </w:tcBorders>
            <w:vAlign w:val="center"/>
          </w:tcPr>
          <w:p w14:paraId="56D134F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2000</w:t>
            </w:r>
          </w:p>
        </w:tc>
        <w:tc>
          <w:tcPr>
            <w:tcW w:w="3235" w:type="dxa"/>
            <w:tcBorders>
              <w:top w:val="single" w:color="000000" w:sz="4" w:space="0"/>
              <w:left w:val="nil"/>
              <w:bottom w:val="single" w:color="000000" w:sz="4" w:space="0"/>
              <w:right w:val="single" w:color="000000" w:sz="4" w:space="0"/>
            </w:tcBorders>
            <w:vAlign w:val="center"/>
          </w:tcPr>
          <w:p w14:paraId="56D134F9">
            <w:pPr>
              <w:widowControl/>
              <w:spacing w:line="276" w:lineRule="auto"/>
              <w:rPr>
                <w:i w:val="0"/>
                <w:iCs w:val="0"/>
                <w:color w:val="auto"/>
                <w:sz w:val="21"/>
                <w:szCs w:val="15"/>
                <w:highlight w:val="none"/>
              </w:rPr>
            </w:pPr>
            <w:r>
              <w:rPr>
                <w:rFonts w:hint="eastAsia"/>
                <w:i w:val="0"/>
                <w:iCs w:val="0"/>
                <w:color w:val="auto"/>
                <w:sz w:val="21"/>
                <w:szCs w:val="15"/>
                <w:highlight w:val="none"/>
              </w:rPr>
              <w:t>含安装辅件。</w:t>
            </w:r>
          </w:p>
        </w:tc>
      </w:tr>
      <w:tr w14:paraId="56D13500">
        <w:tblPrEx>
          <w:tblCellMar>
            <w:top w:w="0" w:type="dxa"/>
            <w:left w:w="108" w:type="dxa"/>
            <w:bottom w:w="0" w:type="dxa"/>
            <w:right w:w="108" w:type="dxa"/>
          </w:tblCellMar>
        </w:tblPrEx>
        <w:trPr>
          <w:trHeight w:val="23" w:hRule="atLeast"/>
          <w:jc w:val="center"/>
        </w:trPr>
        <w:tc>
          <w:tcPr>
            <w:tcW w:w="782" w:type="dxa"/>
            <w:tcBorders>
              <w:top w:val="single" w:color="000000" w:sz="4" w:space="0"/>
              <w:left w:val="single" w:color="000000" w:sz="4" w:space="0"/>
              <w:bottom w:val="single" w:color="000000" w:sz="4" w:space="0"/>
              <w:right w:val="single" w:color="000000" w:sz="4" w:space="0"/>
            </w:tcBorders>
            <w:vAlign w:val="center"/>
          </w:tcPr>
          <w:p w14:paraId="56D134F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2502" w:type="dxa"/>
            <w:tcBorders>
              <w:top w:val="nil"/>
              <w:left w:val="nil"/>
              <w:bottom w:val="single" w:color="000000" w:sz="4" w:space="0"/>
              <w:right w:val="single" w:color="000000" w:sz="4" w:space="0"/>
            </w:tcBorders>
            <w:vAlign w:val="center"/>
          </w:tcPr>
          <w:p w14:paraId="56D134FC">
            <w:pPr>
              <w:widowControl/>
              <w:spacing w:line="276" w:lineRule="auto"/>
              <w:rPr>
                <w:i w:val="0"/>
                <w:iCs w:val="0"/>
                <w:color w:val="auto"/>
                <w:sz w:val="21"/>
                <w:szCs w:val="15"/>
                <w:highlight w:val="none"/>
              </w:rPr>
            </w:pPr>
            <w:r>
              <w:rPr>
                <w:rFonts w:hint="eastAsia"/>
                <w:i w:val="0"/>
                <w:iCs w:val="0"/>
                <w:color w:val="auto"/>
                <w:sz w:val="21"/>
                <w:szCs w:val="15"/>
                <w:highlight w:val="none"/>
              </w:rPr>
              <w:t>施工辅材</w:t>
            </w:r>
          </w:p>
        </w:tc>
        <w:tc>
          <w:tcPr>
            <w:tcW w:w="708" w:type="dxa"/>
            <w:tcBorders>
              <w:top w:val="nil"/>
              <w:left w:val="nil"/>
              <w:bottom w:val="single" w:color="000000" w:sz="4" w:space="0"/>
              <w:right w:val="single" w:color="000000" w:sz="4" w:space="0"/>
            </w:tcBorders>
            <w:vAlign w:val="center"/>
          </w:tcPr>
          <w:p w14:paraId="56D134F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800" w:type="dxa"/>
            <w:tcBorders>
              <w:top w:val="single" w:color="000000" w:sz="4" w:space="0"/>
              <w:left w:val="nil"/>
              <w:bottom w:val="single" w:color="000000" w:sz="4" w:space="0"/>
              <w:right w:val="single" w:color="000000" w:sz="4" w:space="0"/>
            </w:tcBorders>
            <w:vAlign w:val="center"/>
          </w:tcPr>
          <w:p w14:paraId="56D134F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3235" w:type="dxa"/>
            <w:tcBorders>
              <w:top w:val="single" w:color="000000" w:sz="4" w:space="0"/>
              <w:left w:val="nil"/>
              <w:bottom w:val="single" w:color="000000" w:sz="4" w:space="0"/>
              <w:right w:val="single" w:color="000000" w:sz="4" w:space="0"/>
            </w:tcBorders>
            <w:vAlign w:val="center"/>
          </w:tcPr>
          <w:p w14:paraId="56D134FF">
            <w:pPr>
              <w:widowControl/>
              <w:spacing w:line="276" w:lineRule="auto"/>
              <w:rPr>
                <w:i w:val="0"/>
                <w:iCs w:val="0"/>
                <w:color w:val="auto"/>
                <w:sz w:val="21"/>
                <w:szCs w:val="15"/>
                <w:highlight w:val="none"/>
              </w:rPr>
            </w:pPr>
            <w:r>
              <w:rPr>
                <w:rFonts w:hint="eastAsia"/>
                <w:i w:val="0"/>
                <w:iCs w:val="0"/>
                <w:color w:val="auto"/>
                <w:sz w:val="21"/>
                <w:szCs w:val="15"/>
                <w:highlight w:val="none"/>
              </w:rPr>
              <w:t>防火泥等</w:t>
            </w:r>
          </w:p>
        </w:tc>
      </w:tr>
    </w:tbl>
    <w:p w14:paraId="56D13501">
      <w:pPr>
        <w:pStyle w:val="4"/>
        <w:rPr>
          <w:i w:val="0"/>
          <w:iCs w:val="0"/>
          <w:color w:val="auto"/>
          <w:sz w:val="24"/>
          <w:szCs w:val="21"/>
          <w:highlight w:val="none"/>
        </w:rPr>
      </w:pPr>
      <w:bookmarkStart w:id="382" w:name="_Toc24095"/>
      <w:r>
        <w:rPr>
          <w:rFonts w:hint="eastAsia"/>
          <w:i w:val="0"/>
          <w:iCs w:val="0"/>
          <w:color w:val="auto"/>
          <w:sz w:val="24"/>
          <w:szCs w:val="21"/>
          <w:highlight w:val="none"/>
        </w:rPr>
        <w:t>维修作业管理系统主要设备材料表</w:t>
      </w:r>
      <w:bookmarkEnd w:id="382"/>
    </w:p>
    <w:p w14:paraId="56D13502">
      <w:pPr>
        <w:pStyle w:val="5"/>
        <w:ind w:left="0"/>
        <w:rPr>
          <w:i w:val="0"/>
          <w:iCs w:val="0"/>
          <w:color w:val="auto"/>
          <w:sz w:val="22"/>
          <w:szCs w:val="22"/>
          <w:highlight w:val="none"/>
        </w:rPr>
      </w:pPr>
      <w:bookmarkStart w:id="383" w:name="_Toc11813"/>
      <w:r>
        <w:rPr>
          <w:rFonts w:hint="eastAsia"/>
          <w:i w:val="0"/>
          <w:iCs w:val="0"/>
          <w:color w:val="auto"/>
          <w:sz w:val="22"/>
          <w:szCs w:val="22"/>
          <w:highlight w:val="none"/>
          <w:lang w:val="en-US"/>
        </w:rPr>
        <w:t>主要设备表</w:t>
      </w:r>
      <w:bookmarkEnd w:id="383"/>
    </w:p>
    <w:p w14:paraId="56D13503">
      <w:pPr>
        <w:spacing w:line="360" w:lineRule="auto"/>
        <w:rPr>
          <w:rFonts w:hint="eastAsia" w:ascii="宋体" w:hAnsi="宋体" w:eastAsia="宋体" w:cs="宋体"/>
          <w:i w:val="0"/>
          <w:iCs w:val="0"/>
          <w:color w:val="auto"/>
          <w:sz w:val="15"/>
          <w:szCs w:val="15"/>
          <w:highlight w:val="none"/>
        </w:rPr>
      </w:pPr>
    </w:p>
    <w:tbl>
      <w:tblPr>
        <w:tblStyle w:val="88"/>
        <w:tblW w:w="8039" w:type="dxa"/>
        <w:jc w:val="center"/>
        <w:tblLayout w:type="fixed"/>
        <w:tblCellMar>
          <w:top w:w="0" w:type="dxa"/>
          <w:left w:w="108" w:type="dxa"/>
          <w:bottom w:w="0" w:type="dxa"/>
          <w:right w:w="108" w:type="dxa"/>
        </w:tblCellMar>
      </w:tblPr>
      <w:tblGrid>
        <w:gridCol w:w="931"/>
        <w:gridCol w:w="2608"/>
        <w:gridCol w:w="709"/>
        <w:gridCol w:w="992"/>
        <w:gridCol w:w="2799"/>
      </w:tblGrid>
      <w:tr w14:paraId="56D13509">
        <w:tblPrEx>
          <w:tblCellMar>
            <w:top w:w="0" w:type="dxa"/>
            <w:left w:w="108" w:type="dxa"/>
            <w:bottom w:w="0" w:type="dxa"/>
            <w:right w:w="108" w:type="dxa"/>
          </w:tblCellMar>
        </w:tblPrEx>
        <w:trPr>
          <w:trHeight w:val="20" w:hRule="atLeast"/>
          <w:jc w:val="center"/>
        </w:trPr>
        <w:tc>
          <w:tcPr>
            <w:tcW w:w="931" w:type="dxa"/>
            <w:tcBorders>
              <w:top w:val="single" w:color="000000" w:sz="4" w:space="0"/>
              <w:left w:val="single" w:color="000000" w:sz="4" w:space="0"/>
              <w:bottom w:val="single" w:color="000000" w:sz="4" w:space="0"/>
              <w:right w:val="single" w:color="000000" w:sz="4" w:space="0"/>
            </w:tcBorders>
            <w:vAlign w:val="center"/>
          </w:tcPr>
          <w:p w14:paraId="56D1350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608" w:type="dxa"/>
            <w:tcBorders>
              <w:top w:val="single" w:color="000000" w:sz="4" w:space="0"/>
              <w:left w:val="nil"/>
              <w:bottom w:val="single" w:color="000000" w:sz="4" w:space="0"/>
              <w:right w:val="single" w:color="000000" w:sz="4" w:space="0"/>
            </w:tcBorders>
            <w:vAlign w:val="center"/>
          </w:tcPr>
          <w:p w14:paraId="56D1350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设备/功能模块名称</w:t>
            </w:r>
          </w:p>
        </w:tc>
        <w:tc>
          <w:tcPr>
            <w:tcW w:w="709" w:type="dxa"/>
            <w:tcBorders>
              <w:top w:val="single" w:color="000000" w:sz="4" w:space="0"/>
              <w:left w:val="nil"/>
              <w:bottom w:val="single" w:color="000000" w:sz="4" w:space="0"/>
              <w:right w:val="single" w:color="000000" w:sz="4" w:space="0"/>
            </w:tcBorders>
            <w:vAlign w:val="center"/>
          </w:tcPr>
          <w:p w14:paraId="56D1350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992" w:type="dxa"/>
            <w:tcBorders>
              <w:top w:val="single" w:color="000000" w:sz="4" w:space="0"/>
              <w:left w:val="nil"/>
              <w:bottom w:val="single" w:color="000000" w:sz="4" w:space="0"/>
              <w:right w:val="single" w:color="000000" w:sz="4" w:space="0"/>
            </w:tcBorders>
            <w:vAlign w:val="center"/>
          </w:tcPr>
          <w:p w14:paraId="56D1350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2799" w:type="dxa"/>
            <w:tcBorders>
              <w:top w:val="single" w:color="000000" w:sz="4" w:space="0"/>
              <w:left w:val="nil"/>
              <w:bottom w:val="nil"/>
              <w:right w:val="single" w:color="000000" w:sz="4" w:space="0"/>
            </w:tcBorders>
            <w:vAlign w:val="center"/>
          </w:tcPr>
          <w:p w14:paraId="56D13508">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50F">
        <w:tblPrEx>
          <w:tblCellMar>
            <w:top w:w="0" w:type="dxa"/>
            <w:left w:w="108" w:type="dxa"/>
            <w:bottom w:w="0" w:type="dxa"/>
            <w:right w:w="108" w:type="dxa"/>
          </w:tblCellMar>
        </w:tblPrEx>
        <w:trPr>
          <w:trHeight w:val="20" w:hRule="atLeast"/>
          <w:jc w:val="center"/>
        </w:trPr>
        <w:tc>
          <w:tcPr>
            <w:tcW w:w="931" w:type="dxa"/>
            <w:tcBorders>
              <w:top w:val="single" w:color="000000" w:sz="4" w:space="0"/>
              <w:left w:val="single" w:color="000000" w:sz="4" w:space="0"/>
              <w:bottom w:val="single" w:color="000000" w:sz="4" w:space="0"/>
              <w:right w:val="single" w:color="000000" w:sz="4" w:space="0"/>
            </w:tcBorders>
            <w:vAlign w:val="center"/>
          </w:tcPr>
          <w:p w14:paraId="56D1350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608" w:type="dxa"/>
            <w:tcBorders>
              <w:top w:val="nil"/>
              <w:left w:val="nil"/>
              <w:bottom w:val="single" w:color="000000" w:sz="4" w:space="0"/>
              <w:right w:val="single" w:color="000000" w:sz="4" w:space="0"/>
            </w:tcBorders>
            <w:vAlign w:val="center"/>
          </w:tcPr>
          <w:p w14:paraId="56D1350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蓝牙信标</w:t>
            </w:r>
          </w:p>
        </w:tc>
        <w:tc>
          <w:tcPr>
            <w:tcW w:w="709" w:type="dxa"/>
            <w:tcBorders>
              <w:top w:val="nil"/>
              <w:left w:val="nil"/>
              <w:bottom w:val="single" w:color="000000" w:sz="4" w:space="0"/>
              <w:right w:val="single" w:color="000000" w:sz="4" w:space="0"/>
            </w:tcBorders>
            <w:vAlign w:val="center"/>
          </w:tcPr>
          <w:p w14:paraId="56D1350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个</w:t>
            </w:r>
          </w:p>
        </w:tc>
        <w:tc>
          <w:tcPr>
            <w:tcW w:w="992" w:type="dxa"/>
            <w:tcBorders>
              <w:top w:val="single" w:color="000000" w:sz="4" w:space="0"/>
              <w:left w:val="nil"/>
              <w:bottom w:val="single" w:color="000000" w:sz="4" w:space="0"/>
              <w:right w:val="single" w:color="000000" w:sz="4" w:space="0"/>
            </w:tcBorders>
            <w:noWrap/>
            <w:vAlign w:val="center"/>
          </w:tcPr>
          <w:p w14:paraId="56D1350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6400</w:t>
            </w:r>
          </w:p>
        </w:tc>
        <w:tc>
          <w:tcPr>
            <w:tcW w:w="2799" w:type="dxa"/>
            <w:tcBorders>
              <w:top w:val="single" w:color="000000" w:sz="4" w:space="0"/>
              <w:left w:val="nil"/>
              <w:bottom w:val="single" w:color="000000" w:sz="4" w:space="0"/>
              <w:right w:val="single" w:color="000000" w:sz="4" w:space="0"/>
            </w:tcBorders>
            <w:vAlign w:val="center"/>
          </w:tcPr>
          <w:p w14:paraId="56D1350E">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15">
        <w:tblPrEx>
          <w:tblCellMar>
            <w:top w:w="0" w:type="dxa"/>
            <w:left w:w="108" w:type="dxa"/>
            <w:bottom w:w="0" w:type="dxa"/>
            <w:right w:w="108" w:type="dxa"/>
          </w:tblCellMar>
        </w:tblPrEx>
        <w:trPr>
          <w:trHeight w:val="20" w:hRule="atLeast"/>
          <w:jc w:val="center"/>
        </w:trPr>
        <w:tc>
          <w:tcPr>
            <w:tcW w:w="931" w:type="dxa"/>
            <w:tcBorders>
              <w:top w:val="single" w:color="000000" w:sz="4" w:space="0"/>
              <w:left w:val="single" w:color="000000" w:sz="4" w:space="0"/>
              <w:bottom w:val="single" w:color="000000" w:sz="4" w:space="0"/>
              <w:right w:val="single" w:color="000000" w:sz="4" w:space="0"/>
            </w:tcBorders>
            <w:vAlign w:val="center"/>
          </w:tcPr>
          <w:p w14:paraId="56D1351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608" w:type="dxa"/>
            <w:tcBorders>
              <w:top w:val="nil"/>
              <w:left w:val="nil"/>
              <w:bottom w:val="single" w:color="000000" w:sz="4" w:space="0"/>
              <w:right w:val="single" w:color="000000" w:sz="4" w:space="0"/>
            </w:tcBorders>
            <w:vAlign w:val="center"/>
          </w:tcPr>
          <w:p w14:paraId="56D1351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蓝牙工牌</w:t>
            </w:r>
          </w:p>
        </w:tc>
        <w:tc>
          <w:tcPr>
            <w:tcW w:w="709" w:type="dxa"/>
            <w:tcBorders>
              <w:top w:val="nil"/>
              <w:left w:val="nil"/>
              <w:bottom w:val="single" w:color="000000" w:sz="4" w:space="0"/>
              <w:right w:val="single" w:color="000000" w:sz="4" w:space="0"/>
            </w:tcBorders>
            <w:vAlign w:val="center"/>
          </w:tcPr>
          <w:p w14:paraId="56D1351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个</w:t>
            </w:r>
          </w:p>
        </w:tc>
        <w:tc>
          <w:tcPr>
            <w:tcW w:w="992" w:type="dxa"/>
            <w:tcBorders>
              <w:top w:val="single" w:color="000000" w:sz="4" w:space="0"/>
              <w:left w:val="nil"/>
              <w:bottom w:val="single" w:color="000000" w:sz="4" w:space="0"/>
              <w:right w:val="single" w:color="000000" w:sz="4" w:space="0"/>
            </w:tcBorders>
            <w:noWrap/>
            <w:vAlign w:val="center"/>
          </w:tcPr>
          <w:p w14:paraId="56D1351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1300</w:t>
            </w:r>
          </w:p>
        </w:tc>
        <w:tc>
          <w:tcPr>
            <w:tcW w:w="2799" w:type="dxa"/>
            <w:tcBorders>
              <w:top w:val="single" w:color="000000" w:sz="4" w:space="0"/>
              <w:left w:val="nil"/>
              <w:bottom w:val="single" w:color="000000" w:sz="4" w:space="0"/>
              <w:right w:val="single" w:color="000000" w:sz="4" w:space="0"/>
            </w:tcBorders>
            <w:vAlign w:val="center"/>
          </w:tcPr>
          <w:p w14:paraId="56D13514">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1B">
        <w:tblPrEx>
          <w:tblCellMar>
            <w:top w:w="0" w:type="dxa"/>
            <w:left w:w="108" w:type="dxa"/>
            <w:bottom w:w="0" w:type="dxa"/>
            <w:right w:w="108" w:type="dxa"/>
          </w:tblCellMar>
        </w:tblPrEx>
        <w:trPr>
          <w:trHeight w:val="20" w:hRule="atLeast"/>
          <w:jc w:val="center"/>
        </w:trPr>
        <w:tc>
          <w:tcPr>
            <w:tcW w:w="931" w:type="dxa"/>
            <w:tcBorders>
              <w:top w:val="single" w:color="000000" w:sz="4" w:space="0"/>
              <w:left w:val="single" w:color="000000" w:sz="4" w:space="0"/>
              <w:bottom w:val="single" w:color="000000" w:sz="4" w:space="0"/>
              <w:right w:val="single" w:color="000000" w:sz="4" w:space="0"/>
            </w:tcBorders>
            <w:vAlign w:val="center"/>
          </w:tcPr>
          <w:p w14:paraId="56D1351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608" w:type="dxa"/>
            <w:tcBorders>
              <w:top w:val="nil"/>
              <w:left w:val="nil"/>
              <w:bottom w:val="single" w:color="000000" w:sz="4" w:space="0"/>
              <w:right w:val="single" w:color="000000" w:sz="4" w:space="0"/>
            </w:tcBorders>
            <w:vAlign w:val="center"/>
          </w:tcPr>
          <w:p w14:paraId="56D1351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基站</w:t>
            </w:r>
          </w:p>
        </w:tc>
        <w:tc>
          <w:tcPr>
            <w:tcW w:w="709" w:type="dxa"/>
            <w:tcBorders>
              <w:top w:val="nil"/>
              <w:left w:val="nil"/>
              <w:bottom w:val="single" w:color="000000" w:sz="4" w:space="0"/>
              <w:right w:val="single" w:color="000000" w:sz="4" w:space="0"/>
            </w:tcBorders>
            <w:vAlign w:val="center"/>
          </w:tcPr>
          <w:p w14:paraId="56D1351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个</w:t>
            </w:r>
          </w:p>
        </w:tc>
        <w:tc>
          <w:tcPr>
            <w:tcW w:w="992" w:type="dxa"/>
            <w:tcBorders>
              <w:top w:val="single" w:color="000000" w:sz="4" w:space="0"/>
              <w:left w:val="nil"/>
              <w:bottom w:val="single" w:color="000000" w:sz="4" w:space="0"/>
              <w:right w:val="single" w:color="000000" w:sz="4" w:space="0"/>
            </w:tcBorders>
            <w:noWrap/>
            <w:vAlign w:val="center"/>
          </w:tcPr>
          <w:p w14:paraId="56D1351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150</w:t>
            </w:r>
          </w:p>
        </w:tc>
        <w:tc>
          <w:tcPr>
            <w:tcW w:w="2799" w:type="dxa"/>
            <w:tcBorders>
              <w:top w:val="single" w:color="000000" w:sz="4" w:space="0"/>
              <w:left w:val="nil"/>
              <w:bottom w:val="single" w:color="000000" w:sz="4" w:space="0"/>
              <w:right w:val="single" w:color="000000" w:sz="4" w:space="0"/>
            </w:tcBorders>
            <w:vAlign w:val="center"/>
          </w:tcPr>
          <w:p w14:paraId="56D1351A">
            <w:pPr>
              <w:widowControl/>
              <w:spacing w:line="276" w:lineRule="auto"/>
              <w:rPr>
                <w:i w:val="0"/>
                <w:iCs w:val="0"/>
                <w:color w:val="auto"/>
                <w:sz w:val="21"/>
                <w:szCs w:val="15"/>
                <w:highlight w:val="none"/>
              </w:rPr>
            </w:pPr>
            <w:r>
              <w:rPr>
                <w:rFonts w:hint="eastAsia"/>
                <w:i w:val="0"/>
                <w:iCs w:val="0"/>
                <w:color w:val="auto"/>
                <w:sz w:val="21"/>
                <w:szCs w:val="15"/>
                <w:highlight w:val="none"/>
              </w:rPr>
              <w:t>含充电套装及网关</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521">
        <w:tblPrEx>
          <w:tblCellMar>
            <w:top w:w="0" w:type="dxa"/>
            <w:left w:w="108" w:type="dxa"/>
            <w:bottom w:w="0" w:type="dxa"/>
            <w:right w:w="108" w:type="dxa"/>
          </w:tblCellMar>
        </w:tblPrEx>
        <w:trPr>
          <w:trHeight w:val="20" w:hRule="atLeast"/>
          <w:jc w:val="center"/>
        </w:trPr>
        <w:tc>
          <w:tcPr>
            <w:tcW w:w="931" w:type="dxa"/>
            <w:tcBorders>
              <w:top w:val="single" w:color="000000" w:sz="4" w:space="0"/>
              <w:left w:val="single" w:color="000000" w:sz="4" w:space="0"/>
              <w:bottom w:val="single" w:color="000000" w:sz="4" w:space="0"/>
              <w:right w:val="single" w:color="000000" w:sz="4" w:space="0"/>
            </w:tcBorders>
            <w:vAlign w:val="center"/>
          </w:tcPr>
          <w:p w14:paraId="56D1351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2608" w:type="dxa"/>
            <w:tcBorders>
              <w:top w:val="nil"/>
              <w:left w:val="nil"/>
              <w:bottom w:val="single" w:color="000000" w:sz="4" w:space="0"/>
              <w:right w:val="single" w:color="000000" w:sz="4" w:space="0"/>
            </w:tcBorders>
            <w:vAlign w:val="center"/>
          </w:tcPr>
          <w:p w14:paraId="56D1351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交换机</w:t>
            </w:r>
          </w:p>
        </w:tc>
        <w:tc>
          <w:tcPr>
            <w:tcW w:w="709" w:type="dxa"/>
            <w:tcBorders>
              <w:top w:val="nil"/>
              <w:left w:val="nil"/>
              <w:bottom w:val="single" w:color="000000" w:sz="4" w:space="0"/>
              <w:right w:val="single" w:color="000000" w:sz="4" w:space="0"/>
            </w:tcBorders>
            <w:vAlign w:val="center"/>
          </w:tcPr>
          <w:p w14:paraId="56D1351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个</w:t>
            </w:r>
          </w:p>
        </w:tc>
        <w:tc>
          <w:tcPr>
            <w:tcW w:w="992" w:type="dxa"/>
            <w:tcBorders>
              <w:top w:val="single" w:color="000000" w:sz="4" w:space="0"/>
              <w:left w:val="nil"/>
              <w:bottom w:val="single" w:color="000000" w:sz="4" w:space="0"/>
              <w:right w:val="single" w:color="000000" w:sz="4" w:space="0"/>
            </w:tcBorders>
            <w:noWrap/>
            <w:vAlign w:val="center"/>
          </w:tcPr>
          <w:p w14:paraId="56D1351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150</w:t>
            </w:r>
          </w:p>
        </w:tc>
        <w:tc>
          <w:tcPr>
            <w:tcW w:w="2799" w:type="dxa"/>
            <w:tcBorders>
              <w:top w:val="single" w:color="000000" w:sz="4" w:space="0"/>
              <w:left w:val="nil"/>
              <w:bottom w:val="single" w:color="000000" w:sz="4" w:space="0"/>
              <w:right w:val="single" w:color="000000" w:sz="4" w:space="0"/>
            </w:tcBorders>
            <w:vAlign w:val="center"/>
          </w:tcPr>
          <w:p w14:paraId="56D13520">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27">
        <w:tblPrEx>
          <w:tblCellMar>
            <w:top w:w="0" w:type="dxa"/>
            <w:left w:w="108" w:type="dxa"/>
            <w:bottom w:w="0" w:type="dxa"/>
            <w:right w:w="108" w:type="dxa"/>
          </w:tblCellMar>
        </w:tblPrEx>
        <w:trPr>
          <w:trHeight w:val="20" w:hRule="atLeast"/>
          <w:jc w:val="center"/>
        </w:trPr>
        <w:tc>
          <w:tcPr>
            <w:tcW w:w="931" w:type="dxa"/>
            <w:tcBorders>
              <w:top w:val="single" w:color="000000" w:sz="4" w:space="0"/>
              <w:left w:val="single" w:color="000000" w:sz="4" w:space="0"/>
              <w:bottom w:val="single" w:color="000000" w:sz="4" w:space="0"/>
              <w:right w:val="single" w:color="000000" w:sz="4" w:space="0"/>
            </w:tcBorders>
            <w:vAlign w:val="center"/>
          </w:tcPr>
          <w:p w14:paraId="56D1352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2608" w:type="dxa"/>
            <w:tcBorders>
              <w:top w:val="nil"/>
              <w:left w:val="nil"/>
              <w:bottom w:val="single" w:color="000000" w:sz="4" w:space="0"/>
              <w:right w:val="single" w:color="000000" w:sz="4" w:space="0"/>
            </w:tcBorders>
            <w:vAlign w:val="center"/>
          </w:tcPr>
          <w:p w14:paraId="56D1352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系统软件</w:t>
            </w:r>
          </w:p>
        </w:tc>
        <w:tc>
          <w:tcPr>
            <w:tcW w:w="709" w:type="dxa"/>
            <w:tcBorders>
              <w:top w:val="nil"/>
              <w:left w:val="nil"/>
              <w:bottom w:val="single" w:color="000000" w:sz="4" w:space="0"/>
              <w:right w:val="single" w:color="000000" w:sz="4" w:space="0"/>
            </w:tcBorders>
            <w:vAlign w:val="center"/>
          </w:tcPr>
          <w:p w14:paraId="56D1352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992" w:type="dxa"/>
            <w:tcBorders>
              <w:top w:val="single" w:color="000000" w:sz="4" w:space="0"/>
              <w:left w:val="nil"/>
              <w:bottom w:val="single" w:color="000000" w:sz="4" w:space="0"/>
              <w:right w:val="single" w:color="000000" w:sz="4" w:space="0"/>
            </w:tcBorders>
            <w:noWrap/>
            <w:vAlign w:val="center"/>
          </w:tcPr>
          <w:p w14:paraId="56D1352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799" w:type="dxa"/>
            <w:tcBorders>
              <w:top w:val="single" w:color="000000" w:sz="4" w:space="0"/>
              <w:left w:val="nil"/>
              <w:bottom w:val="single" w:color="000000" w:sz="4" w:space="0"/>
              <w:right w:val="single" w:color="000000" w:sz="4" w:space="0"/>
            </w:tcBorders>
            <w:vAlign w:val="center"/>
          </w:tcPr>
          <w:p w14:paraId="56D13526">
            <w:pPr>
              <w:widowControl/>
              <w:spacing w:line="276" w:lineRule="auto"/>
              <w:rPr>
                <w:i w:val="0"/>
                <w:iCs w:val="0"/>
                <w:color w:val="auto"/>
                <w:sz w:val="21"/>
                <w:szCs w:val="15"/>
                <w:highlight w:val="none"/>
              </w:rPr>
            </w:pPr>
            <w:r>
              <w:rPr>
                <w:rFonts w:hint="eastAsia"/>
                <w:i w:val="0"/>
                <w:iCs w:val="0"/>
                <w:color w:val="auto"/>
                <w:sz w:val="21"/>
                <w:szCs w:val="15"/>
                <w:highlight w:val="none"/>
              </w:rPr>
              <w:t>含人员定位算法</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52D">
        <w:tblPrEx>
          <w:tblCellMar>
            <w:top w:w="0" w:type="dxa"/>
            <w:left w:w="108" w:type="dxa"/>
            <w:bottom w:w="0" w:type="dxa"/>
            <w:right w:w="108" w:type="dxa"/>
          </w:tblCellMar>
        </w:tblPrEx>
        <w:trPr>
          <w:trHeight w:val="20" w:hRule="atLeast"/>
          <w:jc w:val="center"/>
        </w:trPr>
        <w:tc>
          <w:tcPr>
            <w:tcW w:w="931" w:type="dxa"/>
            <w:tcBorders>
              <w:top w:val="single" w:color="000000" w:sz="4" w:space="0"/>
              <w:left w:val="single" w:color="000000" w:sz="4" w:space="0"/>
              <w:bottom w:val="single" w:color="000000" w:sz="4" w:space="0"/>
              <w:right w:val="single" w:color="000000" w:sz="4" w:space="0"/>
            </w:tcBorders>
            <w:vAlign w:val="center"/>
          </w:tcPr>
          <w:p w14:paraId="56D1352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2608" w:type="dxa"/>
            <w:tcBorders>
              <w:top w:val="nil"/>
              <w:left w:val="nil"/>
              <w:bottom w:val="single" w:color="000000" w:sz="4" w:space="0"/>
              <w:right w:val="single" w:color="000000" w:sz="4" w:space="0"/>
            </w:tcBorders>
            <w:vAlign w:val="center"/>
          </w:tcPr>
          <w:p w14:paraId="56D1352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大模型智能运维助手</w:t>
            </w:r>
          </w:p>
        </w:tc>
        <w:tc>
          <w:tcPr>
            <w:tcW w:w="709" w:type="dxa"/>
            <w:tcBorders>
              <w:top w:val="nil"/>
              <w:left w:val="nil"/>
              <w:bottom w:val="single" w:color="000000" w:sz="4" w:space="0"/>
              <w:right w:val="single" w:color="000000" w:sz="4" w:space="0"/>
            </w:tcBorders>
            <w:vAlign w:val="center"/>
          </w:tcPr>
          <w:p w14:paraId="56D1352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项</w:t>
            </w:r>
          </w:p>
        </w:tc>
        <w:tc>
          <w:tcPr>
            <w:tcW w:w="992" w:type="dxa"/>
            <w:tcBorders>
              <w:top w:val="single" w:color="000000" w:sz="4" w:space="0"/>
              <w:left w:val="nil"/>
              <w:bottom w:val="single" w:color="000000" w:sz="4" w:space="0"/>
              <w:right w:val="single" w:color="000000" w:sz="4" w:space="0"/>
            </w:tcBorders>
            <w:noWrap/>
            <w:vAlign w:val="center"/>
          </w:tcPr>
          <w:p w14:paraId="56D1352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799" w:type="dxa"/>
            <w:tcBorders>
              <w:top w:val="single" w:color="000000" w:sz="4" w:space="0"/>
              <w:left w:val="nil"/>
              <w:bottom w:val="single" w:color="000000" w:sz="4" w:space="0"/>
              <w:right w:val="single" w:color="000000" w:sz="4" w:space="0"/>
            </w:tcBorders>
            <w:vAlign w:val="center"/>
          </w:tcPr>
          <w:p w14:paraId="56D1352C">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软件。</w:t>
            </w:r>
          </w:p>
        </w:tc>
      </w:tr>
    </w:tbl>
    <w:p w14:paraId="56D1352E">
      <w:pPr>
        <w:pStyle w:val="5"/>
        <w:ind w:left="0"/>
        <w:rPr>
          <w:i w:val="0"/>
          <w:iCs w:val="0"/>
          <w:color w:val="auto"/>
          <w:sz w:val="22"/>
          <w:szCs w:val="22"/>
          <w:highlight w:val="none"/>
          <w:lang w:val="en-US"/>
        </w:rPr>
      </w:pPr>
      <w:bookmarkStart w:id="384" w:name="_Toc4369"/>
      <w:r>
        <w:rPr>
          <w:rFonts w:hint="eastAsia"/>
          <w:i w:val="0"/>
          <w:iCs w:val="0"/>
          <w:color w:val="auto"/>
          <w:sz w:val="22"/>
          <w:szCs w:val="22"/>
          <w:highlight w:val="none"/>
          <w:lang w:val="en-US"/>
        </w:rPr>
        <w:t>主要材料表</w:t>
      </w:r>
      <w:bookmarkEnd w:id="384"/>
    </w:p>
    <w:tbl>
      <w:tblPr>
        <w:tblStyle w:val="88"/>
        <w:tblW w:w="7988" w:type="dxa"/>
        <w:jc w:val="center"/>
        <w:tblLayout w:type="fixed"/>
        <w:tblCellMar>
          <w:top w:w="0" w:type="dxa"/>
          <w:left w:w="108" w:type="dxa"/>
          <w:bottom w:w="0" w:type="dxa"/>
          <w:right w:w="108" w:type="dxa"/>
        </w:tblCellMar>
      </w:tblPr>
      <w:tblGrid>
        <w:gridCol w:w="769"/>
        <w:gridCol w:w="2060"/>
        <w:gridCol w:w="690"/>
        <w:gridCol w:w="910"/>
        <w:gridCol w:w="3559"/>
      </w:tblGrid>
      <w:tr w14:paraId="56D13534">
        <w:tblPrEx>
          <w:tblCellMar>
            <w:top w:w="0" w:type="dxa"/>
            <w:left w:w="108" w:type="dxa"/>
            <w:bottom w:w="0" w:type="dxa"/>
            <w:right w:w="108" w:type="dxa"/>
          </w:tblCellMar>
        </w:tblPrEx>
        <w:trPr>
          <w:trHeight w:val="20" w:hRule="atLeast"/>
          <w:jc w:val="center"/>
        </w:trPr>
        <w:tc>
          <w:tcPr>
            <w:tcW w:w="769" w:type="dxa"/>
            <w:tcBorders>
              <w:top w:val="single" w:color="000000" w:sz="4" w:space="0"/>
              <w:left w:val="single" w:color="000000" w:sz="4" w:space="0"/>
              <w:bottom w:val="single" w:color="000000" w:sz="4" w:space="0"/>
              <w:right w:val="single" w:color="000000" w:sz="4" w:space="0"/>
            </w:tcBorders>
            <w:vAlign w:val="center"/>
          </w:tcPr>
          <w:p w14:paraId="56D1352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060" w:type="dxa"/>
            <w:tcBorders>
              <w:top w:val="single" w:color="000000" w:sz="4" w:space="0"/>
              <w:left w:val="nil"/>
              <w:bottom w:val="single" w:color="000000" w:sz="4" w:space="0"/>
              <w:right w:val="single" w:color="000000" w:sz="4" w:space="0"/>
            </w:tcBorders>
            <w:vAlign w:val="center"/>
          </w:tcPr>
          <w:p w14:paraId="56D1353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690" w:type="dxa"/>
            <w:tcBorders>
              <w:top w:val="single" w:color="000000" w:sz="4" w:space="0"/>
              <w:left w:val="nil"/>
              <w:bottom w:val="single" w:color="000000" w:sz="4" w:space="0"/>
              <w:right w:val="single" w:color="000000" w:sz="4" w:space="0"/>
            </w:tcBorders>
            <w:vAlign w:val="center"/>
          </w:tcPr>
          <w:p w14:paraId="56D1353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910" w:type="dxa"/>
            <w:tcBorders>
              <w:top w:val="single" w:color="000000" w:sz="4" w:space="0"/>
              <w:left w:val="nil"/>
              <w:bottom w:val="single" w:color="000000" w:sz="4" w:space="0"/>
              <w:right w:val="single" w:color="000000" w:sz="4" w:space="0"/>
            </w:tcBorders>
            <w:vAlign w:val="center"/>
          </w:tcPr>
          <w:p w14:paraId="56D1353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559" w:type="dxa"/>
            <w:tcBorders>
              <w:top w:val="single" w:color="000000" w:sz="4" w:space="0"/>
              <w:left w:val="nil"/>
              <w:bottom w:val="nil"/>
              <w:right w:val="single" w:color="000000" w:sz="4" w:space="0"/>
            </w:tcBorders>
            <w:vAlign w:val="center"/>
          </w:tcPr>
          <w:p w14:paraId="56D13533">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53A">
        <w:tblPrEx>
          <w:tblCellMar>
            <w:top w:w="0" w:type="dxa"/>
            <w:left w:w="108" w:type="dxa"/>
            <w:bottom w:w="0" w:type="dxa"/>
            <w:right w:w="108" w:type="dxa"/>
          </w:tblCellMar>
        </w:tblPrEx>
        <w:trPr>
          <w:trHeight w:val="20" w:hRule="atLeast"/>
          <w:jc w:val="center"/>
        </w:trPr>
        <w:tc>
          <w:tcPr>
            <w:tcW w:w="769" w:type="dxa"/>
            <w:tcBorders>
              <w:top w:val="single" w:color="000000" w:sz="4" w:space="0"/>
              <w:left w:val="single" w:color="000000" w:sz="4" w:space="0"/>
              <w:bottom w:val="single" w:color="000000" w:sz="4" w:space="0"/>
              <w:right w:val="single" w:color="000000" w:sz="4" w:space="0"/>
            </w:tcBorders>
            <w:vAlign w:val="center"/>
          </w:tcPr>
          <w:p w14:paraId="56D1353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060" w:type="dxa"/>
            <w:tcBorders>
              <w:top w:val="nil"/>
              <w:left w:val="nil"/>
              <w:bottom w:val="single" w:color="000000" w:sz="4" w:space="0"/>
              <w:right w:val="single" w:color="000000" w:sz="4" w:space="0"/>
            </w:tcBorders>
            <w:vAlign w:val="center"/>
          </w:tcPr>
          <w:p w14:paraId="56D1353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超五类屏蔽双绞线</w:t>
            </w:r>
          </w:p>
        </w:tc>
        <w:tc>
          <w:tcPr>
            <w:tcW w:w="690" w:type="dxa"/>
            <w:tcBorders>
              <w:top w:val="nil"/>
              <w:left w:val="nil"/>
              <w:bottom w:val="single" w:color="000000" w:sz="4" w:space="0"/>
              <w:right w:val="single" w:color="000000" w:sz="4" w:space="0"/>
            </w:tcBorders>
            <w:vAlign w:val="center"/>
          </w:tcPr>
          <w:p w14:paraId="56D1353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910" w:type="dxa"/>
            <w:tcBorders>
              <w:top w:val="single" w:color="000000" w:sz="4" w:space="0"/>
              <w:left w:val="nil"/>
              <w:bottom w:val="single" w:color="000000" w:sz="4" w:space="0"/>
              <w:right w:val="single" w:color="000000" w:sz="4" w:space="0"/>
            </w:tcBorders>
            <w:noWrap/>
            <w:vAlign w:val="center"/>
          </w:tcPr>
          <w:p w14:paraId="56D1353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2000</w:t>
            </w:r>
          </w:p>
        </w:tc>
        <w:tc>
          <w:tcPr>
            <w:tcW w:w="3559" w:type="dxa"/>
            <w:tcBorders>
              <w:top w:val="single" w:color="000000" w:sz="4" w:space="0"/>
              <w:left w:val="nil"/>
              <w:bottom w:val="single" w:color="000000" w:sz="4" w:space="0"/>
              <w:right w:val="single" w:color="000000" w:sz="4" w:space="0"/>
            </w:tcBorders>
            <w:vAlign w:val="center"/>
          </w:tcPr>
          <w:p w14:paraId="56D13539">
            <w:pPr>
              <w:widowControl/>
              <w:spacing w:line="276" w:lineRule="auto"/>
              <w:rPr>
                <w:i w:val="0"/>
                <w:iCs w:val="0"/>
                <w:color w:val="auto"/>
                <w:sz w:val="21"/>
                <w:szCs w:val="15"/>
                <w:highlight w:val="none"/>
              </w:rPr>
            </w:pPr>
            <w:r>
              <w:rPr>
                <w:rFonts w:hint="eastAsia"/>
                <w:i w:val="0"/>
                <w:iCs w:val="0"/>
                <w:color w:val="auto"/>
                <w:sz w:val="21"/>
                <w:szCs w:val="15"/>
                <w:highlight w:val="none"/>
              </w:rPr>
              <w:t>低烟无卤阻燃，燃烧性能满足B1级</w:t>
            </w:r>
          </w:p>
        </w:tc>
      </w:tr>
    </w:tbl>
    <w:p w14:paraId="16EE00A5">
      <w:pPr>
        <w:spacing w:line="360" w:lineRule="auto"/>
        <w:rPr>
          <w:rFonts w:hint="eastAsia" w:ascii="宋体" w:hAnsi="宋体" w:eastAsia="宋体"/>
          <w:i w:val="0"/>
          <w:iCs w:val="0"/>
          <w:color w:val="auto"/>
          <w:sz w:val="15"/>
          <w:szCs w:val="15"/>
          <w:highlight w:val="none"/>
        </w:rPr>
        <w:sectPr>
          <w:footerReference r:id="rId7" w:type="default"/>
          <w:pgSz w:w="12240" w:h="15840"/>
          <w:pgMar w:top="1440" w:right="1800" w:bottom="1440" w:left="1800" w:header="720" w:footer="720" w:gutter="0"/>
          <w:pgBorders>
            <w:top w:val="none" w:sz="0" w:space="0"/>
            <w:left w:val="none" w:sz="0" w:space="0"/>
            <w:bottom w:val="none" w:sz="0" w:space="0"/>
            <w:right w:val="none" w:sz="0" w:space="0"/>
          </w:pgBorders>
          <w:pgNumType w:fmt="decimal" w:start="1"/>
          <w:cols w:space="720" w:num="1"/>
        </w:sectPr>
      </w:pPr>
    </w:p>
    <w:p w14:paraId="56D1353C">
      <w:pPr>
        <w:pStyle w:val="4"/>
        <w:rPr>
          <w:i w:val="0"/>
          <w:iCs w:val="0"/>
          <w:color w:val="auto"/>
          <w:sz w:val="24"/>
          <w:szCs w:val="21"/>
          <w:highlight w:val="none"/>
        </w:rPr>
      </w:pPr>
      <w:bookmarkStart w:id="385" w:name="_Toc385"/>
      <w:r>
        <w:rPr>
          <w:rFonts w:hint="eastAsia"/>
          <w:i w:val="0"/>
          <w:iCs w:val="0"/>
          <w:color w:val="auto"/>
          <w:sz w:val="24"/>
          <w:szCs w:val="21"/>
          <w:highlight w:val="none"/>
        </w:rPr>
        <w:t>云平台主要设备材料表</w:t>
      </w:r>
      <w:bookmarkEnd w:id="385"/>
    </w:p>
    <w:p w14:paraId="56D1353D">
      <w:pPr>
        <w:pStyle w:val="5"/>
        <w:ind w:left="0"/>
        <w:rPr>
          <w:i w:val="0"/>
          <w:iCs w:val="0"/>
          <w:color w:val="auto"/>
          <w:sz w:val="22"/>
          <w:szCs w:val="22"/>
          <w:highlight w:val="none"/>
        </w:rPr>
      </w:pPr>
      <w:bookmarkStart w:id="386" w:name="_Toc28168"/>
      <w:r>
        <w:rPr>
          <w:rFonts w:hint="eastAsia"/>
          <w:i w:val="0"/>
          <w:iCs w:val="0"/>
          <w:color w:val="auto"/>
          <w:sz w:val="22"/>
          <w:szCs w:val="22"/>
          <w:highlight w:val="none"/>
        </w:rPr>
        <w:t>主要设备表</w:t>
      </w:r>
      <w:bookmarkEnd w:id="386"/>
    </w:p>
    <w:p w14:paraId="56D1353E">
      <w:pPr>
        <w:pStyle w:val="6"/>
        <w:ind w:left="0"/>
        <w:rPr>
          <w:i w:val="0"/>
          <w:iCs w:val="0"/>
          <w:color w:val="auto"/>
          <w:sz w:val="21"/>
          <w:szCs w:val="21"/>
          <w:highlight w:val="none"/>
        </w:rPr>
      </w:pPr>
      <w:r>
        <w:rPr>
          <w:rFonts w:hint="eastAsia"/>
          <w:i w:val="0"/>
          <w:iCs w:val="0"/>
          <w:color w:val="auto"/>
          <w:sz w:val="21"/>
          <w:szCs w:val="21"/>
          <w:highlight w:val="none"/>
        </w:rPr>
        <w:t>生产网云资源主要设备表</w:t>
      </w:r>
    </w:p>
    <w:tbl>
      <w:tblPr>
        <w:tblStyle w:val="88"/>
        <w:tblW w:w="8138" w:type="dxa"/>
        <w:jc w:val="center"/>
        <w:tblLayout w:type="fixed"/>
        <w:tblCellMar>
          <w:top w:w="0" w:type="dxa"/>
          <w:left w:w="108" w:type="dxa"/>
          <w:bottom w:w="0" w:type="dxa"/>
          <w:right w:w="108" w:type="dxa"/>
        </w:tblCellMar>
      </w:tblPr>
      <w:tblGrid>
        <w:gridCol w:w="707"/>
        <w:gridCol w:w="2093"/>
        <w:gridCol w:w="637"/>
        <w:gridCol w:w="690"/>
        <w:gridCol w:w="4011"/>
      </w:tblGrid>
      <w:tr w14:paraId="56D13544">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vAlign w:val="center"/>
          </w:tcPr>
          <w:p w14:paraId="56D1353F">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2093" w:type="dxa"/>
            <w:tcBorders>
              <w:top w:val="single" w:color="000000" w:sz="4" w:space="0"/>
              <w:left w:val="nil"/>
              <w:bottom w:val="single" w:color="000000" w:sz="4" w:space="0"/>
              <w:right w:val="single" w:color="000000" w:sz="4" w:space="0"/>
            </w:tcBorders>
            <w:vAlign w:val="center"/>
          </w:tcPr>
          <w:p w14:paraId="56D13540">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637" w:type="dxa"/>
            <w:tcBorders>
              <w:top w:val="single" w:color="000000" w:sz="4" w:space="0"/>
              <w:left w:val="nil"/>
              <w:bottom w:val="single" w:color="000000" w:sz="4" w:space="0"/>
              <w:right w:val="single" w:color="000000" w:sz="4" w:space="0"/>
            </w:tcBorders>
            <w:vAlign w:val="center"/>
          </w:tcPr>
          <w:p w14:paraId="56D13541">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690" w:type="dxa"/>
            <w:tcBorders>
              <w:top w:val="single" w:color="000000" w:sz="4" w:space="0"/>
              <w:left w:val="nil"/>
              <w:bottom w:val="single" w:color="000000" w:sz="4" w:space="0"/>
              <w:right w:val="single" w:color="000000" w:sz="4" w:space="0"/>
            </w:tcBorders>
            <w:vAlign w:val="center"/>
          </w:tcPr>
          <w:p w14:paraId="56D13542">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4011" w:type="dxa"/>
            <w:tcBorders>
              <w:top w:val="single" w:color="000000" w:sz="4" w:space="0"/>
              <w:left w:val="nil"/>
              <w:bottom w:val="nil"/>
              <w:right w:val="single" w:color="000000" w:sz="4" w:space="0"/>
            </w:tcBorders>
            <w:vAlign w:val="center"/>
          </w:tcPr>
          <w:p w14:paraId="56D13543">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54A">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noWrap/>
            <w:vAlign w:val="center"/>
          </w:tcPr>
          <w:p w14:paraId="56D13545">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2093" w:type="dxa"/>
            <w:tcBorders>
              <w:top w:val="single" w:color="000000" w:sz="4" w:space="0"/>
              <w:left w:val="nil"/>
              <w:bottom w:val="single" w:color="000000" w:sz="4" w:space="0"/>
              <w:right w:val="single" w:color="000000" w:sz="4" w:space="0"/>
            </w:tcBorders>
            <w:shd w:val="clear" w:color="auto" w:fill="auto"/>
            <w:noWrap/>
            <w:vAlign w:val="center"/>
          </w:tcPr>
          <w:p w14:paraId="56D13546">
            <w:pPr>
              <w:widowControl/>
              <w:spacing w:line="276" w:lineRule="auto"/>
              <w:rPr>
                <w:i w:val="0"/>
                <w:iCs w:val="0"/>
                <w:color w:val="auto"/>
                <w:sz w:val="21"/>
                <w:szCs w:val="15"/>
                <w:highlight w:val="none"/>
              </w:rPr>
            </w:pPr>
            <w:r>
              <w:rPr>
                <w:rFonts w:hint="eastAsia"/>
                <w:i w:val="0"/>
                <w:iCs w:val="0"/>
                <w:color w:val="auto"/>
                <w:sz w:val="21"/>
                <w:szCs w:val="15"/>
                <w:highlight w:val="none"/>
              </w:rPr>
              <w:t>既有大数据平台存储设备扩容</w:t>
            </w:r>
          </w:p>
        </w:tc>
        <w:tc>
          <w:tcPr>
            <w:tcW w:w="637" w:type="dxa"/>
            <w:tcBorders>
              <w:top w:val="single" w:color="000000" w:sz="4" w:space="0"/>
              <w:left w:val="nil"/>
              <w:bottom w:val="single" w:color="000000" w:sz="4" w:space="0"/>
              <w:right w:val="single" w:color="000000" w:sz="4" w:space="0"/>
            </w:tcBorders>
            <w:shd w:val="clear" w:color="auto" w:fill="auto"/>
            <w:noWrap/>
            <w:vAlign w:val="center"/>
          </w:tcPr>
          <w:p w14:paraId="56D1354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shd w:val="clear" w:color="auto" w:fill="auto"/>
            <w:noWrap/>
            <w:vAlign w:val="center"/>
          </w:tcPr>
          <w:p w14:paraId="56D1354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shd w:val="clear" w:color="auto" w:fill="auto"/>
            <w:vAlign w:val="center"/>
          </w:tcPr>
          <w:p w14:paraId="56D13549">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既有二控大数据平台数据扩容，需在原有存储设备上增加磁盘空间，20T</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550">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noWrap/>
            <w:vAlign w:val="center"/>
          </w:tcPr>
          <w:p w14:paraId="56D1354B">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2093" w:type="dxa"/>
            <w:tcBorders>
              <w:top w:val="single" w:color="000000" w:sz="4" w:space="0"/>
              <w:left w:val="nil"/>
              <w:bottom w:val="single" w:color="000000" w:sz="4" w:space="0"/>
              <w:right w:val="single" w:color="000000" w:sz="4" w:space="0"/>
            </w:tcBorders>
            <w:shd w:val="clear" w:color="auto" w:fill="auto"/>
            <w:vAlign w:val="center"/>
          </w:tcPr>
          <w:p w14:paraId="56D1354C">
            <w:pPr>
              <w:widowControl/>
              <w:spacing w:line="276" w:lineRule="auto"/>
              <w:rPr>
                <w:i w:val="0"/>
                <w:iCs w:val="0"/>
                <w:color w:val="auto"/>
                <w:sz w:val="21"/>
                <w:szCs w:val="15"/>
                <w:highlight w:val="none"/>
              </w:rPr>
            </w:pPr>
            <w:r>
              <w:rPr>
                <w:rFonts w:hint="eastAsia"/>
                <w:i w:val="0"/>
                <w:iCs w:val="0"/>
                <w:color w:val="auto"/>
                <w:sz w:val="21"/>
                <w:szCs w:val="15"/>
                <w:highlight w:val="none"/>
              </w:rPr>
              <w:t>业务应用服务器</w:t>
            </w:r>
          </w:p>
        </w:tc>
        <w:tc>
          <w:tcPr>
            <w:tcW w:w="637" w:type="dxa"/>
            <w:tcBorders>
              <w:top w:val="single" w:color="000000" w:sz="4" w:space="0"/>
              <w:left w:val="nil"/>
              <w:bottom w:val="single" w:color="000000" w:sz="4" w:space="0"/>
              <w:right w:val="single" w:color="000000" w:sz="4" w:space="0"/>
            </w:tcBorders>
            <w:shd w:val="clear" w:color="auto" w:fill="auto"/>
            <w:noWrap/>
            <w:vAlign w:val="center"/>
          </w:tcPr>
          <w:p w14:paraId="56D1354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690" w:type="dxa"/>
            <w:tcBorders>
              <w:top w:val="single" w:color="000000" w:sz="4" w:space="0"/>
              <w:left w:val="nil"/>
              <w:bottom w:val="single" w:color="000000" w:sz="4" w:space="0"/>
              <w:right w:val="single" w:color="000000" w:sz="4" w:space="0"/>
            </w:tcBorders>
            <w:shd w:val="clear" w:color="auto" w:fill="auto"/>
            <w:vAlign w:val="center"/>
          </w:tcPr>
          <w:p w14:paraId="56D1354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4011" w:type="dxa"/>
            <w:tcBorders>
              <w:top w:val="single" w:color="000000" w:sz="4" w:space="0"/>
              <w:left w:val="nil"/>
              <w:bottom w:val="single" w:color="000000" w:sz="4" w:space="0"/>
              <w:right w:val="single" w:color="000000" w:sz="4" w:space="0"/>
            </w:tcBorders>
            <w:noWrap/>
            <w:vAlign w:val="center"/>
          </w:tcPr>
          <w:p w14:paraId="56D1354F">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57">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noWrap/>
            <w:vAlign w:val="center"/>
          </w:tcPr>
          <w:p w14:paraId="56D13551">
            <w:pPr>
              <w:widowControl/>
              <w:spacing w:line="276" w:lineRule="auto"/>
              <w:rPr>
                <w:i w:val="0"/>
                <w:iCs w:val="0"/>
                <w:color w:val="auto"/>
                <w:sz w:val="21"/>
                <w:szCs w:val="15"/>
                <w:highlight w:val="none"/>
              </w:rPr>
            </w:pPr>
            <w:r>
              <w:rPr>
                <w:rFonts w:hint="eastAsia"/>
                <w:i w:val="0"/>
                <w:iCs w:val="0"/>
                <w:color w:val="auto"/>
                <w:sz w:val="21"/>
                <w:szCs w:val="15"/>
                <w:highlight w:val="none"/>
              </w:rPr>
              <w:t>3</w:t>
            </w:r>
          </w:p>
        </w:tc>
        <w:tc>
          <w:tcPr>
            <w:tcW w:w="2093" w:type="dxa"/>
            <w:tcBorders>
              <w:top w:val="single" w:color="000000" w:sz="4" w:space="0"/>
              <w:left w:val="nil"/>
              <w:bottom w:val="single" w:color="000000" w:sz="4" w:space="0"/>
              <w:right w:val="single" w:color="000000" w:sz="4" w:space="0"/>
            </w:tcBorders>
            <w:shd w:val="clear" w:color="auto" w:fill="auto"/>
            <w:vAlign w:val="center"/>
          </w:tcPr>
          <w:p w14:paraId="56D13552">
            <w:pPr>
              <w:widowControl/>
              <w:spacing w:line="276" w:lineRule="auto"/>
              <w:rPr>
                <w:i w:val="0"/>
                <w:iCs w:val="0"/>
                <w:color w:val="auto"/>
                <w:sz w:val="21"/>
                <w:szCs w:val="15"/>
                <w:highlight w:val="none"/>
              </w:rPr>
            </w:pPr>
            <w:r>
              <w:rPr>
                <w:rFonts w:hint="eastAsia"/>
                <w:i w:val="0"/>
                <w:iCs w:val="0"/>
                <w:color w:val="auto"/>
                <w:sz w:val="21"/>
                <w:szCs w:val="15"/>
                <w:highlight w:val="none"/>
              </w:rPr>
              <w:t>集中存储</w:t>
            </w:r>
          </w:p>
        </w:tc>
        <w:tc>
          <w:tcPr>
            <w:tcW w:w="637" w:type="dxa"/>
            <w:tcBorders>
              <w:top w:val="single" w:color="000000" w:sz="4" w:space="0"/>
              <w:left w:val="nil"/>
              <w:bottom w:val="single" w:color="000000" w:sz="4" w:space="0"/>
              <w:right w:val="single" w:color="000000" w:sz="4" w:space="0"/>
            </w:tcBorders>
            <w:shd w:val="clear" w:color="auto" w:fill="auto"/>
            <w:noWrap/>
            <w:vAlign w:val="center"/>
          </w:tcPr>
          <w:p w14:paraId="56D1355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shd w:val="clear" w:color="auto" w:fill="auto"/>
            <w:vAlign w:val="center"/>
          </w:tcPr>
          <w:p w14:paraId="56D1355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shd w:val="clear" w:color="auto" w:fill="auto"/>
            <w:vAlign w:val="center"/>
          </w:tcPr>
          <w:p w14:paraId="56D13555">
            <w:pPr>
              <w:widowControl/>
              <w:spacing w:line="276" w:lineRule="auto"/>
              <w:rPr>
                <w:i w:val="0"/>
                <w:iCs w:val="0"/>
                <w:color w:val="auto"/>
                <w:sz w:val="21"/>
                <w:szCs w:val="15"/>
                <w:highlight w:val="none"/>
              </w:rPr>
            </w:pPr>
            <w:r>
              <w:rPr>
                <w:rFonts w:hint="eastAsia"/>
                <w:i w:val="0"/>
                <w:iCs w:val="0"/>
                <w:color w:val="auto"/>
                <w:sz w:val="21"/>
                <w:szCs w:val="15"/>
                <w:highlight w:val="none"/>
              </w:rPr>
              <w:t>至少配置SSD：4块3.84TBSASSSD，</w:t>
            </w:r>
          </w:p>
          <w:p w14:paraId="56D13556">
            <w:pPr>
              <w:widowControl/>
              <w:spacing w:line="276" w:lineRule="auto"/>
              <w:rPr>
                <w:i w:val="0"/>
                <w:iCs w:val="0"/>
                <w:color w:val="auto"/>
                <w:sz w:val="21"/>
                <w:szCs w:val="15"/>
                <w:highlight w:val="none"/>
              </w:rPr>
            </w:pPr>
            <w:r>
              <w:rPr>
                <w:rFonts w:hint="eastAsia"/>
                <w:i w:val="0"/>
                <w:iCs w:val="0"/>
                <w:color w:val="auto"/>
                <w:sz w:val="21"/>
                <w:szCs w:val="15"/>
                <w:highlight w:val="none"/>
              </w:rPr>
              <w:t>SAS：8块2.4TB10KRPMSAS，NL-SAS：7块8TB7.2KRPMNL_SAS。</w:t>
            </w:r>
            <w:r>
              <w:rPr>
                <w:rFonts w:hint="eastAsia"/>
                <w:i w:val="0"/>
                <w:iCs w:val="0"/>
                <w:color w:val="auto"/>
                <w:sz w:val="21"/>
                <w:szCs w:val="15"/>
                <w:highlight w:val="none"/>
                <w:lang w:val="en-US" w:eastAsia="zh-CN"/>
              </w:rPr>
              <w:t>硬件。</w:t>
            </w:r>
          </w:p>
        </w:tc>
      </w:tr>
      <w:tr w14:paraId="56D1355D">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58">
            <w:pPr>
              <w:widowControl/>
              <w:spacing w:line="276" w:lineRule="auto"/>
              <w:rPr>
                <w:i w:val="0"/>
                <w:iCs w:val="0"/>
                <w:color w:val="auto"/>
                <w:sz w:val="21"/>
                <w:szCs w:val="15"/>
                <w:highlight w:val="none"/>
              </w:rPr>
            </w:pPr>
            <w:r>
              <w:rPr>
                <w:rFonts w:hint="eastAsia"/>
                <w:i w:val="0"/>
                <w:iCs w:val="0"/>
                <w:color w:val="auto"/>
                <w:sz w:val="21"/>
                <w:szCs w:val="15"/>
                <w:highlight w:val="none"/>
              </w:rPr>
              <w:t>4</w:t>
            </w:r>
          </w:p>
        </w:tc>
        <w:tc>
          <w:tcPr>
            <w:tcW w:w="2093" w:type="dxa"/>
            <w:tcBorders>
              <w:top w:val="single" w:color="000000" w:sz="4" w:space="0"/>
              <w:left w:val="nil"/>
              <w:bottom w:val="single" w:color="000000" w:sz="4" w:space="0"/>
              <w:right w:val="single" w:color="000000" w:sz="4" w:space="0"/>
            </w:tcBorders>
            <w:shd w:val="clear" w:color="auto" w:fill="auto"/>
            <w:noWrap/>
            <w:vAlign w:val="center"/>
          </w:tcPr>
          <w:p w14:paraId="56D13559">
            <w:pPr>
              <w:widowControl/>
              <w:spacing w:line="276" w:lineRule="auto"/>
              <w:rPr>
                <w:i w:val="0"/>
                <w:iCs w:val="0"/>
                <w:color w:val="auto"/>
                <w:sz w:val="21"/>
                <w:szCs w:val="15"/>
                <w:highlight w:val="none"/>
              </w:rPr>
            </w:pPr>
            <w:r>
              <w:rPr>
                <w:rFonts w:hint="eastAsia"/>
                <w:i w:val="0"/>
                <w:iCs w:val="0"/>
                <w:color w:val="auto"/>
                <w:sz w:val="21"/>
                <w:szCs w:val="15"/>
                <w:highlight w:val="none"/>
              </w:rPr>
              <w:t>核心交换机</w:t>
            </w:r>
          </w:p>
        </w:tc>
        <w:tc>
          <w:tcPr>
            <w:tcW w:w="637" w:type="dxa"/>
            <w:tcBorders>
              <w:top w:val="single" w:color="000000" w:sz="4" w:space="0"/>
              <w:left w:val="nil"/>
              <w:bottom w:val="single" w:color="000000" w:sz="4" w:space="0"/>
              <w:right w:val="single" w:color="000000" w:sz="4" w:space="0"/>
            </w:tcBorders>
            <w:shd w:val="clear" w:color="auto" w:fill="auto"/>
            <w:vAlign w:val="center"/>
          </w:tcPr>
          <w:p w14:paraId="56D1355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690" w:type="dxa"/>
            <w:tcBorders>
              <w:top w:val="single" w:color="000000" w:sz="4" w:space="0"/>
              <w:left w:val="nil"/>
              <w:bottom w:val="single" w:color="000000" w:sz="4" w:space="0"/>
              <w:right w:val="single" w:color="000000" w:sz="4" w:space="0"/>
            </w:tcBorders>
            <w:shd w:val="clear" w:color="auto" w:fill="auto"/>
            <w:vAlign w:val="center"/>
          </w:tcPr>
          <w:p w14:paraId="56D1355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4011" w:type="dxa"/>
            <w:tcBorders>
              <w:top w:val="single" w:color="000000" w:sz="4" w:space="0"/>
              <w:left w:val="nil"/>
              <w:bottom w:val="single" w:color="000000" w:sz="4" w:space="0"/>
              <w:right w:val="single" w:color="000000" w:sz="4" w:space="0"/>
            </w:tcBorders>
            <w:shd w:val="clear" w:color="auto" w:fill="auto"/>
            <w:vAlign w:val="center"/>
          </w:tcPr>
          <w:p w14:paraId="56D1355C">
            <w:pPr>
              <w:widowControl/>
              <w:spacing w:line="276" w:lineRule="auto"/>
              <w:rPr>
                <w:i w:val="0"/>
                <w:iCs w:val="0"/>
                <w:color w:val="auto"/>
                <w:sz w:val="21"/>
                <w:szCs w:val="15"/>
                <w:highlight w:val="none"/>
              </w:rPr>
            </w:pPr>
            <w:r>
              <w:rPr>
                <w:rFonts w:hint="eastAsia"/>
                <w:i w:val="0"/>
                <w:iCs w:val="0"/>
                <w:color w:val="auto"/>
                <w:sz w:val="21"/>
                <w:szCs w:val="15"/>
                <w:highlight w:val="none"/>
              </w:rPr>
              <w:t>云资源业务接入与运维安全区设备接入，以及二控数据中心互联。</w:t>
            </w:r>
            <w:r>
              <w:rPr>
                <w:rFonts w:hint="eastAsia"/>
                <w:i w:val="0"/>
                <w:iCs w:val="0"/>
                <w:color w:val="auto"/>
                <w:sz w:val="21"/>
                <w:szCs w:val="15"/>
                <w:highlight w:val="none"/>
                <w:lang w:val="en-US" w:eastAsia="zh-CN"/>
              </w:rPr>
              <w:t>硬件。</w:t>
            </w:r>
          </w:p>
        </w:tc>
      </w:tr>
      <w:tr w14:paraId="56D13563">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5E">
            <w:pPr>
              <w:widowControl/>
              <w:spacing w:line="276" w:lineRule="auto"/>
              <w:rPr>
                <w:i w:val="0"/>
                <w:iCs w:val="0"/>
                <w:color w:val="auto"/>
                <w:sz w:val="21"/>
                <w:szCs w:val="15"/>
                <w:highlight w:val="none"/>
              </w:rPr>
            </w:pPr>
            <w:r>
              <w:rPr>
                <w:rFonts w:hint="eastAsia"/>
                <w:i w:val="0"/>
                <w:iCs w:val="0"/>
                <w:color w:val="auto"/>
                <w:sz w:val="21"/>
                <w:szCs w:val="15"/>
                <w:highlight w:val="none"/>
              </w:rPr>
              <w:t>5</w:t>
            </w:r>
          </w:p>
        </w:tc>
        <w:tc>
          <w:tcPr>
            <w:tcW w:w="2093" w:type="dxa"/>
            <w:tcBorders>
              <w:top w:val="single" w:color="000000" w:sz="4" w:space="0"/>
              <w:left w:val="nil"/>
              <w:bottom w:val="single" w:color="000000" w:sz="4" w:space="0"/>
              <w:right w:val="single" w:color="000000" w:sz="4" w:space="0"/>
            </w:tcBorders>
            <w:shd w:val="clear" w:color="auto" w:fill="auto"/>
            <w:vAlign w:val="center"/>
          </w:tcPr>
          <w:p w14:paraId="56D1355F">
            <w:pPr>
              <w:widowControl/>
              <w:spacing w:line="276" w:lineRule="auto"/>
              <w:rPr>
                <w:i w:val="0"/>
                <w:iCs w:val="0"/>
                <w:color w:val="auto"/>
                <w:sz w:val="21"/>
                <w:szCs w:val="15"/>
                <w:highlight w:val="none"/>
              </w:rPr>
            </w:pPr>
            <w:r>
              <w:rPr>
                <w:rFonts w:hint="eastAsia"/>
                <w:i w:val="0"/>
                <w:iCs w:val="0"/>
                <w:color w:val="auto"/>
                <w:sz w:val="21"/>
                <w:szCs w:val="15"/>
                <w:highlight w:val="none"/>
              </w:rPr>
              <w:t>业务交换机</w:t>
            </w:r>
          </w:p>
        </w:tc>
        <w:tc>
          <w:tcPr>
            <w:tcW w:w="637" w:type="dxa"/>
            <w:tcBorders>
              <w:top w:val="single" w:color="000000" w:sz="4" w:space="0"/>
              <w:left w:val="nil"/>
              <w:bottom w:val="single" w:color="000000" w:sz="4" w:space="0"/>
              <w:right w:val="single" w:color="000000" w:sz="4" w:space="0"/>
            </w:tcBorders>
            <w:shd w:val="clear" w:color="auto" w:fill="auto"/>
            <w:noWrap/>
            <w:vAlign w:val="center"/>
          </w:tcPr>
          <w:p w14:paraId="56D1356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690" w:type="dxa"/>
            <w:tcBorders>
              <w:top w:val="single" w:color="000000" w:sz="4" w:space="0"/>
              <w:left w:val="nil"/>
              <w:bottom w:val="single" w:color="000000" w:sz="4" w:space="0"/>
              <w:right w:val="single" w:color="000000" w:sz="4" w:space="0"/>
            </w:tcBorders>
            <w:shd w:val="clear" w:color="auto" w:fill="auto"/>
            <w:vAlign w:val="center"/>
          </w:tcPr>
          <w:p w14:paraId="56D1356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4011" w:type="dxa"/>
            <w:tcBorders>
              <w:top w:val="single" w:color="000000" w:sz="4" w:space="0"/>
              <w:left w:val="nil"/>
              <w:bottom w:val="single" w:color="000000" w:sz="4" w:space="0"/>
              <w:right w:val="single" w:color="000000" w:sz="4" w:space="0"/>
            </w:tcBorders>
            <w:shd w:val="clear" w:color="auto" w:fill="auto"/>
            <w:vAlign w:val="center"/>
          </w:tcPr>
          <w:p w14:paraId="56D13562">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69">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64">
            <w:pPr>
              <w:widowControl/>
              <w:spacing w:line="276" w:lineRule="auto"/>
              <w:rPr>
                <w:i w:val="0"/>
                <w:iCs w:val="0"/>
                <w:color w:val="auto"/>
                <w:sz w:val="21"/>
                <w:szCs w:val="15"/>
                <w:highlight w:val="none"/>
              </w:rPr>
            </w:pPr>
            <w:r>
              <w:rPr>
                <w:rFonts w:hint="eastAsia"/>
                <w:i w:val="0"/>
                <w:iCs w:val="0"/>
                <w:color w:val="auto"/>
                <w:sz w:val="21"/>
                <w:szCs w:val="15"/>
                <w:highlight w:val="none"/>
              </w:rPr>
              <w:t>6</w:t>
            </w:r>
          </w:p>
        </w:tc>
        <w:tc>
          <w:tcPr>
            <w:tcW w:w="2093" w:type="dxa"/>
            <w:tcBorders>
              <w:top w:val="single" w:color="000000" w:sz="4" w:space="0"/>
              <w:left w:val="nil"/>
              <w:bottom w:val="single" w:color="000000" w:sz="4" w:space="0"/>
              <w:right w:val="single" w:color="000000" w:sz="4" w:space="0"/>
            </w:tcBorders>
            <w:noWrap/>
            <w:vAlign w:val="center"/>
          </w:tcPr>
          <w:p w14:paraId="56D13565">
            <w:pPr>
              <w:widowControl/>
              <w:spacing w:line="276" w:lineRule="auto"/>
              <w:rPr>
                <w:i w:val="0"/>
                <w:iCs w:val="0"/>
                <w:color w:val="auto"/>
                <w:sz w:val="21"/>
                <w:szCs w:val="15"/>
                <w:highlight w:val="none"/>
              </w:rPr>
            </w:pPr>
            <w:r>
              <w:rPr>
                <w:rFonts w:hint="eastAsia"/>
                <w:i w:val="0"/>
                <w:iCs w:val="0"/>
                <w:color w:val="auto"/>
                <w:sz w:val="21"/>
                <w:szCs w:val="15"/>
                <w:highlight w:val="none"/>
              </w:rPr>
              <w:t>防火墙</w:t>
            </w:r>
          </w:p>
        </w:tc>
        <w:tc>
          <w:tcPr>
            <w:tcW w:w="637" w:type="dxa"/>
            <w:tcBorders>
              <w:top w:val="single" w:color="000000" w:sz="4" w:space="0"/>
              <w:left w:val="nil"/>
              <w:bottom w:val="single" w:color="000000" w:sz="4" w:space="0"/>
              <w:right w:val="single" w:color="000000" w:sz="4" w:space="0"/>
            </w:tcBorders>
            <w:vAlign w:val="center"/>
          </w:tcPr>
          <w:p w14:paraId="56D1356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690" w:type="dxa"/>
            <w:tcBorders>
              <w:top w:val="single" w:color="000000" w:sz="4" w:space="0"/>
              <w:left w:val="nil"/>
              <w:bottom w:val="single" w:color="000000" w:sz="4" w:space="0"/>
              <w:right w:val="single" w:color="000000" w:sz="4" w:space="0"/>
            </w:tcBorders>
            <w:vAlign w:val="center"/>
          </w:tcPr>
          <w:p w14:paraId="56D1356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4011" w:type="dxa"/>
            <w:tcBorders>
              <w:top w:val="single" w:color="000000" w:sz="4" w:space="0"/>
              <w:left w:val="nil"/>
              <w:bottom w:val="single" w:color="000000" w:sz="4" w:space="0"/>
              <w:right w:val="single" w:color="000000" w:sz="4" w:space="0"/>
            </w:tcBorders>
            <w:vAlign w:val="center"/>
          </w:tcPr>
          <w:p w14:paraId="56D13568">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6F">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6A">
            <w:pPr>
              <w:widowControl/>
              <w:spacing w:line="276" w:lineRule="auto"/>
              <w:rPr>
                <w:i w:val="0"/>
                <w:iCs w:val="0"/>
                <w:color w:val="auto"/>
                <w:sz w:val="21"/>
                <w:szCs w:val="15"/>
                <w:highlight w:val="none"/>
              </w:rPr>
            </w:pPr>
            <w:r>
              <w:rPr>
                <w:rFonts w:hint="eastAsia"/>
                <w:i w:val="0"/>
                <w:iCs w:val="0"/>
                <w:color w:val="auto"/>
                <w:sz w:val="21"/>
                <w:szCs w:val="15"/>
                <w:highlight w:val="none"/>
              </w:rPr>
              <w:t>7</w:t>
            </w:r>
          </w:p>
        </w:tc>
        <w:tc>
          <w:tcPr>
            <w:tcW w:w="2093" w:type="dxa"/>
            <w:tcBorders>
              <w:top w:val="single" w:color="000000" w:sz="4" w:space="0"/>
              <w:left w:val="nil"/>
              <w:bottom w:val="single" w:color="000000" w:sz="4" w:space="0"/>
              <w:right w:val="single" w:color="000000" w:sz="4" w:space="0"/>
            </w:tcBorders>
            <w:noWrap/>
            <w:vAlign w:val="center"/>
          </w:tcPr>
          <w:p w14:paraId="56D1356B">
            <w:pPr>
              <w:widowControl/>
              <w:spacing w:line="276" w:lineRule="auto"/>
              <w:rPr>
                <w:i w:val="0"/>
                <w:iCs w:val="0"/>
                <w:color w:val="auto"/>
                <w:sz w:val="21"/>
                <w:szCs w:val="15"/>
                <w:highlight w:val="none"/>
              </w:rPr>
            </w:pPr>
            <w:r>
              <w:rPr>
                <w:rFonts w:hint="eastAsia"/>
                <w:i w:val="0"/>
                <w:iCs w:val="0"/>
                <w:color w:val="auto"/>
                <w:sz w:val="21"/>
                <w:szCs w:val="15"/>
                <w:highlight w:val="none"/>
              </w:rPr>
              <w:t>云管理平台扩容授权</w:t>
            </w:r>
          </w:p>
        </w:tc>
        <w:tc>
          <w:tcPr>
            <w:tcW w:w="637" w:type="dxa"/>
            <w:tcBorders>
              <w:top w:val="single" w:color="000000" w:sz="4" w:space="0"/>
              <w:left w:val="nil"/>
              <w:bottom w:val="single" w:color="000000" w:sz="4" w:space="0"/>
              <w:right w:val="single" w:color="000000" w:sz="4" w:space="0"/>
            </w:tcBorders>
            <w:vAlign w:val="center"/>
          </w:tcPr>
          <w:p w14:paraId="56D1356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vAlign w:val="center"/>
          </w:tcPr>
          <w:p w14:paraId="56D1356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vAlign w:val="center"/>
          </w:tcPr>
          <w:p w14:paraId="56D1356E">
            <w:pPr>
              <w:widowControl/>
              <w:spacing w:line="276" w:lineRule="auto"/>
              <w:rPr>
                <w:i w:val="0"/>
                <w:iCs w:val="0"/>
                <w:color w:val="auto"/>
                <w:sz w:val="21"/>
                <w:szCs w:val="15"/>
                <w:highlight w:val="none"/>
              </w:rPr>
            </w:pPr>
            <w:r>
              <w:rPr>
                <w:rFonts w:hint="eastAsia"/>
                <w:i w:val="0"/>
                <w:iCs w:val="0"/>
                <w:color w:val="auto"/>
                <w:sz w:val="21"/>
                <w:szCs w:val="15"/>
                <w:highlight w:val="none"/>
              </w:rPr>
              <w:t>计算节点扩容（2台）</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575">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70">
            <w:pPr>
              <w:widowControl/>
              <w:spacing w:line="276" w:lineRule="auto"/>
              <w:rPr>
                <w:i w:val="0"/>
                <w:iCs w:val="0"/>
                <w:color w:val="auto"/>
                <w:sz w:val="21"/>
                <w:szCs w:val="15"/>
                <w:highlight w:val="none"/>
              </w:rPr>
            </w:pPr>
            <w:r>
              <w:rPr>
                <w:rFonts w:hint="eastAsia"/>
                <w:i w:val="0"/>
                <w:iCs w:val="0"/>
                <w:color w:val="auto"/>
                <w:sz w:val="21"/>
                <w:szCs w:val="15"/>
                <w:highlight w:val="none"/>
              </w:rPr>
              <w:t>8</w:t>
            </w:r>
          </w:p>
        </w:tc>
        <w:tc>
          <w:tcPr>
            <w:tcW w:w="2093" w:type="dxa"/>
            <w:tcBorders>
              <w:top w:val="single" w:color="000000" w:sz="4" w:space="0"/>
              <w:left w:val="nil"/>
              <w:bottom w:val="single" w:color="000000" w:sz="4" w:space="0"/>
              <w:right w:val="single" w:color="000000" w:sz="4" w:space="0"/>
            </w:tcBorders>
            <w:noWrap/>
            <w:vAlign w:val="center"/>
          </w:tcPr>
          <w:p w14:paraId="56D13571">
            <w:pPr>
              <w:widowControl/>
              <w:spacing w:line="276" w:lineRule="auto"/>
              <w:rPr>
                <w:i w:val="0"/>
                <w:iCs w:val="0"/>
                <w:color w:val="auto"/>
                <w:sz w:val="21"/>
                <w:szCs w:val="15"/>
                <w:highlight w:val="none"/>
              </w:rPr>
            </w:pPr>
            <w:r>
              <w:rPr>
                <w:rFonts w:hint="eastAsia"/>
                <w:i w:val="0"/>
                <w:iCs w:val="0"/>
                <w:color w:val="auto"/>
                <w:sz w:val="21"/>
                <w:szCs w:val="15"/>
                <w:highlight w:val="none"/>
              </w:rPr>
              <w:t>计算虚拟化软件扩容授权</w:t>
            </w:r>
          </w:p>
        </w:tc>
        <w:tc>
          <w:tcPr>
            <w:tcW w:w="637" w:type="dxa"/>
            <w:tcBorders>
              <w:top w:val="single" w:color="000000" w:sz="4" w:space="0"/>
              <w:left w:val="nil"/>
              <w:bottom w:val="single" w:color="000000" w:sz="4" w:space="0"/>
              <w:right w:val="single" w:color="000000" w:sz="4" w:space="0"/>
            </w:tcBorders>
            <w:vAlign w:val="center"/>
          </w:tcPr>
          <w:p w14:paraId="56D1357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vAlign w:val="center"/>
          </w:tcPr>
          <w:p w14:paraId="56D1357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vAlign w:val="center"/>
          </w:tcPr>
          <w:p w14:paraId="56D13574">
            <w:pPr>
              <w:widowControl/>
              <w:spacing w:line="276" w:lineRule="auto"/>
              <w:rPr>
                <w:i w:val="0"/>
                <w:iCs w:val="0"/>
                <w:color w:val="auto"/>
                <w:sz w:val="21"/>
                <w:szCs w:val="15"/>
                <w:highlight w:val="none"/>
              </w:rPr>
            </w:pPr>
            <w:r>
              <w:rPr>
                <w:rFonts w:hint="eastAsia"/>
                <w:i w:val="0"/>
                <w:iCs w:val="0"/>
                <w:color w:val="auto"/>
                <w:sz w:val="21"/>
                <w:szCs w:val="15"/>
                <w:highlight w:val="none"/>
              </w:rPr>
              <w:t>对业务应用服务器扩容授权（2台）</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57B">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76">
            <w:pPr>
              <w:widowControl/>
              <w:spacing w:line="276" w:lineRule="auto"/>
              <w:rPr>
                <w:i w:val="0"/>
                <w:iCs w:val="0"/>
                <w:color w:val="auto"/>
                <w:sz w:val="21"/>
                <w:szCs w:val="15"/>
                <w:highlight w:val="none"/>
              </w:rPr>
            </w:pPr>
            <w:r>
              <w:rPr>
                <w:rFonts w:hint="eastAsia"/>
                <w:i w:val="0"/>
                <w:iCs w:val="0"/>
                <w:color w:val="auto"/>
                <w:sz w:val="21"/>
                <w:szCs w:val="15"/>
                <w:highlight w:val="none"/>
              </w:rPr>
              <w:t>9</w:t>
            </w:r>
          </w:p>
        </w:tc>
        <w:tc>
          <w:tcPr>
            <w:tcW w:w="2093" w:type="dxa"/>
            <w:tcBorders>
              <w:top w:val="single" w:color="000000" w:sz="4" w:space="0"/>
              <w:left w:val="nil"/>
              <w:bottom w:val="single" w:color="000000" w:sz="4" w:space="0"/>
              <w:right w:val="single" w:color="000000" w:sz="4" w:space="0"/>
            </w:tcBorders>
            <w:noWrap/>
            <w:vAlign w:val="center"/>
          </w:tcPr>
          <w:p w14:paraId="56D13577">
            <w:pPr>
              <w:widowControl/>
              <w:spacing w:line="276" w:lineRule="auto"/>
              <w:rPr>
                <w:i w:val="0"/>
                <w:iCs w:val="0"/>
                <w:color w:val="auto"/>
                <w:sz w:val="21"/>
                <w:szCs w:val="15"/>
                <w:highlight w:val="none"/>
              </w:rPr>
            </w:pPr>
            <w:r>
              <w:rPr>
                <w:rFonts w:hint="eastAsia"/>
                <w:i w:val="0"/>
                <w:iCs w:val="0"/>
                <w:color w:val="auto"/>
                <w:sz w:val="21"/>
                <w:szCs w:val="15"/>
                <w:highlight w:val="none"/>
              </w:rPr>
              <w:t>数据中心统一运维管理平台扩容授权</w:t>
            </w:r>
          </w:p>
        </w:tc>
        <w:tc>
          <w:tcPr>
            <w:tcW w:w="637" w:type="dxa"/>
            <w:tcBorders>
              <w:top w:val="single" w:color="000000" w:sz="4" w:space="0"/>
              <w:left w:val="nil"/>
              <w:bottom w:val="single" w:color="000000" w:sz="4" w:space="0"/>
              <w:right w:val="single" w:color="000000" w:sz="4" w:space="0"/>
            </w:tcBorders>
            <w:vAlign w:val="center"/>
          </w:tcPr>
          <w:p w14:paraId="56D1357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vAlign w:val="center"/>
          </w:tcPr>
          <w:p w14:paraId="56D1357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vAlign w:val="center"/>
          </w:tcPr>
          <w:p w14:paraId="56D1357A">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对运营期服务器、存储、网络等节点硬件设备进行扩容授权，实现监控运维</w:t>
            </w:r>
            <w:r>
              <w:rPr>
                <w:rFonts w:hint="eastAsia"/>
                <w:i w:val="0"/>
                <w:iCs w:val="0"/>
                <w:color w:val="auto"/>
                <w:sz w:val="20"/>
                <w:szCs w:val="20"/>
                <w:highlight w:val="none"/>
              </w:rPr>
              <w:t>、备份软件</w:t>
            </w:r>
            <w:r>
              <w:rPr>
                <w:rFonts w:hint="eastAsia"/>
                <w:i w:val="0"/>
                <w:iCs w:val="0"/>
                <w:color w:val="auto"/>
                <w:sz w:val="20"/>
                <w:szCs w:val="20"/>
                <w:highlight w:val="none"/>
                <w:lang w:eastAsia="zh-CN"/>
              </w:rPr>
              <w:t>，</w:t>
            </w:r>
            <w:r>
              <w:rPr>
                <w:rFonts w:hint="eastAsia"/>
                <w:i w:val="0"/>
                <w:iCs w:val="0"/>
                <w:color w:val="auto"/>
                <w:sz w:val="21"/>
                <w:szCs w:val="15"/>
                <w:highlight w:val="none"/>
                <w:lang w:val="en-US" w:eastAsia="zh-CN"/>
              </w:rPr>
              <w:t>软件。</w:t>
            </w:r>
          </w:p>
        </w:tc>
      </w:tr>
      <w:tr w14:paraId="56D13581">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7C">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10</w:t>
            </w:r>
          </w:p>
        </w:tc>
        <w:tc>
          <w:tcPr>
            <w:tcW w:w="2093" w:type="dxa"/>
            <w:tcBorders>
              <w:top w:val="single" w:color="000000" w:sz="4" w:space="0"/>
              <w:left w:val="nil"/>
              <w:bottom w:val="single" w:color="000000" w:sz="4" w:space="0"/>
              <w:right w:val="single" w:color="000000" w:sz="4" w:space="0"/>
            </w:tcBorders>
            <w:vAlign w:val="center"/>
          </w:tcPr>
          <w:p w14:paraId="56D1357D">
            <w:pPr>
              <w:widowControl/>
              <w:spacing w:line="276" w:lineRule="auto"/>
              <w:rPr>
                <w:i w:val="0"/>
                <w:iCs w:val="0"/>
                <w:color w:val="auto"/>
                <w:sz w:val="21"/>
                <w:szCs w:val="15"/>
                <w:highlight w:val="none"/>
              </w:rPr>
            </w:pPr>
            <w:r>
              <w:rPr>
                <w:rFonts w:hint="eastAsia"/>
                <w:i w:val="0"/>
                <w:iCs w:val="0"/>
                <w:color w:val="auto"/>
                <w:sz w:val="21"/>
                <w:szCs w:val="15"/>
                <w:highlight w:val="none"/>
              </w:rPr>
              <w:t>其他配件</w:t>
            </w:r>
          </w:p>
        </w:tc>
        <w:tc>
          <w:tcPr>
            <w:tcW w:w="637" w:type="dxa"/>
            <w:tcBorders>
              <w:top w:val="single" w:color="000000" w:sz="4" w:space="0"/>
              <w:left w:val="nil"/>
              <w:bottom w:val="single" w:color="000000" w:sz="4" w:space="0"/>
              <w:right w:val="single" w:color="000000" w:sz="4" w:space="0"/>
            </w:tcBorders>
            <w:noWrap/>
            <w:vAlign w:val="center"/>
          </w:tcPr>
          <w:p w14:paraId="56D1357E">
            <w:pPr>
              <w:widowControl/>
              <w:spacing w:line="276" w:lineRule="auto"/>
              <w:jc w:val="center"/>
              <w:rPr>
                <w:i w:val="0"/>
                <w:iCs w:val="0"/>
                <w:color w:val="auto"/>
                <w:sz w:val="21"/>
                <w:szCs w:val="15"/>
                <w:highlight w:val="none"/>
              </w:rPr>
            </w:pPr>
          </w:p>
        </w:tc>
        <w:tc>
          <w:tcPr>
            <w:tcW w:w="690" w:type="dxa"/>
            <w:tcBorders>
              <w:top w:val="single" w:color="000000" w:sz="4" w:space="0"/>
              <w:left w:val="nil"/>
              <w:bottom w:val="single" w:color="000000" w:sz="4" w:space="0"/>
              <w:right w:val="single" w:color="000000" w:sz="4" w:space="0"/>
            </w:tcBorders>
            <w:vAlign w:val="center"/>
          </w:tcPr>
          <w:p w14:paraId="56D1357F">
            <w:pPr>
              <w:widowControl/>
              <w:spacing w:line="276" w:lineRule="auto"/>
              <w:jc w:val="center"/>
              <w:rPr>
                <w:i w:val="0"/>
                <w:iCs w:val="0"/>
                <w:color w:val="auto"/>
                <w:sz w:val="21"/>
                <w:szCs w:val="15"/>
                <w:highlight w:val="none"/>
              </w:rPr>
            </w:pPr>
          </w:p>
        </w:tc>
        <w:tc>
          <w:tcPr>
            <w:tcW w:w="4011" w:type="dxa"/>
            <w:tcBorders>
              <w:top w:val="single" w:color="000000" w:sz="4" w:space="0"/>
              <w:left w:val="nil"/>
              <w:bottom w:val="single" w:color="000000" w:sz="4" w:space="0"/>
              <w:right w:val="single" w:color="000000" w:sz="4" w:space="0"/>
            </w:tcBorders>
            <w:noWrap/>
            <w:vAlign w:val="center"/>
          </w:tcPr>
          <w:p w14:paraId="56D13580">
            <w:pPr>
              <w:widowControl/>
              <w:spacing w:line="276" w:lineRule="auto"/>
              <w:rPr>
                <w:i w:val="0"/>
                <w:iCs w:val="0"/>
                <w:color w:val="auto"/>
                <w:sz w:val="21"/>
                <w:szCs w:val="15"/>
                <w:highlight w:val="none"/>
              </w:rPr>
            </w:pPr>
          </w:p>
        </w:tc>
      </w:tr>
      <w:tr w14:paraId="56D13587">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82">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0.1</w:t>
            </w:r>
          </w:p>
        </w:tc>
        <w:tc>
          <w:tcPr>
            <w:tcW w:w="2093" w:type="dxa"/>
            <w:tcBorders>
              <w:top w:val="single" w:color="000000" w:sz="4" w:space="0"/>
              <w:left w:val="nil"/>
              <w:bottom w:val="single" w:color="000000" w:sz="4" w:space="0"/>
              <w:right w:val="single" w:color="000000" w:sz="4" w:space="0"/>
            </w:tcBorders>
            <w:vAlign w:val="center"/>
          </w:tcPr>
          <w:p w14:paraId="56D13583">
            <w:pPr>
              <w:widowControl/>
              <w:spacing w:line="276" w:lineRule="auto"/>
              <w:rPr>
                <w:i w:val="0"/>
                <w:iCs w:val="0"/>
                <w:color w:val="auto"/>
                <w:sz w:val="21"/>
                <w:szCs w:val="15"/>
                <w:highlight w:val="none"/>
              </w:rPr>
            </w:pPr>
            <w:r>
              <w:rPr>
                <w:rFonts w:hint="eastAsia"/>
                <w:i w:val="0"/>
                <w:iCs w:val="0"/>
                <w:color w:val="auto"/>
                <w:sz w:val="21"/>
                <w:szCs w:val="15"/>
                <w:highlight w:val="none"/>
              </w:rPr>
              <w:t>机柜</w:t>
            </w:r>
          </w:p>
        </w:tc>
        <w:tc>
          <w:tcPr>
            <w:tcW w:w="637" w:type="dxa"/>
            <w:tcBorders>
              <w:top w:val="single" w:color="000000" w:sz="4" w:space="0"/>
              <w:left w:val="nil"/>
              <w:bottom w:val="single" w:color="000000" w:sz="4" w:space="0"/>
              <w:right w:val="single" w:color="000000" w:sz="4" w:space="0"/>
            </w:tcBorders>
            <w:noWrap/>
            <w:vAlign w:val="center"/>
          </w:tcPr>
          <w:p w14:paraId="56D1358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vAlign w:val="center"/>
          </w:tcPr>
          <w:p w14:paraId="56D1358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4011" w:type="dxa"/>
            <w:tcBorders>
              <w:top w:val="single" w:color="000000" w:sz="4" w:space="0"/>
              <w:left w:val="nil"/>
              <w:bottom w:val="single" w:color="000000" w:sz="4" w:space="0"/>
              <w:right w:val="single" w:color="000000" w:sz="4" w:space="0"/>
            </w:tcBorders>
            <w:noWrap/>
            <w:vAlign w:val="center"/>
          </w:tcPr>
          <w:p w14:paraId="56D13586">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8D">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88">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0.2</w:t>
            </w:r>
          </w:p>
        </w:tc>
        <w:tc>
          <w:tcPr>
            <w:tcW w:w="2093" w:type="dxa"/>
            <w:tcBorders>
              <w:top w:val="single" w:color="000000" w:sz="4" w:space="0"/>
              <w:left w:val="nil"/>
              <w:bottom w:val="single" w:color="000000" w:sz="4" w:space="0"/>
              <w:right w:val="single" w:color="000000" w:sz="4" w:space="0"/>
            </w:tcBorders>
            <w:noWrap/>
            <w:vAlign w:val="center"/>
          </w:tcPr>
          <w:p w14:paraId="56D13589">
            <w:pPr>
              <w:widowControl/>
              <w:spacing w:line="276" w:lineRule="auto"/>
              <w:rPr>
                <w:i w:val="0"/>
                <w:iCs w:val="0"/>
                <w:color w:val="auto"/>
                <w:sz w:val="21"/>
                <w:szCs w:val="15"/>
                <w:highlight w:val="none"/>
              </w:rPr>
            </w:pPr>
            <w:r>
              <w:rPr>
                <w:rFonts w:hint="eastAsia"/>
                <w:i w:val="0"/>
                <w:iCs w:val="0"/>
                <w:color w:val="auto"/>
                <w:sz w:val="21"/>
                <w:szCs w:val="15"/>
                <w:highlight w:val="none"/>
              </w:rPr>
              <w:t>10KVAUPS电池</w:t>
            </w:r>
          </w:p>
        </w:tc>
        <w:tc>
          <w:tcPr>
            <w:tcW w:w="637" w:type="dxa"/>
            <w:tcBorders>
              <w:top w:val="single" w:color="000000" w:sz="4" w:space="0"/>
              <w:left w:val="nil"/>
              <w:bottom w:val="single" w:color="000000" w:sz="4" w:space="0"/>
              <w:right w:val="single" w:color="000000" w:sz="4" w:space="0"/>
            </w:tcBorders>
            <w:noWrap/>
            <w:vAlign w:val="center"/>
          </w:tcPr>
          <w:p w14:paraId="56D1358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vAlign w:val="center"/>
          </w:tcPr>
          <w:p w14:paraId="56D1358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vAlign w:val="center"/>
          </w:tcPr>
          <w:p w14:paraId="56D1358C">
            <w:pPr>
              <w:widowControl/>
              <w:spacing w:line="276" w:lineRule="auto"/>
              <w:rPr>
                <w:i w:val="0"/>
                <w:iCs w:val="0"/>
                <w:color w:val="auto"/>
                <w:sz w:val="21"/>
                <w:szCs w:val="15"/>
                <w:highlight w:val="none"/>
              </w:rPr>
            </w:pPr>
            <w:r>
              <w:rPr>
                <w:rFonts w:hint="eastAsia"/>
                <w:i w:val="0"/>
                <w:iCs w:val="0"/>
                <w:color w:val="auto"/>
                <w:sz w:val="21"/>
                <w:szCs w:val="15"/>
                <w:highlight w:val="none"/>
              </w:rPr>
              <w:t>10KW容量配置，后备时间1小时</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593">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8E">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0.3</w:t>
            </w:r>
          </w:p>
        </w:tc>
        <w:tc>
          <w:tcPr>
            <w:tcW w:w="2093" w:type="dxa"/>
            <w:tcBorders>
              <w:top w:val="single" w:color="000000" w:sz="4" w:space="0"/>
              <w:left w:val="nil"/>
              <w:bottom w:val="single" w:color="000000" w:sz="4" w:space="0"/>
              <w:right w:val="single" w:color="000000" w:sz="4" w:space="0"/>
            </w:tcBorders>
            <w:noWrap/>
            <w:vAlign w:val="center"/>
          </w:tcPr>
          <w:p w14:paraId="56D1358F">
            <w:pPr>
              <w:widowControl/>
              <w:spacing w:line="276" w:lineRule="auto"/>
              <w:rPr>
                <w:i w:val="0"/>
                <w:iCs w:val="0"/>
                <w:color w:val="auto"/>
                <w:sz w:val="21"/>
                <w:szCs w:val="15"/>
                <w:highlight w:val="none"/>
              </w:rPr>
            </w:pPr>
            <w:r>
              <w:rPr>
                <w:rFonts w:hint="eastAsia"/>
                <w:i w:val="0"/>
                <w:iCs w:val="0"/>
                <w:color w:val="auto"/>
                <w:sz w:val="21"/>
                <w:szCs w:val="15"/>
                <w:highlight w:val="none"/>
              </w:rPr>
              <w:t>配电柜</w:t>
            </w:r>
          </w:p>
        </w:tc>
        <w:tc>
          <w:tcPr>
            <w:tcW w:w="637" w:type="dxa"/>
            <w:tcBorders>
              <w:top w:val="single" w:color="000000" w:sz="4" w:space="0"/>
              <w:left w:val="nil"/>
              <w:bottom w:val="single" w:color="000000" w:sz="4" w:space="0"/>
              <w:right w:val="single" w:color="000000" w:sz="4" w:space="0"/>
            </w:tcBorders>
            <w:noWrap/>
            <w:vAlign w:val="center"/>
          </w:tcPr>
          <w:p w14:paraId="56D1359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vAlign w:val="center"/>
          </w:tcPr>
          <w:p w14:paraId="56D1359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vAlign w:val="center"/>
          </w:tcPr>
          <w:p w14:paraId="56D13592">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甲供</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599">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94">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0.4</w:t>
            </w:r>
          </w:p>
        </w:tc>
        <w:tc>
          <w:tcPr>
            <w:tcW w:w="2093" w:type="dxa"/>
            <w:tcBorders>
              <w:top w:val="single" w:color="000000" w:sz="4" w:space="0"/>
              <w:left w:val="nil"/>
              <w:bottom w:val="single" w:color="000000" w:sz="4" w:space="0"/>
              <w:right w:val="single" w:color="000000" w:sz="4" w:space="0"/>
            </w:tcBorders>
            <w:noWrap/>
            <w:vAlign w:val="center"/>
          </w:tcPr>
          <w:p w14:paraId="56D13595">
            <w:pPr>
              <w:widowControl/>
              <w:spacing w:line="276" w:lineRule="auto"/>
              <w:rPr>
                <w:i w:val="0"/>
                <w:iCs w:val="0"/>
                <w:color w:val="auto"/>
                <w:sz w:val="21"/>
                <w:szCs w:val="15"/>
                <w:highlight w:val="none"/>
              </w:rPr>
            </w:pPr>
            <w:r>
              <w:rPr>
                <w:rFonts w:hint="eastAsia"/>
                <w:i w:val="0"/>
                <w:iCs w:val="0"/>
                <w:color w:val="auto"/>
                <w:sz w:val="21"/>
                <w:szCs w:val="15"/>
                <w:highlight w:val="none"/>
              </w:rPr>
              <w:t>配电箱</w:t>
            </w:r>
          </w:p>
        </w:tc>
        <w:tc>
          <w:tcPr>
            <w:tcW w:w="637" w:type="dxa"/>
            <w:tcBorders>
              <w:top w:val="single" w:color="000000" w:sz="4" w:space="0"/>
              <w:left w:val="nil"/>
              <w:bottom w:val="single" w:color="000000" w:sz="4" w:space="0"/>
              <w:right w:val="single" w:color="000000" w:sz="4" w:space="0"/>
            </w:tcBorders>
            <w:noWrap/>
            <w:vAlign w:val="center"/>
          </w:tcPr>
          <w:p w14:paraId="56D1359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690" w:type="dxa"/>
            <w:tcBorders>
              <w:top w:val="single" w:color="000000" w:sz="4" w:space="0"/>
              <w:left w:val="nil"/>
              <w:bottom w:val="single" w:color="000000" w:sz="4" w:space="0"/>
              <w:right w:val="single" w:color="000000" w:sz="4" w:space="0"/>
            </w:tcBorders>
            <w:vAlign w:val="center"/>
          </w:tcPr>
          <w:p w14:paraId="56D1359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vAlign w:val="center"/>
          </w:tcPr>
          <w:p w14:paraId="56D13598">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A5">
        <w:tblPrEx>
          <w:tblCellMar>
            <w:top w:w="0" w:type="dxa"/>
            <w:left w:w="108" w:type="dxa"/>
            <w:bottom w:w="0" w:type="dxa"/>
            <w:right w:w="108" w:type="dxa"/>
          </w:tblCellMar>
        </w:tblPrEx>
        <w:trPr>
          <w:jc w:val="center"/>
        </w:trPr>
        <w:tc>
          <w:tcPr>
            <w:tcW w:w="707" w:type="dxa"/>
            <w:tcBorders>
              <w:top w:val="single" w:color="000000" w:sz="4" w:space="0"/>
              <w:left w:val="single" w:color="000000" w:sz="4" w:space="0"/>
              <w:bottom w:val="single" w:color="000000" w:sz="4" w:space="0"/>
              <w:right w:val="single" w:color="000000" w:sz="4" w:space="0"/>
            </w:tcBorders>
            <w:noWrap/>
            <w:vAlign w:val="center"/>
          </w:tcPr>
          <w:p w14:paraId="56D135A0">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1</w:t>
            </w:r>
            <w:r>
              <w:rPr>
                <w:rFonts w:hint="eastAsia"/>
                <w:i w:val="0"/>
                <w:iCs w:val="0"/>
                <w:color w:val="auto"/>
                <w:sz w:val="21"/>
                <w:szCs w:val="15"/>
                <w:highlight w:val="none"/>
                <w:lang w:val="en-US" w:eastAsia="zh-CN"/>
              </w:rPr>
              <w:t>1</w:t>
            </w:r>
          </w:p>
        </w:tc>
        <w:tc>
          <w:tcPr>
            <w:tcW w:w="2093" w:type="dxa"/>
            <w:tcBorders>
              <w:top w:val="single" w:color="000000" w:sz="4" w:space="0"/>
              <w:left w:val="nil"/>
              <w:bottom w:val="single" w:color="000000" w:sz="4" w:space="0"/>
              <w:right w:val="single" w:color="000000" w:sz="4" w:space="0"/>
            </w:tcBorders>
            <w:shd w:val="clear" w:color="auto" w:fill="auto"/>
            <w:vAlign w:val="center"/>
          </w:tcPr>
          <w:p w14:paraId="56D135A1">
            <w:pPr>
              <w:widowControl/>
              <w:spacing w:line="276" w:lineRule="auto"/>
              <w:jc w:val="left"/>
              <w:rPr>
                <w:i w:val="0"/>
                <w:iCs w:val="0"/>
                <w:color w:val="auto"/>
                <w:sz w:val="21"/>
                <w:szCs w:val="15"/>
                <w:highlight w:val="none"/>
              </w:rPr>
            </w:pPr>
            <w:r>
              <w:rPr>
                <w:rFonts w:hint="eastAsia"/>
                <w:i w:val="0"/>
                <w:iCs w:val="0"/>
                <w:color w:val="auto"/>
                <w:sz w:val="21"/>
                <w:szCs w:val="15"/>
                <w:highlight w:val="none"/>
              </w:rPr>
              <w:t>第三方检测费</w:t>
            </w:r>
          </w:p>
        </w:tc>
        <w:tc>
          <w:tcPr>
            <w:tcW w:w="637" w:type="dxa"/>
            <w:tcBorders>
              <w:top w:val="single" w:color="000000" w:sz="4" w:space="0"/>
              <w:left w:val="nil"/>
              <w:bottom w:val="single" w:color="000000" w:sz="4" w:space="0"/>
              <w:right w:val="single" w:color="000000" w:sz="4" w:space="0"/>
            </w:tcBorders>
            <w:shd w:val="clear" w:color="auto" w:fill="auto"/>
            <w:noWrap/>
            <w:vAlign w:val="center"/>
          </w:tcPr>
          <w:p w14:paraId="56D135A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批</w:t>
            </w:r>
          </w:p>
        </w:tc>
        <w:tc>
          <w:tcPr>
            <w:tcW w:w="690" w:type="dxa"/>
            <w:tcBorders>
              <w:top w:val="single" w:color="000000" w:sz="4" w:space="0"/>
              <w:left w:val="nil"/>
              <w:bottom w:val="single" w:color="000000" w:sz="4" w:space="0"/>
              <w:right w:val="single" w:color="000000" w:sz="4" w:space="0"/>
            </w:tcBorders>
            <w:shd w:val="clear" w:color="auto" w:fill="auto"/>
            <w:vAlign w:val="center"/>
          </w:tcPr>
          <w:p w14:paraId="56D135A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4011" w:type="dxa"/>
            <w:tcBorders>
              <w:top w:val="single" w:color="000000" w:sz="4" w:space="0"/>
              <w:left w:val="nil"/>
              <w:bottom w:val="single" w:color="000000" w:sz="4" w:space="0"/>
              <w:right w:val="single" w:color="000000" w:sz="4" w:space="0"/>
            </w:tcBorders>
            <w:shd w:val="clear" w:color="auto" w:fill="auto"/>
            <w:noWrap/>
            <w:vAlign w:val="center"/>
          </w:tcPr>
          <w:p w14:paraId="56D135A4">
            <w:pPr>
              <w:widowControl/>
              <w:spacing w:line="276" w:lineRule="auto"/>
              <w:jc w:val="left"/>
              <w:rPr>
                <w:i w:val="0"/>
                <w:iCs w:val="0"/>
                <w:color w:val="auto"/>
                <w:sz w:val="21"/>
                <w:szCs w:val="15"/>
                <w:highlight w:val="none"/>
              </w:rPr>
            </w:pPr>
            <w:r>
              <w:rPr>
                <w:rFonts w:hint="eastAsia"/>
                <w:i w:val="0"/>
                <w:iCs w:val="0"/>
                <w:color w:val="auto"/>
                <w:sz w:val="21"/>
                <w:szCs w:val="15"/>
                <w:highlight w:val="none"/>
              </w:rPr>
              <w:t>含信息安全检测</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服务。</w:t>
            </w:r>
          </w:p>
        </w:tc>
      </w:tr>
    </w:tbl>
    <w:p w14:paraId="56D135A6">
      <w:pPr>
        <w:pStyle w:val="6"/>
        <w:ind w:left="0"/>
        <w:rPr>
          <w:i w:val="0"/>
          <w:iCs w:val="0"/>
          <w:color w:val="auto"/>
          <w:sz w:val="21"/>
          <w:szCs w:val="21"/>
          <w:highlight w:val="none"/>
        </w:rPr>
      </w:pPr>
      <w:r>
        <w:rPr>
          <w:rFonts w:hint="eastAsia"/>
          <w:i w:val="0"/>
          <w:iCs w:val="0"/>
          <w:color w:val="auto"/>
          <w:sz w:val="21"/>
          <w:szCs w:val="21"/>
          <w:highlight w:val="none"/>
        </w:rPr>
        <w:t>GBIM管理网云资源主要设备表</w:t>
      </w:r>
    </w:p>
    <w:p w14:paraId="56D135A7">
      <w:pPr>
        <w:pStyle w:val="142"/>
        <w:ind w:firstLine="420"/>
        <w:rPr>
          <w:i w:val="0"/>
          <w:iCs w:val="0"/>
          <w:color w:val="auto"/>
          <w:sz w:val="21"/>
          <w:szCs w:val="15"/>
          <w:highlight w:val="none"/>
        </w:rPr>
      </w:pPr>
      <w:r>
        <w:rPr>
          <w:rFonts w:hint="eastAsia"/>
          <w:i w:val="0"/>
          <w:iCs w:val="0"/>
          <w:color w:val="auto"/>
          <w:sz w:val="21"/>
          <w:szCs w:val="15"/>
          <w:highlight w:val="none"/>
        </w:rPr>
        <w:t>管理网云资源单独部署，</w:t>
      </w:r>
      <w:r>
        <w:rPr>
          <w:rFonts w:hint="eastAsia"/>
          <w:i w:val="0"/>
          <w:iCs w:val="0"/>
          <w:color w:val="auto"/>
          <w:sz w:val="21"/>
          <w:szCs w:val="15"/>
          <w:highlight w:val="none"/>
          <w:lang w:val="en-US"/>
        </w:rPr>
        <w:t>资源配置如下：</w:t>
      </w:r>
    </w:p>
    <w:tbl>
      <w:tblPr>
        <w:tblStyle w:val="88"/>
        <w:tblW w:w="8148" w:type="dxa"/>
        <w:jc w:val="center"/>
        <w:tblLayout w:type="fixed"/>
        <w:tblCellMar>
          <w:top w:w="0" w:type="dxa"/>
          <w:left w:w="108" w:type="dxa"/>
          <w:bottom w:w="0" w:type="dxa"/>
          <w:right w:w="108" w:type="dxa"/>
        </w:tblCellMar>
      </w:tblPr>
      <w:tblGrid>
        <w:gridCol w:w="778"/>
        <w:gridCol w:w="3112"/>
        <w:gridCol w:w="729"/>
        <w:gridCol w:w="702"/>
        <w:gridCol w:w="2827"/>
      </w:tblGrid>
      <w:tr w14:paraId="56D135AD">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vAlign w:val="center"/>
          </w:tcPr>
          <w:p w14:paraId="56D135A8">
            <w:pPr>
              <w:widowControl/>
              <w:spacing w:line="276" w:lineRule="auto"/>
              <w:rPr>
                <w:i w:val="0"/>
                <w:iCs w:val="0"/>
                <w:color w:val="auto"/>
                <w:sz w:val="21"/>
                <w:szCs w:val="15"/>
                <w:highlight w:val="none"/>
              </w:rPr>
            </w:pPr>
            <w:r>
              <w:rPr>
                <w:rFonts w:hint="eastAsia"/>
                <w:i w:val="0"/>
                <w:iCs w:val="0"/>
                <w:color w:val="auto"/>
                <w:sz w:val="21"/>
                <w:szCs w:val="15"/>
                <w:highlight w:val="none"/>
              </w:rPr>
              <w:t>序号</w:t>
            </w:r>
          </w:p>
        </w:tc>
        <w:tc>
          <w:tcPr>
            <w:tcW w:w="3112" w:type="dxa"/>
            <w:tcBorders>
              <w:top w:val="single" w:color="000000" w:sz="4" w:space="0"/>
              <w:left w:val="nil"/>
              <w:bottom w:val="single" w:color="000000" w:sz="4" w:space="0"/>
              <w:right w:val="single" w:color="000000" w:sz="4" w:space="0"/>
            </w:tcBorders>
            <w:vAlign w:val="center"/>
          </w:tcPr>
          <w:p w14:paraId="56D135A9">
            <w:pPr>
              <w:widowControl/>
              <w:spacing w:line="276" w:lineRule="auto"/>
              <w:rPr>
                <w:i w:val="0"/>
                <w:iCs w:val="0"/>
                <w:color w:val="auto"/>
                <w:sz w:val="21"/>
                <w:szCs w:val="15"/>
                <w:highlight w:val="none"/>
              </w:rPr>
            </w:pPr>
            <w:r>
              <w:rPr>
                <w:rFonts w:hint="eastAsia"/>
                <w:i w:val="0"/>
                <w:iCs w:val="0"/>
                <w:color w:val="auto"/>
                <w:sz w:val="21"/>
                <w:szCs w:val="15"/>
                <w:highlight w:val="none"/>
              </w:rPr>
              <w:t>设备/功能模块名称</w:t>
            </w:r>
          </w:p>
        </w:tc>
        <w:tc>
          <w:tcPr>
            <w:tcW w:w="729" w:type="dxa"/>
            <w:tcBorders>
              <w:top w:val="single" w:color="000000" w:sz="4" w:space="0"/>
              <w:left w:val="nil"/>
              <w:bottom w:val="single" w:color="000000" w:sz="4" w:space="0"/>
              <w:right w:val="single" w:color="000000" w:sz="4" w:space="0"/>
            </w:tcBorders>
            <w:vAlign w:val="center"/>
          </w:tcPr>
          <w:p w14:paraId="56D135AA">
            <w:pPr>
              <w:widowControl/>
              <w:spacing w:line="276" w:lineRule="auto"/>
              <w:rPr>
                <w:i w:val="0"/>
                <w:iCs w:val="0"/>
                <w:color w:val="auto"/>
                <w:sz w:val="21"/>
                <w:szCs w:val="15"/>
                <w:highlight w:val="none"/>
              </w:rPr>
            </w:pPr>
            <w:r>
              <w:rPr>
                <w:rFonts w:hint="eastAsia"/>
                <w:i w:val="0"/>
                <w:iCs w:val="0"/>
                <w:color w:val="auto"/>
                <w:sz w:val="21"/>
                <w:szCs w:val="15"/>
                <w:highlight w:val="none"/>
              </w:rPr>
              <w:t>单位</w:t>
            </w:r>
          </w:p>
        </w:tc>
        <w:tc>
          <w:tcPr>
            <w:tcW w:w="702" w:type="dxa"/>
            <w:tcBorders>
              <w:top w:val="single" w:color="000000" w:sz="4" w:space="0"/>
              <w:left w:val="nil"/>
              <w:bottom w:val="single" w:color="000000" w:sz="4" w:space="0"/>
              <w:right w:val="single" w:color="000000" w:sz="4" w:space="0"/>
            </w:tcBorders>
            <w:vAlign w:val="center"/>
          </w:tcPr>
          <w:p w14:paraId="56D135AB">
            <w:pPr>
              <w:widowControl/>
              <w:spacing w:line="276" w:lineRule="auto"/>
              <w:rPr>
                <w:i w:val="0"/>
                <w:iCs w:val="0"/>
                <w:color w:val="auto"/>
                <w:sz w:val="21"/>
                <w:szCs w:val="15"/>
                <w:highlight w:val="none"/>
              </w:rPr>
            </w:pPr>
            <w:r>
              <w:rPr>
                <w:rFonts w:hint="eastAsia"/>
                <w:i w:val="0"/>
                <w:iCs w:val="0"/>
                <w:color w:val="auto"/>
                <w:sz w:val="21"/>
                <w:szCs w:val="15"/>
                <w:highlight w:val="none"/>
              </w:rPr>
              <w:t>数量</w:t>
            </w:r>
          </w:p>
        </w:tc>
        <w:tc>
          <w:tcPr>
            <w:tcW w:w="2827" w:type="dxa"/>
            <w:tcBorders>
              <w:top w:val="single" w:color="000000" w:sz="4" w:space="0"/>
              <w:left w:val="nil"/>
              <w:bottom w:val="nil"/>
              <w:right w:val="single" w:color="000000" w:sz="4" w:space="0"/>
            </w:tcBorders>
            <w:vAlign w:val="center"/>
          </w:tcPr>
          <w:p w14:paraId="56D135AC">
            <w:pPr>
              <w:widowControl/>
              <w:spacing w:line="276" w:lineRule="auto"/>
              <w:rPr>
                <w:i w:val="0"/>
                <w:iCs w:val="0"/>
                <w:color w:val="auto"/>
                <w:sz w:val="21"/>
                <w:szCs w:val="15"/>
                <w:highlight w:val="none"/>
              </w:rPr>
            </w:pPr>
            <w:r>
              <w:rPr>
                <w:rFonts w:hint="eastAsia"/>
                <w:i w:val="0"/>
                <w:iCs w:val="0"/>
                <w:color w:val="auto"/>
                <w:sz w:val="21"/>
                <w:szCs w:val="15"/>
                <w:highlight w:val="none"/>
              </w:rPr>
              <w:t>备注</w:t>
            </w:r>
          </w:p>
        </w:tc>
      </w:tr>
      <w:tr w14:paraId="56D135B3">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noWrap/>
            <w:vAlign w:val="center"/>
          </w:tcPr>
          <w:p w14:paraId="56D135AE">
            <w:pPr>
              <w:widowControl/>
              <w:spacing w:line="276" w:lineRule="auto"/>
              <w:rPr>
                <w:i w:val="0"/>
                <w:iCs w:val="0"/>
                <w:color w:val="auto"/>
                <w:sz w:val="21"/>
                <w:szCs w:val="15"/>
                <w:highlight w:val="none"/>
              </w:rPr>
            </w:pPr>
            <w:r>
              <w:rPr>
                <w:rFonts w:hint="eastAsia"/>
                <w:i w:val="0"/>
                <w:iCs w:val="0"/>
                <w:color w:val="auto"/>
                <w:sz w:val="21"/>
                <w:szCs w:val="15"/>
                <w:highlight w:val="none"/>
              </w:rPr>
              <w:t>1</w:t>
            </w:r>
          </w:p>
        </w:tc>
        <w:tc>
          <w:tcPr>
            <w:tcW w:w="3112" w:type="dxa"/>
            <w:tcBorders>
              <w:top w:val="single" w:color="000000" w:sz="4" w:space="0"/>
              <w:left w:val="nil"/>
              <w:bottom w:val="single" w:color="000000" w:sz="4" w:space="0"/>
              <w:right w:val="single" w:color="000000" w:sz="4" w:space="0"/>
            </w:tcBorders>
            <w:vAlign w:val="center"/>
          </w:tcPr>
          <w:p w14:paraId="56D135AF">
            <w:pPr>
              <w:widowControl/>
              <w:spacing w:line="276" w:lineRule="auto"/>
              <w:rPr>
                <w:i w:val="0"/>
                <w:iCs w:val="0"/>
                <w:color w:val="auto"/>
                <w:sz w:val="21"/>
                <w:szCs w:val="15"/>
                <w:highlight w:val="none"/>
              </w:rPr>
            </w:pPr>
            <w:r>
              <w:rPr>
                <w:rFonts w:hint="eastAsia"/>
                <w:i w:val="0"/>
                <w:iCs w:val="0"/>
                <w:color w:val="auto"/>
                <w:sz w:val="21"/>
                <w:szCs w:val="15"/>
                <w:highlight w:val="none"/>
              </w:rPr>
              <w:t>云业务服务器</w:t>
            </w:r>
          </w:p>
        </w:tc>
        <w:tc>
          <w:tcPr>
            <w:tcW w:w="729" w:type="dxa"/>
            <w:tcBorders>
              <w:top w:val="single" w:color="000000" w:sz="4" w:space="0"/>
              <w:left w:val="nil"/>
              <w:bottom w:val="single" w:color="000000" w:sz="4" w:space="0"/>
              <w:right w:val="single" w:color="000000" w:sz="4" w:space="0"/>
            </w:tcBorders>
            <w:noWrap/>
            <w:vAlign w:val="center"/>
          </w:tcPr>
          <w:p w14:paraId="56D135B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vAlign w:val="center"/>
          </w:tcPr>
          <w:p w14:paraId="56D135B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8</w:t>
            </w:r>
          </w:p>
        </w:tc>
        <w:tc>
          <w:tcPr>
            <w:tcW w:w="2827" w:type="dxa"/>
            <w:tcBorders>
              <w:top w:val="single" w:color="000000" w:sz="4" w:space="0"/>
              <w:left w:val="nil"/>
              <w:bottom w:val="single" w:color="000000" w:sz="4" w:space="0"/>
              <w:right w:val="single" w:color="000000" w:sz="4" w:space="0"/>
            </w:tcBorders>
            <w:vAlign w:val="center"/>
          </w:tcPr>
          <w:p w14:paraId="56D135B2">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B9">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noWrap/>
            <w:vAlign w:val="center"/>
          </w:tcPr>
          <w:p w14:paraId="56D135B4">
            <w:pPr>
              <w:widowControl/>
              <w:spacing w:line="276" w:lineRule="auto"/>
              <w:rPr>
                <w:i w:val="0"/>
                <w:iCs w:val="0"/>
                <w:color w:val="auto"/>
                <w:sz w:val="21"/>
                <w:szCs w:val="15"/>
                <w:highlight w:val="none"/>
              </w:rPr>
            </w:pPr>
            <w:r>
              <w:rPr>
                <w:rFonts w:hint="eastAsia"/>
                <w:i w:val="0"/>
                <w:iCs w:val="0"/>
                <w:color w:val="auto"/>
                <w:sz w:val="21"/>
                <w:szCs w:val="15"/>
                <w:highlight w:val="none"/>
              </w:rPr>
              <w:t>2</w:t>
            </w:r>
          </w:p>
        </w:tc>
        <w:tc>
          <w:tcPr>
            <w:tcW w:w="3112" w:type="dxa"/>
            <w:tcBorders>
              <w:top w:val="single" w:color="000000" w:sz="4" w:space="0"/>
              <w:left w:val="nil"/>
              <w:bottom w:val="single" w:color="000000" w:sz="4" w:space="0"/>
              <w:right w:val="single" w:color="000000" w:sz="4" w:space="0"/>
            </w:tcBorders>
            <w:shd w:val="clear" w:color="auto" w:fill="auto"/>
            <w:vAlign w:val="center"/>
          </w:tcPr>
          <w:p w14:paraId="56D135B5">
            <w:pPr>
              <w:widowControl/>
              <w:spacing w:line="276" w:lineRule="auto"/>
              <w:rPr>
                <w:i w:val="0"/>
                <w:iCs w:val="0"/>
                <w:color w:val="auto"/>
                <w:sz w:val="21"/>
                <w:szCs w:val="15"/>
                <w:highlight w:val="none"/>
              </w:rPr>
            </w:pPr>
            <w:r>
              <w:rPr>
                <w:rFonts w:hint="eastAsia"/>
                <w:i w:val="0"/>
                <w:iCs w:val="0"/>
                <w:color w:val="auto"/>
                <w:sz w:val="21"/>
                <w:szCs w:val="15"/>
                <w:highlight w:val="none"/>
              </w:rPr>
              <w:t>光纤接入交换机</w:t>
            </w:r>
          </w:p>
        </w:tc>
        <w:tc>
          <w:tcPr>
            <w:tcW w:w="729" w:type="dxa"/>
            <w:tcBorders>
              <w:top w:val="single" w:color="000000" w:sz="4" w:space="0"/>
              <w:left w:val="nil"/>
              <w:bottom w:val="single" w:color="000000" w:sz="4" w:space="0"/>
              <w:right w:val="single" w:color="000000" w:sz="4" w:space="0"/>
            </w:tcBorders>
            <w:shd w:val="clear" w:color="auto" w:fill="auto"/>
            <w:noWrap/>
            <w:vAlign w:val="center"/>
          </w:tcPr>
          <w:p w14:paraId="56D135B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5B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827" w:type="dxa"/>
            <w:tcBorders>
              <w:top w:val="single" w:color="000000" w:sz="4" w:space="0"/>
              <w:left w:val="nil"/>
              <w:bottom w:val="single" w:color="000000" w:sz="4" w:space="0"/>
              <w:right w:val="single" w:color="000000" w:sz="4" w:space="0"/>
            </w:tcBorders>
            <w:vAlign w:val="center"/>
          </w:tcPr>
          <w:p w14:paraId="56D135B8">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BF">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noWrap/>
            <w:vAlign w:val="center"/>
          </w:tcPr>
          <w:p w14:paraId="56D135BA">
            <w:pPr>
              <w:widowControl/>
              <w:spacing w:line="276" w:lineRule="auto"/>
              <w:rPr>
                <w:i w:val="0"/>
                <w:iCs w:val="0"/>
                <w:color w:val="auto"/>
                <w:sz w:val="21"/>
                <w:szCs w:val="15"/>
                <w:highlight w:val="none"/>
              </w:rPr>
            </w:pPr>
            <w:r>
              <w:rPr>
                <w:rFonts w:hint="eastAsia"/>
                <w:i w:val="0"/>
                <w:iCs w:val="0"/>
                <w:color w:val="auto"/>
                <w:sz w:val="21"/>
                <w:szCs w:val="15"/>
                <w:highlight w:val="none"/>
              </w:rPr>
              <w:t>3</w:t>
            </w:r>
          </w:p>
        </w:tc>
        <w:tc>
          <w:tcPr>
            <w:tcW w:w="3112" w:type="dxa"/>
            <w:tcBorders>
              <w:top w:val="single" w:color="000000" w:sz="4" w:space="0"/>
              <w:left w:val="nil"/>
              <w:bottom w:val="single" w:color="000000" w:sz="4" w:space="0"/>
              <w:right w:val="single" w:color="000000" w:sz="4" w:space="0"/>
            </w:tcBorders>
            <w:shd w:val="clear" w:color="auto" w:fill="auto"/>
            <w:vAlign w:val="center"/>
          </w:tcPr>
          <w:p w14:paraId="56D135BB">
            <w:pPr>
              <w:widowControl/>
              <w:spacing w:line="276" w:lineRule="auto"/>
              <w:rPr>
                <w:i w:val="0"/>
                <w:iCs w:val="0"/>
                <w:color w:val="auto"/>
                <w:sz w:val="21"/>
                <w:szCs w:val="15"/>
                <w:highlight w:val="none"/>
              </w:rPr>
            </w:pPr>
            <w:r>
              <w:rPr>
                <w:rFonts w:hint="eastAsia"/>
                <w:i w:val="0"/>
                <w:iCs w:val="0"/>
                <w:color w:val="auto"/>
                <w:sz w:val="21"/>
                <w:szCs w:val="15"/>
                <w:highlight w:val="none"/>
              </w:rPr>
              <w:t>GPU服务器</w:t>
            </w:r>
          </w:p>
        </w:tc>
        <w:tc>
          <w:tcPr>
            <w:tcW w:w="729" w:type="dxa"/>
            <w:tcBorders>
              <w:top w:val="single" w:color="000000" w:sz="4" w:space="0"/>
              <w:left w:val="nil"/>
              <w:bottom w:val="single" w:color="000000" w:sz="4" w:space="0"/>
              <w:right w:val="single" w:color="000000" w:sz="4" w:space="0"/>
            </w:tcBorders>
            <w:shd w:val="clear" w:color="auto" w:fill="auto"/>
            <w:noWrap/>
            <w:vAlign w:val="center"/>
          </w:tcPr>
          <w:p w14:paraId="56D135B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5B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5BE">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512G显存</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5C5">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noWrap/>
            <w:vAlign w:val="center"/>
          </w:tcPr>
          <w:p w14:paraId="56D135C0">
            <w:pPr>
              <w:widowControl/>
              <w:spacing w:line="276" w:lineRule="auto"/>
              <w:rPr>
                <w:i w:val="0"/>
                <w:iCs w:val="0"/>
                <w:color w:val="auto"/>
                <w:sz w:val="21"/>
                <w:szCs w:val="15"/>
                <w:highlight w:val="none"/>
              </w:rPr>
            </w:pPr>
            <w:r>
              <w:rPr>
                <w:rFonts w:hint="eastAsia"/>
                <w:i w:val="0"/>
                <w:iCs w:val="0"/>
                <w:color w:val="auto"/>
                <w:sz w:val="21"/>
                <w:szCs w:val="15"/>
                <w:highlight w:val="none"/>
              </w:rPr>
              <w:t>4</w:t>
            </w:r>
          </w:p>
        </w:tc>
        <w:tc>
          <w:tcPr>
            <w:tcW w:w="3112" w:type="dxa"/>
            <w:tcBorders>
              <w:top w:val="single" w:color="000000" w:sz="4" w:space="0"/>
              <w:left w:val="nil"/>
              <w:bottom w:val="single" w:color="000000" w:sz="4" w:space="0"/>
              <w:right w:val="single" w:color="000000" w:sz="4" w:space="0"/>
            </w:tcBorders>
            <w:shd w:val="clear" w:color="auto" w:fill="auto"/>
            <w:vAlign w:val="center"/>
          </w:tcPr>
          <w:p w14:paraId="56D135C1">
            <w:pPr>
              <w:widowControl/>
              <w:spacing w:line="276" w:lineRule="auto"/>
              <w:rPr>
                <w:i w:val="0"/>
                <w:iCs w:val="0"/>
                <w:color w:val="auto"/>
                <w:sz w:val="21"/>
                <w:szCs w:val="15"/>
                <w:highlight w:val="none"/>
              </w:rPr>
            </w:pPr>
            <w:r>
              <w:rPr>
                <w:rFonts w:hint="eastAsia"/>
                <w:i w:val="0"/>
                <w:iCs w:val="0"/>
                <w:color w:val="auto"/>
                <w:sz w:val="21"/>
                <w:szCs w:val="15"/>
                <w:highlight w:val="none"/>
              </w:rPr>
              <w:t>云管理服务器</w:t>
            </w:r>
          </w:p>
        </w:tc>
        <w:tc>
          <w:tcPr>
            <w:tcW w:w="729" w:type="dxa"/>
            <w:tcBorders>
              <w:top w:val="single" w:color="000000" w:sz="4" w:space="0"/>
              <w:left w:val="nil"/>
              <w:bottom w:val="single" w:color="000000" w:sz="4" w:space="0"/>
              <w:right w:val="single" w:color="000000" w:sz="4" w:space="0"/>
            </w:tcBorders>
            <w:shd w:val="clear" w:color="auto" w:fill="auto"/>
            <w:noWrap/>
            <w:vAlign w:val="center"/>
          </w:tcPr>
          <w:p w14:paraId="56D135C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5C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827" w:type="dxa"/>
            <w:tcBorders>
              <w:top w:val="single" w:color="000000" w:sz="4" w:space="0"/>
              <w:left w:val="nil"/>
              <w:bottom w:val="single" w:color="000000" w:sz="4" w:space="0"/>
              <w:right w:val="single" w:color="000000" w:sz="4" w:space="0"/>
            </w:tcBorders>
            <w:vAlign w:val="center"/>
          </w:tcPr>
          <w:p w14:paraId="56D135C4">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含云平台所需云软件及云平台资源管理平台；硬件含对应软件。</w:t>
            </w:r>
          </w:p>
        </w:tc>
      </w:tr>
      <w:tr w14:paraId="56D135CB">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noWrap/>
            <w:vAlign w:val="center"/>
          </w:tcPr>
          <w:p w14:paraId="56D135C6">
            <w:pPr>
              <w:widowControl/>
              <w:spacing w:line="276" w:lineRule="auto"/>
              <w:rPr>
                <w:i w:val="0"/>
                <w:iCs w:val="0"/>
                <w:color w:val="auto"/>
                <w:sz w:val="21"/>
                <w:szCs w:val="15"/>
                <w:highlight w:val="none"/>
              </w:rPr>
            </w:pPr>
            <w:r>
              <w:rPr>
                <w:rFonts w:hint="eastAsia"/>
                <w:i w:val="0"/>
                <w:iCs w:val="0"/>
                <w:color w:val="auto"/>
                <w:sz w:val="21"/>
                <w:szCs w:val="15"/>
                <w:highlight w:val="none"/>
              </w:rPr>
              <w:t>5</w:t>
            </w:r>
          </w:p>
        </w:tc>
        <w:tc>
          <w:tcPr>
            <w:tcW w:w="3112" w:type="dxa"/>
            <w:tcBorders>
              <w:top w:val="single" w:color="000000" w:sz="4" w:space="0"/>
              <w:left w:val="nil"/>
              <w:bottom w:val="single" w:color="000000" w:sz="4" w:space="0"/>
              <w:right w:val="single" w:color="000000" w:sz="4" w:space="0"/>
            </w:tcBorders>
            <w:shd w:val="clear" w:color="auto" w:fill="auto"/>
            <w:vAlign w:val="center"/>
          </w:tcPr>
          <w:p w14:paraId="56D135C7">
            <w:pPr>
              <w:widowControl/>
              <w:spacing w:line="276" w:lineRule="auto"/>
              <w:rPr>
                <w:i w:val="0"/>
                <w:iCs w:val="0"/>
                <w:color w:val="auto"/>
                <w:sz w:val="21"/>
                <w:szCs w:val="15"/>
                <w:highlight w:val="none"/>
              </w:rPr>
            </w:pPr>
            <w:r>
              <w:rPr>
                <w:rFonts w:hint="eastAsia"/>
                <w:i w:val="0"/>
                <w:iCs w:val="0"/>
                <w:color w:val="auto"/>
                <w:sz w:val="21"/>
                <w:szCs w:val="15"/>
                <w:highlight w:val="none"/>
              </w:rPr>
              <w:t>云管理交换机</w:t>
            </w:r>
          </w:p>
        </w:tc>
        <w:tc>
          <w:tcPr>
            <w:tcW w:w="729" w:type="dxa"/>
            <w:tcBorders>
              <w:top w:val="single" w:color="000000" w:sz="4" w:space="0"/>
              <w:left w:val="nil"/>
              <w:bottom w:val="single" w:color="000000" w:sz="4" w:space="0"/>
              <w:right w:val="single" w:color="000000" w:sz="4" w:space="0"/>
            </w:tcBorders>
            <w:shd w:val="clear" w:color="auto" w:fill="auto"/>
            <w:noWrap/>
            <w:vAlign w:val="center"/>
          </w:tcPr>
          <w:p w14:paraId="56D135C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5C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827" w:type="dxa"/>
            <w:tcBorders>
              <w:top w:val="single" w:color="000000" w:sz="4" w:space="0"/>
              <w:left w:val="nil"/>
              <w:bottom w:val="single" w:color="000000" w:sz="4" w:space="0"/>
              <w:right w:val="single" w:color="000000" w:sz="4" w:space="0"/>
            </w:tcBorders>
            <w:vAlign w:val="center"/>
          </w:tcPr>
          <w:p w14:paraId="56D135CA">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D1">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noWrap/>
            <w:vAlign w:val="center"/>
          </w:tcPr>
          <w:p w14:paraId="56D135CC">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6</w:t>
            </w:r>
          </w:p>
        </w:tc>
        <w:tc>
          <w:tcPr>
            <w:tcW w:w="3112" w:type="dxa"/>
            <w:tcBorders>
              <w:top w:val="single" w:color="000000" w:sz="4" w:space="0"/>
              <w:left w:val="nil"/>
              <w:bottom w:val="single" w:color="000000" w:sz="4" w:space="0"/>
              <w:right w:val="single" w:color="000000" w:sz="4" w:space="0"/>
            </w:tcBorders>
            <w:noWrap/>
            <w:vAlign w:val="center"/>
          </w:tcPr>
          <w:p w14:paraId="56D135CD">
            <w:pPr>
              <w:widowControl/>
              <w:spacing w:line="276" w:lineRule="auto"/>
              <w:rPr>
                <w:i w:val="0"/>
                <w:iCs w:val="0"/>
                <w:color w:val="auto"/>
                <w:sz w:val="21"/>
                <w:szCs w:val="15"/>
                <w:highlight w:val="none"/>
              </w:rPr>
            </w:pPr>
            <w:r>
              <w:rPr>
                <w:rFonts w:hint="eastAsia"/>
                <w:i w:val="0"/>
                <w:iCs w:val="0"/>
                <w:color w:val="auto"/>
                <w:sz w:val="21"/>
                <w:szCs w:val="15"/>
                <w:highlight w:val="none"/>
              </w:rPr>
              <w:t>存储资源区</w:t>
            </w:r>
          </w:p>
        </w:tc>
        <w:tc>
          <w:tcPr>
            <w:tcW w:w="729" w:type="dxa"/>
            <w:tcBorders>
              <w:top w:val="single" w:color="000000" w:sz="4" w:space="0"/>
              <w:left w:val="nil"/>
              <w:bottom w:val="single" w:color="000000" w:sz="4" w:space="0"/>
              <w:right w:val="single" w:color="000000" w:sz="4" w:space="0"/>
            </w:tcBorders>
            <w:vAlign w:val="center"/>
          </w:tcPr>
          <w:p w14:paraId="56D135CE">
            <w:pPr>
              <w:widowControl/>
              <w:spacing w:line="276" w:lineRule="auto"/>
              <w:jc w:val="center"/>
              <w:rPr>
                <w:i w:val="0"/>
                <w:iCs w:val="0"/>
                <w:color w:val="auto"/>
                <w:sz w:val="21"/>
                <w:szCs w:val="15"/>
                <w:highlight w:val="none"/>
              </w:rPr>
            </w:pPr>
          </w:p>
        </w:tc>
        <w:tc>
          <w:tcPr>
            <w:tcW w:w="702" w:type="dxa"/>
            <w:tcBorders>
              <w:top w:val="single" w:color="000000" w:sz="4" w:space="0"/>
              <w:left w:val="nil"/>
              <w:bottom w:val="single" w:color="000000" w:sz="4" w:space="0"/>
              <w:right w:val="single" w:color="000000" w:sz="4" w:space="0"/>
            </w:tcBorders>
            <w:vAlign w:val="center"/>
          </w:tcPr>
          <w:p w14:paraId="56D135CF">
            <w:pPr>
              <w:widowControl/>
              <w:spacing w:line="276" w:lineRule="auto"/>
              <w:jc w:val="center"/>
              <w:rPr>
                <w:i w:val="0"/>
                <w:iCs w:val="0"/>
                <w:color w:val="auto"/>
                <w:sz w:val="21"/>
                <w:szCs w:val="15"/>
                <w:highlight w:val="none"/>
              </w:rPr>
            </w:pPr>
          </w:p>
        </w:tc>
        <w:tc>
          <w:tcPr>
            <w:tcW w:w="2827" w:type="dxa"/>
            <w:tcBorders>
              <w:top w:val="single" w:color="000000" w:sz="4" w:space="0"/>
              <w:left w:val="nil"/>
              <w:bottom w:val="single" w:color="000000" w:sz="4" w:space="0"/>
              <w:right w:val="single" w:color="000000" w:sz="4" w:space="0"/>
            </w:tcBorders>
            <w:vAlign w:val="center"/>
          </w:tcPr>
          <w:p w14:paraId="56D135D0">
            <w:pPr>
              <w:widowControl/>
              <w:spacing w:line="276" w:lineRule="auto"/>
              <w:rPr>
                <w:i w:val="0"/>
                <w:iCs w:val="0"/>
                <w:color w:val="auto"/>
                <w:sz w:val="21"/>
                <w:szCs w:val="15"/>
                <w:highlight w:val="none"/>
              </w:rPr>
            </w:pPr>
          </w:p>
        </w:tc>
      </w:tr>
      <w:tr w14:paraId="56D135D7">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noWrap/>
            <w:vAlign w:val="center"/>
          </w:tcPr>
          <w:p w14:paraId="56D135D2">
            <w:pPr>
              <w:widowControl/>
              <w:spacing w:line="276" w:lineRule="auto"/>
              <w:rPr>
                <w:rFonts w:hint="default"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6.1</w:t>
            </w:r>
          </w:p>
        </w:tc>
        <w:tc>
          <w:tcPr>
            <w:tcW w:w="3112" w:type="dxa"/>
            <w:tcBorders>
              <w:top w:val="single" w:color="000000" w:sz="4" w:space="0"/>
              <w:left w:val="nil"/>
              <w:bottom w:val="single" w:color="000000" w:sz="4" w:space="0"/>
              <w:right w:val="single" w:color="000000" w:sz="4" w:space="0"/>
            </w:tcBorders>
            <w:vAlign w:val="center"/>
          </w:tcPr>
          <w:p w14:paraId="56D135D3">
            <w:pPr>
              <w:widowControl/>
              <w:spacing w:line="276" w:lineRule="auto"/>
              <w:rPr>
                <w:i w:val="0"/>
                <w:iCs w:val="0"/>
                <w:color w:val="auto"/>
                <w:sz w:val="21"/>
                <w:szCs w:val="15"/>
                <w:highlight w:val="none"/>
              </w:rPr>
            </w:pPr>
            <w:r>
              <w:rPr>
                <w:rFonts w:hint="eastAsia"/>
                <w:i w:val="0"/>
                <w:iCs w:val="0"/>
                <w:color w:val="auto"/>
                <w:sz w:val="21"/>
                <w:szCs w:val="15"/>
                <w:highlight w:val="none"/>
              </w:rPr>
              <w:t>光纤交换机</w:t>
            </w:r>
          </w:p>
        </w:tc>
        <w:tc>
          <w:tcPr>
            <w:tcW w:w="729" w:type="dxa"/>
            <w:tcBorders>
              <w:top w:val="single" w:color="000000" w:sz="4" w:space="0"/>
              <w:left w:val="nil"/>
              <w:bottom w:val="single" w:color="000000" w:sz="4" w:space="0"/>
              <w:right w:val="single" w:color="000000" w:sz="4" w:space="0"/>
            </w:tcBorders>
            <w:noWrap/>
            <w:vAlign w:val="center"/>
          </w:tcPr>
          <w:p w14:paraId="56D135D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vAlign w:val="center"/>
          </w:tcPr>
          <w:p w14:paraId="56D135D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827" w:type="dxa"/>
            <w:tcBorders>
              <w:top w:val="single" w:color="000000" w:sz="4" w:space="0"/>
              <w:left w:val="nil"/>
              <w:bottom w:val="single" w:color="000000" w:sz="4" w:space="0"/>
              <w:right w:val="single" w:color="000000" w:sz="4" w:space="0"/>
            </w:tcBorders>
            <w:vAlign w:val="center"/>
          </w:tcPr>
          <w:p w14:paraId="56D135D6">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5DD">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D8">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6.2</w:t>
            </w:r>
          </w:p>
        </w:tc>
        <w:tc>
          <w:tcPr>
            <w:tcW w:w="3112" w:type="dxa"/>
            <w:tcBorders>
              <w:top w:val="single" w:color="000000" w:sz="4" w:space="0"/>
              <w:left w:val="nil"/>
              <w:bottom w:val="single" w:color="000000" w:sz="4" w:space="0"/>
              <w:right w:val="single" w:color="000000" w:sz="4" w:space="0"/>
            </w:tcBorders>
            <w:vAlign w:val="center"/>
          </w:tcPr>
          <w:p w14:paraId="56D135D9">
            <w:pPr>
              <w:widowControl/>
              <w:spacing w:line="276" w:lineRule="auto"/>
              <w:rPr>
                <w:i w:val="0"/>
                <w:iCs w:val="0"/>
                <w:color w:val="auto"/>
                <w:sz w:val="21"/>
                <w:szCs w:val="15"/>
                <w:highlight w:val="none"/>
              </w:rPr>
            </w:pPr>
            <w:r>
              <w:rPr>
                <w:rFonts w:hint="eastAsia"/>
                <w:i w:val="0"/>
                <w:iCs w:val="0"/>
                <w:color w:val="auto"/>
                <w:sz w:val="21"/>
                <w:szCs w:val="15"/>
                <w:highlight w:val="none"/>
              </w:rPr>
              <w:t>集中存储</w:t>
            </w:r>
          </w:p>
        </w:tc>
        <w:tc>
          <w:tcPr>
            <w:tcW w:w="729" w:type="dxa"/>
            <w:tcBorders>
              <w:top w:val="single" w:color="000000" w:sz="4" w:space="0"/>
              <w:left w:val="nil"/>
              <w:bottom w:val="single" w:color="000000" w:sz="4" w:space="0"/>
              <w:right w:val="single" w:color="000000" w:sz="4" w:space="0"/>
            </w:tcBorders>
            <w:noWrap/>
            <w:vAlign w:val="center"/>
          </w:tcPr>
          <w:p w14:paraId="56D135D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vAlign w:val="center"/>
          </w:tcPr>
          <w:p w14:paraId="56D135D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5DC">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80T</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5E3">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DE">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6.3</w:t>
            </w:r>
          </w:p>
        </w:tc>
        <w:tc>
          <w:tcPr>
            <w:tcW w:w="3112" w:type="dxa"/>
            <w:tcBorders>
              <w:top w:val="single" w:color="000000" w:sz="4" w:space="0"/>
              <w:left w:val="nil"/>
              <w:bottom w:val="single" w:color="000000" w:sz="4" w:space="0"/>
              <w:right w:val="single" w:color="000000" w:sz="4" w:space="0"/>
            </w:tcBorders>
            <w:vAlign w:val="center"/>
          </w:tcPr>
          <w:p w14:paraId="56D135DF">
            <w:pPr>
              <w:widowControl/>
              <w:spacing w:line="276" w:lineRule="auto"/>
              <w:rPr>
                <w:i w:val="0"/>
                <w:iCs w:val="0"/>
                <w:color w:val="auto"/>
                <w:sz w:val="21"/>
                <w:szCs w:val="15"/>
                <w:highlight w:val="none"/>
              </w:rPr>
            </w:pPr>
            <w:r>
              <w:rPr>
                <w:rFonts w:hint="eastAsia"/>
                <w:i w:val="0"/>
                <w:iCs w:val="0"/>
                <w:color w:val="auto"/>
                <w:sz w:val="21"/>
                <w:szCs w:val="15"/>
                <w:highlight w:val="none"/>
              </w:rPr>
              <w:t>备份一体机</w:t>
            </w:r>
          </w:p>
        </w:tc>
        <w:tc>
          <w:tcPr>
            <w:tcW w:w="729" w:type="dxa"/>
            <w:tcBorders>
              <w:top w:val="single" w:color="000000" w:sz="4" w:space="0"/>
              <w:left w:val="nil"/>
              <w:bottom w:val="single" w:color="000000" w:sz="4" w:space="0"/>
              <w:right w:val="single" w:color="000000" w:sz="4" w:space="0"/>
            </w:tcBorders>
            <w:noWrap/>
            <w:vAlign w:val="center"/>
          </w:tcPr>
          <w:p w14:paraId="56D135E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vAlign w:val="center"/>
          </w:tcPr>
          <w:p w14:paraId="56D135E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5E2">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60T</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5E9">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E4">
            <w:pPr>
              <w:widowControl/>
              <w:spacing w:line="276" w:lineRule="auto"/>
              <w:rPr>
                <w:rFonts w:hint="eastAsia"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7</w:t>
            </w:r>
          </w:p>
        </w:tc>
        <w:tc>
          <w:tcPr>
            <w:tcW w:w="3112" w:type="dxa"/>
            <w:tcBorders>
              <w:top w:val="single" w:color="000000" w:sz="4" w:space="0"/>
              <w:left w:val="nil"/>
              <w:bottom w:val="single" w:color="000000" w:sz="4" w:space="0"/>
              <w:right w:val="single" w:color="000000" w:sz="4" w:space="0"/>
            </w:tcBorders>
            <w:vAlign w:val="center"/>
          </w:tcPr>
          <w:p w14:paraId="56D135E5">
            <w:pPr>
              <w:widowControl/>
              <w:spacing w:line="276" w:lineRule="auto"/>
              <w:rPr>
                <w:rFonts w:hint="eastAsia"/>
                <w:i w:val="0"/>
                <w:iCs w:val="0"/>
                <w:color w:val="auto"/>
                <w:sz w:val="21"/>
                <w:szCs w:val="15"/>
                <w:highlight w:val="none"/>
              </w:rPr>
            </w:pPr>
            <w:r>
              <w:rPr>
                <w:rFonts w:hint="eastAsia"/>
                <w:i w:val="0"/>
                <w:iCs w:val="0"/>
                <w:color w:val="auto"/>
                <w:sz w:val="21"/>
                <w:szCs w:val="15"/>
                <w:highlight w:val="none"/>
              </w:rPr>
              <w:t>核心交换机</w:t>
            </w:r>
          </w:p>
        </w:tc>
        <w:tc>
          <w:tcPr>
            <w:tcW w:w="729" w:type="dxa"/>
            <w:tcBorders>
              <w:top w:val="single" w:color="000000" w:sz="4" w:space="0"/>
              <w:left w:val="nil"/>
              <w:bottom w:val="single" w:color="000000" w:sz="4" w:space="0"/>
              <w:right w:val="single" w:color="000000" w:sz="4" w:space="0"/>
            </w:tcBorders>
            <w:noWrap/>
            <w:vAlign w:val="center"/>
          </w:tcPr>
          <w:p w14:paraId="56D135E6">
            <w:pPr>
              <w:widowControl/>
              <w:spacing w:line="276" w:lineRule="auto"/>
              <w:jc w:val="center"/>
              <w:rPr>
                <w:rFonts w:hint="eastAsia"/>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vAlign w:val="center"/>
          </w:tcPr>
          <w:p w14:paraId="56D135E7">
            <w:pPr>
              <w:widowControl/>
              <w:spacing w:line="276" w:lineRule="auto"/>
              <w:jc w:val="center"/>
              <w:rPr>
                <w:rFonts w:hint="eastAsia"/>
                <w:i w:val="0"/>
                <w:iCs w:val="0"/>
                <w:color w:val="auto"/>
                <w:sz w:val="21"/>
                <w:szCs w:val="15"/>
                <w:highlight w:val="none"/>
              </w:rPr>
            </w:pPr>
            <w:r>
              <w:rPr>
                <w:rFonts w:hint="eastAsia"/>
                <w:i w:val="0"/>
                <w:iCs w:val="0"/>
                <w:color w:val="auto"/>
                <w:sz w:val="21"/>
                <w:szCs w:val="15"/>
                <w:highlight w:val="none"/>
              </w:rPr>
              <w:t>2</w:t>
            </w:r>
          </w:p>
        </w:tc>
        <w:tc>
          <w:tcPr>
            <w:tcW w:w="2827" w:type="dxa"/>
            <w:tcBorders>
              <w:top w:val="single" w:color="000000" w:sz="4" w:space="0"/>
              <w:left w:val="nil"/>
              <w:bottom w:val="single" w:color="000000" w:sz="4" w:space="0"/>
              <w:right w:val="single" w:color="000000" w:sz="4" w:space="0"/>
            </w:tcBorders>
            <w:vAlign w:val="center"/>
          </w:tcPr>
          <w:p w14:paraId="56D135E8">
            <w:pPr>
              <w:widowControl/>
              <w:spacing w:line="276" w:lineRule="auto"/>
              <w:rPr>
                <w:rFonts w:hint="eastAsia"/>
                <w:i w:val="0"/>
                <w:iCs w:val="0"/>
                <w:color w:val="auto"/>
                <w:sz w:val="21"/>
                <w:szCs w:val="15"/>
                <w:highlight w:val="none"/>
              </w:rPr>
            </w:pPr>
            <w:r>
              <w:rPr>
                <w:rFonts w:hint="eastAsia"/>
                <w:i w:val="0"/>
                <w:iCs w:val="0"/>
                <w:color w:val="auto"/>
                <w:sz w:val="21"/>
                <w:szCs w:val="15"/>
                <w:highlight w:val="none"/>
                <w:lang w:val="en-US" w:eastAsia="zh-CN"/>
              </w:rPr>
              <w:t>硬件。</w:t>
            </w:r>
          </w:p>
        </w:tc>
      </w:tr>
      <w:tr w14:paraId="56D135EF">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3B809">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cs="Times New Roman"/>
                <w:i w:val="0"/>
                <w:iCs w:val="0"/>
                <w:color w:val="auto"/>
                <w:kern w:val="2"/>
                <w:sz w:val="21"/>
                <w:szCs w:val="15"/>
                <w:highlight w:val="none"/>
                <w:lang w:val="en-US" w:eastAsia="zh-CN" w:bidi="ar-SA"/>
              </w:rPr>
              <w:t>8</w:t>
            </w:r>
          </w:p>
        </w:tc>
        <w:tc>
          <w:tcPr>
            <w:tcW w:w="3112" w:type="dxa"/>
            <w:tcBorders>
              <w:top w:val="single" w:color="000000" w:sz="4" w:space="0"/>
              <w:left w:val="nil"/>
              <w:bottom w:val="single" w:color="000000" w:sz="4" w:space="0"/>
              <w:right w:val="single" w:color="000000" w:sz="4" w:space="0"/>
            </w:tcBorders>
            <w:vAlign w:val="center"/>
          </w:tcPr>
          <w:p w14:paraId="56D135EB">
            <w:pPr>
              <w:widowControl/>
              <w:spacing w:line="276" w:lineRule="auto"/>
              <w:rPr>
                <w:i w:val="0"/>
                <w:iCs w:val="0"/>
                <w:color w:val="auto"/>
                <w:sz w:val="21"/>
                <w:szCs w:val="15"/>
                <w:highlight w:val="none"/>
              </w:rPr>
            </w:pPr>
            <w:r>
              <w:rPr>
                <w:rFonts w:hint="eastAsia"/>
                <w:i w:val="0"/>
                <w:iCs w:val="0"/>
                <w:color w:val="auto"/>
                <w:sz w:val="21"/>
                <w:szCs w:val="15"/>
                <w:highlight w:val="none"/>
              </w:rPr>
              <w:t>信息安全</w:t>
            </w:r>
          </w:p>
        </w:tc>
        <w:tc>
          <w:tcPr>
            <w:tcW w:w="729" w:type="dxa"/>
            <w:tcBorders>
              <w:top w:val="single" w:color="000000" w:sz="4" w:space="0"/>
              <w:left w:val="nil"/>
              <w:bottom w:val="single" w:color="000000" w:sz="4" w:space="0"/>
              <w:right w:val="single" w:color="000000" w:sz="4" w:space="0"/>
            </w:tcBorders>
            <w:shd w:val="clear" w:color="auto" w:fill="auto"/>
            <w:noWrap/>
            <w:vAlign w:val="center"/>
          </w:tcPr>
          <w:p w14:paraId="56D135EC">
            <w:pPr>
              <w:widowControl/>
              <w:spacing w:line="276" w:lineRule="auto"/>
              <w:jc w:val="center"/>
              <w:rPr>
                <w:i w:val="0"/>
                <w:iCs w:val="0"/>
                <w:color w:val="auto"/>
                <w:sz w:val="21"/>
                <w:szCs w:val="15"/>
                <w:highlight w:val="none"/>
              </w:rPr>
            </w:pP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5ED">
            <w:pPr>
              <w:widowControl/>
              <w:spacing w:line="276" w:lineRule="auto"/>
              <w:jc w:val="center"/>
              <w:rPr>
                <w:i w:val="0"/>
                <w:iCs w:val="0"/>
                <w:color w:val="auto"/>
                <w:sz w:val="21"/>
                <w:szCs w:val="15"/>
                <w:highlight w:val="none"/>
              </w:rPr>
            </w:pPr>
          </w:p>
        </w:tc>
        <w:tc>
          <w:tcPr>
            <w:tcW w:w="2827" w:type="dxa"/>
            <w:tcBorders>
              <w:top w:val="single" w:color="000000" w:sz="4" w:space="0"/>
              <w:left w:val="nil"/>
              <w:bottom w:val="single" w:color="000000" w:sz="4" w:space="0"/>
              <w:right w:val="single" w:color="000000" w:sz="4" w:space="0"/>
            </w:tcBorders>
            <w:vAlign w:val="center"/>
          </w:tcPr>
          <w:p w14:paraId="56D135EE">
            <w:pPr>
              <w:widowControl/>
              <w:spacing w:line="276" w:lineRule="auto"/>
              <w:rPr>
                <w:i w:val="0"/>
                <w:iCs w:val="0"/>
                <w:color w:val="auto"/>
                <w:sz w:val="21"/>
                <w:szCs w:val="15"/>
                <w:highlight w:val="none"/>
              </w:rPr>
            </w:pPr>
          </w:p>
        </w:tc>
      </w:tr>
      <w:tr w14:paraId="56D135F5">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F0">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8.1</w:t>
            </w:r>
          </w:p>
        </w:tc>
        <w:tc>
          <w:tcPr>
            <w:tcW w:w="3112" w:type="dxa"/>
            <w:tcBorders>
              <w:top w:val="single" w:color="000000" w:sz="4" w:space="0"/>
              <w:left w:val="nil"/>
              <w:bottom w:val="single" w:color="000000" w:sz="4" w:space="0"/>
              <w:right w:val="single" w:color="000000" w:sz="4" w:space="0"/>
            </w:tcBorders>
            <w:noWrap/>
            <w:vAlign w:val="center"/>
          </w:tcPr>
          <w:p w14:paraId="56D135F1">
            <w:pPr>
              <w:widowControl/>
              <w:spacing w:line="276" w:lineRule="auto"/>
              <w:rPr>
                <w:i w:val="0"/>
                <w:iCs w:val="0"/>
                <w:color w:val="auto"/>
                <w:sz w:val="21"/>
                <w:szCs w:val="15"/>
                <w:highlight w:val="none"/>
              </w:rPr>
            </w:pPr>
            <w:r>
              <w:rPr>
                <w:rFonts w:hint="eastAsia"/>
                <w:i w:val="0"/>
                <w:iCs w:val="0"/>
                <w:color w:val="auto"/>
                <w:sz w:val="21"/>
                <w:szCs w:val="15"/>
                <w:highlight w:val="none"/>
              </w:rPr>
              <w:t>堡垒机</w:t>
            </w:r>
          </w:p>
        </w:tc>
        <w:tc>
          <w:tcPr>
            <w:tcW w:w="729" w:type="dxa"/>
            <w:tcBorders>
              <w:top w:val="single" w:color="000000" w:sz="4" w:space="0"/>
              <w:left w:val="nil"/>
              <w:bottom w:val="single" w:color="000000" w:sz="4" w:space="0"/>
              <w:right w:val="single" w:color="000000" w:sz="4" w:space="0"/>
            </w:tcBorders>
            <w:vAlign w:val="center"/>
          </w:tcPr>
          <w:p w14:paraId="56D135F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vAlign w:val="center"/>
          </w:tcPr>
          <w:p w14:paraId="56D135F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5F4">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rPr>
              <w:t>云化部署</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5FB">
        <w:tblPrEx>
          <w:tblCellMar>
            <w:top w:w="0" w:type="dxa"/>
            <w:left w:w="108" w:type="dxa"/>
            <w:bottom w:w="0" w:type="dxa"/>
            <w:right w:w="108" w:type="dxa"/>
          </w:tblCellMar>
        </w:tblPrEx>
        <w:trPr>
          <w:trHeight w:val="293" w:hRule="atLeast"/>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F6">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8.2</w:t>
            </w:r>
          </w:p>
        </w:tc>
        <w:tc>
          <w:tcPr>
            <w:tcW w:w="3112" w:type="dxa"/>
            <w:tcBorders>
              <w:top w:val="single" w:color="000000" w:sz="4" w:space="0"/>
              <w:left w:val="nil"/>
              <w:bottom w:val="single" w:color="000000" w:sz="4" w:space="0"/>
              <w:right w:val="single" w:color="000000" w:sz="4" w:space="0"/>
            </w:tcBorders>
            <w:noWrap/>
            <w:vAlign w:val="center"/>
          </w:tcPr>
          <w:p w14:paraId="56D135F7">
            <w:pPr>
              <w:widowControl/>
              <w:spacing w:line="276" w:lineRule="auto"/>
              <w:rPr>
                <w:i w:val="0"/>
                <w:iCs w:val="0"/>
                <w:color w:val="auto"/>
                <w:sz w:val="21"/>
                <w:szCs w:val="15"/>
                <w:highlight w:val="none"/>
              </w:rPr>
            </w:pPr>
            <w:r>
              <w:rPr>
                <w:rFonts w:hint="eastAsia"/>
                <w:i w:val="0"/>
                <w:iCs w:val="0"/>
                <w:color w:val="auto"/>
                <w:sz w:val="21"/>
                <w:szCs w:val="15"/>
                <w:highlight w:val="none"/>
              </w:rPr>
              <w:t>数据库审计</w:t>
            </w:r>
          </w:p>
        </w:tc>
        <w:tc>
          <w:tcPr>
            <w:tcW w:w="729" w:type="dxa"/>
            <w:tcBorders>
              <w:top w:val="single" w:color="000000" w:sz="4" w:space="0"/>
              <w:left w:val="nil"/>
              <w:bottom w:val="single" w:color="000000" w:sz="4" w:space="0"/>
              <w:right w:val="single" w:color="000000" w:sz="4" w:space="0"/>
            </w:tcBorders>
            <w:shd w:val="clear" w:color="auto" w:fill="auto"/>
            <w:vAlign w:val="center"/>
          </w:tcPr>
          <w:p w14:paraId="56D135F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5F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5FA">
            <w:pPr>
              <w:widowControl/>
              <w:spacing w:line="276" w:lineRule="auto"/>
              <w:rPr>
                <w:i w:val="0"/>
                <w:iCs w:val="0"/>
                <w:color w:val="auto"/>
                <w:sz w:val="21"/>
                <w:szCs w:val="15"/>
                <w:highlight w:val="none"/>
              </w:rPr>
            </w:pPr>
            <w:r>
              <w:rPr>
                <w:rFonts w:hint="eastAsia"/>
                <w:i w:val="0"/>
                <w:iCs w:val="0"/>
                <w:color w:val="auto"/>
                <w:sz w:val="21"/>
                <w:szCs w:val="15"/>
                <w:highlight w:val="none"/>
              </w:rPr>
              <w:t>云化部署，含授权</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601">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5FC">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8.3</w:t>
            </w:r>
          </w:p>
        </w:tc>
        <w:tc>
          <w:tcPr>
            <w:tcW w:w="3112" w:type="dxa"/>
            <w:tcBorders>
              <w:top w:val="single" w:color="000000" w:sz="4" w:space="0"/>
              <w:left w:val="nil"/>
              <w:bottom w:val="single" w:color="000000" w:sz="4" w:space="0"/>
              <w:right w:val="single" w:color="000000" w:sz="4" w:space="0"/>
            </w:tcBorders>
            <w:noWrap/>
            <w:vAlign w:val="center"/>
          </w:tcPr>
          <w:p w14:paraId="56D135FD">
            <w:pPr>
              <w:widowControl/>
              <w:spacing w:line="276" w:lineRule="auto"/>
              <w:rPr>
                <w:i w:val="0"/>
                <w:iCs w:val="0"/>
                <w:color w:val="auto"/>
                <w:sz w:val="21"/>
                <w:szCs w:val="15"/>
                <w:highlight w:val="none"/>
              </w:rPr>
            </w:pPr>
            <w:r>
              <w:rPr>
                <w:rFonts w:hint="eastAsia"/>
                <w:i w:val="0"/>
                <w:iCs w:val="0"/>
                <w:color w:val="auto"/>
                <w:sz w:val="21"/>
                <w:szCs w:val="15"/>
                <w:highlight w:val="none"/>
              </w:rPr>
              <w:t>WAF</w:t>
            </w:r>
          </w:p>
        </w:tc>
        <w:tc>
          <w:tcPr>
            <w:tcW w:w="729" w:type="dxa"/>
            <w:tcBorders>
              <w:top w:val="single" w:color="000000" w:sz="4" w:space="0"/>
              <w:left w:val="nil"/>
              <w:bottom w:val="single" w:color="000000" w:sz="4" w:space="0"/>
              <w:right w:val="single" w:color="000000" w:sz="4" w:space="0"/>
            </w:tcBorders>
            <w:vAlign w:val="center"/>
          </w:tcPr>
          <w:p w14:paraId="56D135F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vAlign w:val="center"/>
          </w:tcPr>
          <w:p w14:paraId="56D135F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600">
            <w:pPr>
              <w:widowControl/>
              <w:spacing w:line="276" w:lineRule="auto"/>
              <w:rPr>
                <w:i w:val="0"/>
                <w:iCs w:val="0"/>
                <w:color w:val="auto"/>
                <w:sz w:val="21"/>
                <w:szCs w:val="15"/>
                <w:highlight w:val="none"/>
              </w:rPr>
            </w:pPr>
            <w:r>
              <w:rPr>
                <w:rFonts w:hint="eastAsia"/>
                <w:i w:val="0"/>
                <w:iCs w:val="0"/>
                <w:color w:val="auto"/>
                <w:sz w:val="21"/>
                <w:szCs w:val="15"/>
                <w:highlight w:val="none"/>
              </w:rPr>
              <w:t>云化部署</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607">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02">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8.4</w:t>
            </w:r>
          </w:p>
        </w:tc>
        <w:tc>
          <w:tcPr>
            <w:tcW w:w="3112" w:type="dxa"/>
            <w:tcBorders>
              <w:top w:val="single" w:color="000000" w:sz="4" w:space="0"/>
              <w:left w:val="nil"/>
              <w:bottom w:val="single" w:color="000000" w:sz="4" w:space="0"/>
              <w:right w:val="single" w:color="000000" w:sz="4" w:space="0"/>
            </w:tcBorders>
            <w:noWrap/>
            <w:vAlign w:val="center"/>
          </w:tcPr>
          <w:p w14:paraId="56D13603">
            <w:pPr>
              <w:widowControl/>
              <w:spacing w:line="276" w:lineRule="auto"/>
              <w:rPr>
                <w:i w:val="0"/>
                <w:iCs w:val="0"/>
                <w:color w:val="auto"/>
                <w:sz w:val="21"/>
                <w:szCs w:val="15"/>
                <w:highlight w:val="none"/>
              </w:rPr>
            </w:pPr>
            <w:r>
              <w:rPr>
                <w:rFonts w:hint="eastAsia"/>
                <w:i w:val="0"/>
                <w:iCs w:val="0"/>
                <w:color w:val="auto"/>
                <w:sz w:val="21"/>
                <w:szCs w:val="15"/>
                <w:highlight w:val="none"/>
              </w:rPr>
              <w:t>主机安全</w:t>
            </w:r>
          </w:p>
        </w:tc>
        <w:tc>
          <w:tcPr>
            <w:tcW w:w="729" w:type="dxa"/>
            <w:tcBorders>
              <w:top w:val="single" w:color="000000" w:sz="4" w:space="0"/>
              <w:left w:val="nil"/>
              <w:bottom w:val="single" w:color="000000" w:sz="4" w:space="0"/>
              <w:right w:val="single" w:color="000000" w:sz="4" w:space="0"/>
            </w:tcBorders>
            <w:shd w:val="clear" w:color="auto" w:fill="auto"/>
            <w:vAlign w:val="center"/>
          </w:tcPr>
          <w:p w14:paraId="56D1360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60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606">
            <w:pPr>
              <w:widowControl/>
              <w:spacing w:line="276" w:lineRule="auto"/>
              <w:rPr>
                <w:i w:val="0"/>
                <w:iCs w:val="0"/>
                <w:color w:val="auto"/>
                <w:sz w:val="21"/>
                <w:szCs w:val="15"/>
                <w:highlight w:val="none"/>
              </w:rPr>
            </w:pPr>
            <w:r>
              <w:rPr>
                <w:rFonts w:hint="eastAsia"/>
                <w:i w:val="0"/>
                <w:iCs w:val="0"/>
                <w:color w:val="auto"/>
                <w:sz w:val="21"/>
                <w:szCs w:val="15"/>
                <w:highlight w:val="none"/>
              </w:rPr>
              <w:t>云化部署</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软件。</w:t>
            </w:r>
          </w:p>
        </w:tc>
      </w:tr>
      <w:tr w14:paraId="56D1360D">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08">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8.5</w:t>
            </w:r>
          </w:p>
        </w:tc>
        <w:tc>
          <w:tcPr>
            <w:tcW w:w="3112" w:type="dxa"/>
            <w:tcBorders>
              <w:top w:val="single" w:color="000000" w:sz="4" w:space="0"/>
              <w:left w:val="nil"/>
              <w:bottom w:val="single" w:color="000000" w:sz="4" w:space="0"/>
              <w:right w:val="single" w:color="000000" w:sz="4" w:space="0"/>
            </w:tcBorders>
            <w:shd w:val="clear" w:color="auto" w:fill="auto"/>
            <w:noWrap/>
            <w:vAlign w:val="center"/>
          </w:tcPr>
          <w:p w14:paraId="56D13609">
            <w:pPr>
              <w:widowControl/>
              <w:spacing w:line="276" w:lineRule="auto"/>
              <w:rPr>
                <w:i w:val="0"/>
                <w:iCs w:val="0"/>
                <w:color w:val="auto"/>
                <w:sz w:val="21"/>
                <w:szCs w:val="15"/>
                <w:highlight w:val="none"/>
              </w:rPr>
            </w:pPr>
            <w:r>
              <w:rPr>
                <w:rFonts w:hint="eastAsia"/>
                <w:i w:val="0"/>
                <w:iCs w:val="0"/>
                <w:color w:val="auto"/>
                <w:sz w:val="21"/>
                <w:szCs w:val="15"/>
                <w:highlight w:val="none"/>
              </w:rPr>
              <w:t>防火墙</w:t>
            </w:r>
          </w:p>
        </w:tc>
        <w:tc>
          <w:tcPr>
            <w:tcW w:w="729" w:type="dxa"/>
            <w:tcBorders>
              <w:top w:val="single" w:color="000000" w:sz="4" w:space="0"/>
              <w:left w:val="nil"/>
              <w:bottom w:val="single" w:color="000000" w:sz="4" w:space="0"/>
              <w:right w:val="single" w:color="000000" w:sz="4" w:space="0"/>
            </w:tcBorders>
            <w:shd w:val="clear" w:color="auto" w:fill="auto"/>
            <w:vAlign w:val="center"/>
          </w:tcPr>
          <w:p w14:paraId="56D1360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60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827" w:type="dxa"/>
            <w:tcBorders>
              <w:top w:val="single" w:color="000000" w:sz="4" w:space="0"/>
              <w:left w:val="nil"/>
              <w:bottom w:val="single" w:color="000000" w:sz="4" w:space="0"/>
              <w:right w:val="single" w:color="000000" w:sz="4" w:space="0"/>
            </w:tcBorders>
            <w:shd w:val="clear" w:color="auto" w:fill="auto"/>
            <w:vAlign w:val="center"/>
          </w:tcPr>
          <w:p w14:paraId="56D1360C">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613">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0E">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8.6</w:t>
            </w:r>
          </w:p>
        </w:tc>
        <w:tc>
          <w:tcPr>
            <w:tcW w:w="3112" w:type="dxa"/>
            <w:tcBorders>
              <w:top w:val="single" w:color="000000" w:sz="4" w:space="0"/>
              <w:left w:val="nil"/>
              <w:bottom w:val="single" w:color="000000" w:sz="4" w:space="0"/>
              <w:right w:val="single" w:color="000000" w:sz="4" w:space="0"/>
            </w:tcBorders>
            <w:shd w:val="clear" w:color="auto" w:fill="auto"/>
            <w:noWrap/>
            <w:vAlign w:val="center"/>
          </w:tcPr>
          <w:p w14:paraId="56D1360F">
            <w:pPr>
              <w:widowControl/>
              <w:spacing w:line="276" w:lineRule="auto"/>
              <w:rPr>
                <w:i w:val="0"/>
                <w:iCs w:val="0"/>
                <w:color w:val="auto"/>
                <w:sz w:val="21"/>
                <w:szCs w:val="15"/>
                <w:highlight w:val="none"/>
              </w:rPr>
            </w:pPr>
            <w:r>
              <w:rPr>
                <w:rFonts w:hint="eastAsia"/>
                <w:i w:val="0"/>
                <w:iCs w:val="0"/>
                <w:color w:val="auto"/>
                <w:sz w:val="21"/>
                <w:szCs w:val="15"/>
                <w:highlight w:val="none"/>
              </w:rPr>
              <w:t>日志审计</w:t>
            </w:r>
          </w:p>
        </w:tc>
        <w:tc>
          <w:tcPr>
            <w:tcW w:w="729" w:type="dxa"/>
            <w:tcBorders>
              <w:top w:val="single" w:color="000000" w:sz="4" w:space="0"/>
              <w:left w:val="nil"/>
              <w:bottom w:val="single" w:color="000000" w:sz="4" w:space="0"/>
              <w:right w:val="single" w:color="000000" w:sz="4" w:space="0"/>
            </w:tcBorders>
            <w:shd w:val="clear" w:color="auto" w:fill="auto"/>
            <w:vAlign w:val="center"/>
          </w:tcPr>
          <w:p w14:paraId="56D1361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shd w:val="clear" w:color="auto" w:fill="auto"/>
            <w:vAlign w:val="center"/>
          </w:tcPr>
          <w:p w14:paraId="56D1361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shd w:val="clear" w:color="auto" w:fill="auto"/>
            <w:vAlign w:val="center"/>
          </w:tcPr>
          <w:p w14:paraId="56D13612">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619">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14">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8.7</w:t>
            </w:r>
          </w:p>
        </w:tc>
        <w:tc>
          <w:tcPr>
            <w:tcW w:w="3112" w:type="dxa"/>
            <w:tcBorders>
              <w:top w:val="single" w:color="000000" w:sz="4" w:space="0"/>
              <w:left w:val="nil"/>
              <w:bottom w:val="single" w:color="000000" w:sz="4" w:space="0"/>
              <w:right w:val="single" w:color="000000" w:sz="4" w:space="0"/>
            </w:tcBorders>
            <w:vAlign w:val="center"/>
          </w:tcPr>
          <w:p w14:paraId="56D13615">
            <w:pPr>
              <w:widowControl/>
              <w:spacing w:line="276" w:lineRule="auto"/>
              <w:rPr>
                <w:i w:val="0"/>
                <w:iCs w:val="0"/>
                <w:color w:val="auto"/>
                <w:sz w:val="21"/>
                <w:szCs w:val="15"/>
                <w:highlight w:val="none"/>
              </w:rPr>
            </w:pPr>
            <w:r>
              <w:rPr>
                <w:rFonts w:hint="eastAsia"/>
                <w:i w:val="0"/>
                <w:iCs w:val="0"/>
                <w:color w:val="auto"/>
                <w:sz w:val="21"/>
                <w:szCs w:val="15"/>
                <w:highlight w:val="none"/>
              </w:rPr>
              <w:t>势态感知</w:t>
            </w:r>
          </w:p>
        </w:tc>
        <w:tc>
          <w:tcPr>
            <w:tcW w:w="729" w:type="dxa"/>
            <w:tcBorders>
              <w:top w:val="single" w:color="000000" w:sz="4" w:space="0"/>
              <w:left w:val="nil"/>
              <w:bottom w:val="single" w:color="000000" w:sz="4" w:space="0"/>
              <w:right w:val="single" w:color="000000" w:sz="4" w:space="0"/>
            </w:tcBorders>
            <w:noWrap/>
            <w:vAlign w:val="center"/>
          </w:tcPr>
          <w:p w14:paraId="56D1361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台</w:t>
            </w:r>
          </w:p>
        </w:tc>
        <w:tc>
          <w:tcPr>
            <w:tcW w:w="702" w:type="dxa"/>
            <w:tcBorders>
              <w:top w:val="single" w:color="000000" w:sz="4" w:space="0"/>
              <w:left w:val="nil"/>
              <w:bottom w:val="single" w:color="000000" w:sz="4" w:space="0"/>
              <w:right w:val="single" w:color="000000" w:sz="4" w:space="0"/>
            </w:tcBorders>
            <w:vAlign w:val="center"/>
          </w:tcPr>
          <w:p w14:paraId="56D1361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noWrap/>
            <w:vAlign w:val="center"/>
          </w:tcPr>
          <w:p w14:paraId="56D13618">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61F">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1A">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8.8</w:t>
            </w:r>
          </w:p>
        </w:tc>
        <w:tc>
          <w:tcPr>
            <w:tcW w:w="3112" w:type="dxa"/>
            <w:tcBorders>
              <w:top w:val="single" w:color="000000" w:sz="4" w:space="0"/>
              <w:left w:val="nil"/>
              <w:bottom w:val="single" w:color="000000" w:sz="4" w:space="0"/>
              <w:right w:val="single" w:color="000000" w:sz="4" w:space="0"/>
            </w:tcBorders>
            <w:noWrap/>
            <w:vAlign w:val="center"/>
          </w:tcPr>
          <w:p w14:paraId="56D1361B">
            <w:pPr>
              <w:widowControl/>
              <w:spacing w:line="276" w:lineRule="auto"/>
              <w:rPr>
                <w:i w:val="0"/>
                <w:iCs w:val="0"/>
                <w:color w:val="auto"/>
                <w:sz w:val="21"/>
                <w:szCs w:val="15"/>
                <w:highlight w:val="none"/>
              </w:rPr>
            </w:pPr>
            <w:r>
              <w:rPr>
                <w:rFonts w:hint="eastAsia"/>
                <w:i w:val="0"/>
                <w:iCs w:val="0"/>
                <w:color w:val="auto"/>
                <w:sz w:val="21"/>
                <w:szCs w:val="15"/>
                <w:highlight w:val="none"/>
              </w:rPr>
              <w:t>探针</w:t>
            </w:r>
          </w:p>
        </w:tc>
        <w:tc>
          <w:tcPr>
            <w:tcW w:w="729" w:type="dxa"/>
            <w:tcBorders>
              <w:top w:val="single" w:color="000000" w:sz="4" w:space="0"/>
              <w:left w:val="nil"/>
              <w:bottom w:val="single" w:color="000000" w:sz="4" w:space="0"/>
              <w:right w:val="single" w:color="000000" w:sz="4" w:space="0"/>
            </w:tcBorders>
            <w:noWrap/>
            <w:vAlign w:val="center"/>
          </w:tcPr>
          <w:p w14:paraId="56D1361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个</w:t>
            </w:r>
          </w:p>
        </w:tc>
        <w:tc>
          <w:tcPr>
            <w:tcW w:w="702" w:type="dxa"/>
            <w:tcBorders>
              <w:top w:val="single" w:color="000000" w:sz="4" w:space="0"/>
              <w:left w:val="nil"/>
              <w:bottom w:val="single" w:color="000000" w:sz="4" w:space="0"/>
              <w:right w:val="single" w:color="000000" w:sz="4" w:space="0"/>
            </w:tcBorders>
            <w:vAlign w:val="center"/>
          </w:tcPr>
          <w:p w14:paraId="56D1361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61E">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625">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20">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9</w:t>
            </w:r>
          </w:p>
        </w:tc>
        <w:tc>
          <w:tcPr>
            <w:tcW w:w="3112" w:type="dxa"/>
            <w:tcBorders>
              <w:top w:val="single" w:color="000000" w:sz="4" w:space="0"/>
              <w:left w:val="nil"/>
              <w:bottom w:val="single" w:color="000000" w:sz="4" w:space="0"/>
              <w:right w:val="single" w:color="000000" w:sz="4" w:space="0"/>
            </w:tcBorders>
            <w:noWrap/>
            <w:vAlign w:val="center"/>
          </w:tcPr>
          <w:p w14:paraId="56D13621">
            <w:pPr>
              <w:widowControl/>
              <w:spacing w:line="276" w:lineRule="auto"/>
              <w:rPr>
                <w:i w:val="0"/>
                <w:iCs w:val="0"/>
                <w:color w:val="auto"/>
                <w:sz w:val="21"/>
                <w:szCs w:val="15"/>
                <w:highlight w:val="none"/>
              </w:rPr>
            </w:pPr>
            <w:r>
              <w:rPr>
                <w:rFonts w:hint="eastAsia"/>
                <w:i w:val="0"/>
                <w:iCs w:val="0"/>
                <w:color w:val="auto"/>
                <w:sz w:val="21"/>
                <w:szCs w:val="15"/>
                <w:highlight w:val="none"/>
              </w:rPr>
              <w:t>集成实施服务</w:t>
            </w:r>
          </w:p>
        </w:tc>
        <w:tc>
          <w:tcPr>
            <w:tcW w:w="729" w:type="dxa"/>
            <w:tcBorders>
              <w:top w:val="single" w:color="000000" w:sz="4" w:space="0"/>
              <w:left w:val="nil"/>
              <w:bottom w:val="single" w:color="000000" w:sz="4" w:space="0"/>
              <w:right w:val="single" w:color="000000" w:sz="4" w:space="0"/>
            </w:tcBorders>
            <w:noWrap/>
            <w:vAlign w:val="center"/>
          </w:tcPr>
          <w:p w14:paraId="56D1362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批</w:t>
            </w:r>
          </w:p>
        </w:tc>
        <w:tc>
          <w:tcPr>
            <w:tcW w:w="702" w:type="dxa"/>
            <w:tcBorders>
              <w:top w:val="single" w:color="000000" w:sz="4" w:space="0"/>
              <w:left w:val="nil"/>
              <w:bottom w:val="single" w:color="000000" w:sz="4" w:space="0"/>
              <w:right w:val="single" w:color="000000" w:sz="4" w:space="0"/>
            </w:tcBorders>
            <w:vAlign w:val="center"/>
          </w:tcPr>
          <w:p w14:paraId="56D1362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624">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服务。</w:t>
            </w:r>
          </w:p>
        </w:tc>
      </w:tr>
      <w:tr w14:paraId="56D1362B">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26">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10</w:t>
            </w:r>
          </w:p>
        </w:tc>
        <w:tc>
          <w:tcPr>
            <w:tcW w:w="3112" w:type="dxa"/>
            <w:tcBorders>
              <w:top w:val="single" w:color="000000" w:sz="4" w:space="0"/>
              <w:left w:val="nil"/>
              <w:bottom w:val="single" w:color="000000" w:sz="4" w:space="0"/>
              <w:right w:val="single" w:color="000000" w:sz="4" w:space="0"/>
            </w:tcBorders>
            <w:vAlign w:val="center"/>
          </w:tcPr>
          <w:p w14:paraId="56D13627">
            <w:pPr>
              <w:widowControl/>
              <w:spacing w:line="276" w:lineRule="auto"/>
              <w:rPr>
                <w:i w:val="0"/>
                <w:iCs w:val="0"/>
                <w:color w:val="auto"/>
                <w:sz w:val="21"/>
                <w:szCs w:val="15"/>
                <w:highlight w:val="none"/>
              </w:rPr>
            </w:pPr>
            <w:r>
              <w:rPr>
                <w:rFonts w:hint="eastAsia"/>
                <w:i w:val="0"/>
                <w:iCs w:val="0"/>
                <w:color w:val="auto"/>
                <w:sz w:val="21"/>
                <w:szCs w:val="15"/>
                <w:highlight w:val="none"/>
              </w:rPr>
              <w:t>信息安全防护第三方技术测试</w:t>
            </w:r>
          </w:p>
        </w:tc>
        <w:tc>
          <w:tcPr>
            <w:tcW w:w="729" w:type="dxa"/>
            <w:tcBorders>
              <w:top w:val="single" w:color="000000" w:sz="4" w:space="0"/>
              <w:left w:val="nil"/>
              <w:bottom w:val="single" w:color="000000" w:sz="4" w:space="0"/>
              <w:right w:val="single" w:color="000000" w:sz="4" w:space="0"/>
            </w:tcBorders>
            <w:noWrap/>
            <w:vAlign w:val="center"/>
          </w:tcPr>
          <w:p w14:paraId="56D1362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vAlign w:val="center"/>
          </w:tcPr>
          <w:p w14:paraId="56D1362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62A">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服务。</w:t>
            </w:r>
          </w:p>
        </w:tc>
      </w:tr>
      <w:tr w14:paraId="56D13631">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2C">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11</w:t>
            </w:r>
          </w:p>
        </w:tc>
        <w:tc>
          <w:tcPr>
            <w:tcW w:w="3112" w:type="dxa"/>
            <w:tcBorders>
              <w:top w:val="single" w:color="000000" w:sz="4" w:space="0"/>
              <w:left w:val="nil"/>
              <w:bottom w:val="single" w:color="000000" w:sz="4" w:space="0"/>
              <w:right w:val="single" w:color="000000" w:sz="4" w:space="0"/>
            </w:tcBorders>
            <w:noWrap/>
            <w:vAlign w:val="center"/>
          </w:tcPr>
          <w:p w14:paraId="56D1362D">
            <w:pPr>
              <w:widowControl/>
              <w:spacing w:line="276" w:lineRule="auto"/>
              <w:rPr>
                <w:i w:val="0"/>
                <w:iCs w:val="0"/>
                <w:color w:val="auto"/>
                <w:sz w:val="21"/>
                <w:szCs w:val="15"/>
                <w:highlight w:val="none"/>
              </w:rPr>
            </w:pPr>
            <w:r>
              <w:rPr>
                <w:rFonts w:hint="eastAsia"/>
                <w:i w:val="0"/>
                <w:iCs w:val="0"/>
                <w:color w:val="auto"/>
                <w:sz w:val="21"/>
                <w:szCs w:val="15"/>
                <w:highlight w:val="none"/>
              </w:rPr>
              <w:t>柜体</w:t>
            </w:r>
          </w:p>
        </w:tc>
        <w:tc>
          <w:tcPr>
            <w:tcW w:w="729" w:type="dxa"/>
            <w:tcBorders>
              <w:top w:val="single" w:color="000000" w:sz="4" w:space="0"/>
              <w:left w:val="nil"/>
              <w:bottom w:val="single" w:color="000000" w:sz="4" w:space="0"/>
              <w:right w:val="single" w:color="000000" w:sz="4" w:space="0"/>
            </w:tcBorders>
            <w:noWrap/>
            <w:vAlign w:val="center"/>
          </w:tcPr>
          <w:p w14:paraId="56D1362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vAlign w:val="center"/>
          </w:tcPr>
          <w:p w14:paraId="56D1362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2827" w:type="dxa"/>
            <w:tcBorders>
              <w:top w:val="single" w:color="000000" w:sz="4" w:space="0"/>
              <w:left w:val="nil"/>
              <w:bottom w:val="single" w:color="000000" w:sz="4" w:space="0"/>
              <w:right w:val="single" w:color="000000" w:sz="4" w:space="0"/>
            </w:tcBorders>
            <w:vAlign w:val="center"/>
          </w:tcPr>
          <w:p w14:paraId="56D13630">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637">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32">
            <w:pPr>
              <w:widowControl/>
              <w:spacing w:line="276" w:lineRule="auto"/>
              <w:rPr>
                <w:rFonts w:hint="default" w:ascii="Times New Roman" w:hAnsi="Times New Roman" w:eastAsia="仿宋" w:cs="Times New Roman"/>
                <w:i w:val="0"/>
                <w:iCs w:val="0"/>
                <w:color w:val="auto"/>
                <w:kern w:val="2"/>
                <w:sz w:val="21"/>
                <w:szCs w:val="15"/>
                <w:highlight w:val="none"/>
                <w:lang w:val="en-US" w:eastAsia="zh-CN" w:bidi="ar-SA"/>
              </w:rPr>
            </w:pPr>
            <w:r>
              <w:rPr>
                <w:rFonts w:hint="eastAsia"/>
                <w:i w:val="0"/>
                <w:iCs w:val="0"/>
                <w:color w:val="auto"/>
                <w:sz w:val="21"/>
                <w:szCs w:val="15"/>
                <w:highlight w:val="none"/>
                <w:lang w:val="en-US" w:eastAsia="zh-CN"/>
              </w:rPr>
              <w:t>12</w:t>
            </w:r>
          </w:p>
        </w:tc>
        <w:tc>
          <w:tcPr>
            <w:tcW w:w="3112" w:type="dxa"/>
            <w:tcBorders>
              <w:top w:val="single" w:color="000000" w:sz="4" w:space="0"/>
              <w:left w:val="nil"/>
              <w:bottom w:val="single" w:color="000000" w:sz="4" w:space="0"/>
              <w:right w:val="single" w:color="000000" w:sz="4" w:space="0"/>
            </w:tcBorders>
            <w:noWrap/>
            <w:vAlign w:val="center"/>
          </w:tcPr>
          <w:p w14:paraId="56D13633">
            <w:pPr>
              <w:widowControl/>
              <w:spacing w:line="276" w:lineRule="auto"/>
              <w:rPr>
                <w:i w:val="0"/>
                <w:iCs w:val="0"/>
                <w:color w:val="auto"/>
                <w:sz w:val="21"/>
                <w:szCs w:val="15"/>
                <w:highlight w:val="none"/>
              </w:rPr>
            </w:pPr>
            <w:r>
              <w:rPr>
                <w:rFonts w:hint="eastAsia"/>
                <w:i w:val="0"/>
                <w:iCs w:val="0"/>
                <w:color w:val="auto"/>
                <w:sz w:val="21"/>
                <w:szCs w:val="15"/>
                <w:highlight w:val="none"/>
              </w:rPr>
              <w:t>25KVAUPS电池</w:t>
            </w:r>
          </w:p>
        </w:tc>
        <w:tc>
          <w:tcPr>
            <w:tcW w:w="729" w:type="dxa"/>
            <w:tcBorders>
              <w:top w:val="single" w:color="000000" w:sz="4" w:space="0"/>
              <w:left w:val="nil"/>
              <w:bottom w:val="single" w:color="000000" w:sz="4" w:space="0"/>
              <w:right w:val="single" w:color="000000" w:sz="4" w:space="0"/>
            </w:tcBorders>
            <w:noWrap/>
            <w:vAlign w:val="center"/>
          </w:tcPr>
          <w:p w14:paraId="56D1363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vAlign w:val="center"/>
          </w:tcPr>
          <w:p w14:paraId="56D1363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vAlign w:val="center"/>
          </w:tcPr>
          <w:p w14:paraId="56D13636">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硬件。</w:t>
            </w:r>
          </w:p>
        </w:tc>
      </w:tr>
      <w:tr w14:paraId="56D1363D">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38">
            <w:pPr>
              <w:widowControl/>
              <w:spacing w:line="276" w:lineRule="auto"/>
              <w:rPr>
                <w:rFonts w:hint="eastAsia" w:eastAsia="仿宋"/>
                <w:i w:val="0"/>
                <w:iCs w:val="0"/>
                <w:color w:val="auto"/>
                <w:sz w:val="21"/>
                <w:szCs w:val="15"/>
                <w:highlight w:val="none"/>
                <w:lang w:eastAsia="zh-CN"/>
              </w:rPr>
            </w:pPr>
            <w:r>
              <w:rPr>
                <w:rFonts w:hint="eastAsia"/>
                <w:i w:val="0"/>
                <w:iCs w:val="0"/>
                <w:color w:val="auto"/>
                <w:sz w:val="21"/>
                <w:szCs w:val="15"/>
                <w:highlight w:val="none"/>
                <w:lang w:val="en-US" w:eastAsia="zh-CN"/>
              </w:rPr>
              <w:t>13</w:t>
            </w:r>
          </w:p>
        </w:tc>
        <w:tc>
          <w:tcPr>
            <w:tcW w:w="3112" w:type="dxa"/>
            <w:tcBorders>
              <w:top w:val="single" w:color="000000" w:sz="4" w:space="0"/>
              <w:left w:val="nil"/>
              <w:bottom w:val="single" w:color="000000" w:sz="4" w:space="0"/>
              <w:right w:val="single" w:color="000000" w:sz="4" w:space="0"/>
            </w:tcBorders>
            <w:vAlign w:val="center"/>
          </w:tcPr>
          <w:p w14:paraId="56D13639">
            <w:pPr>
              <w:widowControl/>
              <w:spacing w:line="276" w:lineRule="auto"/>
              <w:rPr>
                <w:i w:val="0"/>
                <w:iCs w:val="0"/>
                <w:color w:val="auto"/>
                <w:sz w:val="21"/>
                <w:szCs w:val="15"/>
                <w:highlight w:val="none"/>
              </w:rPr>
            </w:pPr>
            <w:r>
              <w:rPr>
                <w:rFonts w:hint="eastAsia"/>
                <w:i w:val="0"/>
                <w:iCs w:val="0"/>
                <w:color w:val="auto"/>
                <w:sz w:val="21"/>
                <w:szCs w:val="15"/>
                <w:highlight w:val="none"/>
              </w:rPr>
              <w:t>配电柜</w:t>
            </w:r>
          </w:p>
        </w:tc>
        <w:tc>
          <w:tcPr>
            <w:tcW w:w="729" w:type="dxa"/>
            <w:tcBorders>
              <w:top w:val="single" w:color="000000" w:sz="4" w:space="0"/>
              <w:left w:val="nil"/>
              <w:bottom w:val="single" w:color="000000" w:sz="4" w:space="0"/>
              <w:right w:val="single" w:color="000000" w:sz="4" w:space="0"/>
            </w:tcBorders>
            <w:noWrap/>
            <w:vAlign w:val="center"/>
          </w:tcPr>
          <w:p w14:paraId="56D1363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套</w:t>
            </w:r>
          </w:p>
        </w:tc>
        <w:tc>
          <w:tcPr>
            <w:tcW w:w="702" w:type="dxa"/>
            <w:tcBorders>
              <w:top w:val="single" w:color="000000" w:sz="4" w:space="0"/>
              <w:left w:val="nil"/>
              <w:bottom w:val="single" w:color="000000" w:sz="4" w:space="0"/>
              <w:right w:val="single" w:color="000000" w:sz="4" w:space="0"/>
            </w:tcBorders>
            <w:vAlign w:val="center"/>
          </w:tcPr>
          <w:p w14:paraId="56D1363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noWrap/>
            <w:vAlign w:val="center"/>
          </w:tcPr>
          <w:p w14:paraId="56D1363C">
            <w:pPr>
              <w:widowControl/>
              <w:spacing w:line="276" w:lineRule="auto"/>
              <w:rPr>
                <w:i w:val="0"/>
                <w:iCs w:val="0"/>
                <w:color w:val="auto"/>
                <w:sz w:val="21"/>
                <w:szCs w:val="15"/>
                <w:highlight w:val="none"/>
              </w:rPr>
            </w:pPr>
            <w:r>
              <w:rPr>
                <w:rFonts w:hint="eastAsia"/>
                <w:i w:val="0"/>
                <w:iCs w:val="0"/>
                <w:color w:val="auto"/>
                <w:sz w:val="21"/>
                <w:szCs w:val="15"/>
                <w:highlight w:val="none"/>
              </w:rPr>
              <w:t>甲供</w:t>
            </w:r>
            <w:r>
              <w:rPr>
                <w:rFonts w:hint="eastAsia"/>
                <w:i w:val="0"/>
                <w:iCs w:val="0"/>
                <w:color w:val="auto"/>
                <w:sz w:val="21"/>
                <w:szCs w:val="15"/>
                <w:highlight w:val="none"/>
                <w:lang w:eastAsia="zh-CN"/>
              </w:rPr>
              <w:t>，</w:t>
            </w:r>
            <w:r>
              <w:rPr>
                <w:rFonts w:hint="eastAsia"/>
                <w:i w:val="0"/>
                <w:iCs w:val="0"/>
                <w:color w:val="auto"/>
                <w:sz w:val="21"/>
                <w:szCs w:val="15"/>
                <w:highlight w:val="none"/>
                <w:lang w:val="en-US" w:eastAsia="zh-CN"/>
              </w:rPr>
              <w:t>硬件。</w:t>
            </w:r>
          </w:p>
        </w:tc>
      </w:tr>
      <w:tr w14:paraId="56D13649">
        <w:tblPrEx>
          <w:tblCellMar>
            <w:top w:w="0" w:type="dxa"/>
            <w:left w:w="108" w:type="dxa"/>
            <w:bottom w:w="0" w:type="dxa"/>
            <w:right w:w="108" w:type="dxa"/>
          </w:tblCellMar>
        </w:tblPrEx>
        <w:trPr>
          <w:jc w:val="center"/>
        </w:trPr>
        <w:tc>
          <w:tcPr>
            <w:tcW w:w="7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3644">
            <w:pPr>
              <w:widowControl/>
              <w:spacing w:line="276" w:lineRule="auto"/>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14</w:t>
            </w:r>
          </w:p>
        </w:tc>
        <w:tc>
          <w:tcPr>
            <w:tcW w:w="3112" w:type="dxa"/>
            <w:tcBorders>
              <w:top w:val="single" w:color="000000" w:sz="4" w:space="0"/>
              <w:left w:val="nil"/>
              <w:bottom w:val="single" w:color="000000" w:sz="4" w:space="0"/>
              <w:right w:val="single" w:color="000000" w:sz="4" w:space="0"/>
            </w:tcBorders>
            <w:vAlign w:val="center"/>
          </w:tcPr>
          <w:p w14:paraId="56D13645">
            <w:pPr>
              <w:widowControl/>
              <w:spacing w:line="276" w:lineRule="auto"/>
              <w:rPr>
                <w:i w:val="0"/>
                <w:iCs w:val="0"/>
                <w:color w:val="auto"/>
                <w:sz w:val="21"/>
                <w:szCs w:val="15"/>
                <w:highlight w:val="none"/>
              </w:rPr>
            </w:pPr>
            <w:r>
              <w:rPr>
                <w:rFonts w:hint="eastAsia"/>
                <w:i w:val="0"/>
                <w:iCs w:val="0"/>
                <w:color w:val="auto"/>
                <w:sz w:val="21"/>
                <w:szCs w:val="15"/>
                <w:highlight w:val="none"/>
              </w:rPr>
              <w:t>系统迁移费用</w:t>
            </w:r>
          </w:p>
        </w:tc>
        <w:tc>
          <w:tcPr>
            <w:tcW w:w="729" w:type="dxa"/>
            <w:tcBorders>
              <w:top w:val="single" w:color="000000" w:sz="4" w:space="0"/>
              <w:left w:val="nil"/>
              <w:bottom w:val="single" w:color="000000" w:sz="4" w:space="0"/>
              <w:right w:val="single" w:color="000000" w:sz="4" w:space="0"/>
            </w:tcBorders>
            <w:noWrap/>
            <w:vAlign w:val="center"/>
          </w:tcPr>
          <w:p w14:paraId="56D1364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批</w:t>
            </w:r>
          </w:p>
        </w:tc>
        <w:tc>
          <w:tcPr>
            <w:tcW w:w="702" w:type="dxa"/>
            <w:tcBorders>
              <w:top w:val="single" w:color="000000" w:sz="4" w:space="0"/>
              <w:left w:val="nil"/>
              <w:bottom w:val="single" w:color="000000" w:sz="4" w:space="0"/>
              <w:right w:val="single" w:color="000000" w:sz="4" w:space="0"/>
            </w:tcBorders>
            <w:vAlign w:val="center"/>
          </w:tcPr>
          <w:p w14:paraId="56D1364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827" w:type="dxa"/>
            <w:tcBorders>
              <w:top w:val="single" w:color="000000" w:sz="4" w:space="0"/>
              <w:left w:val="nil"/>
              <w:bottom w:val="single" w:color="000000" w:sz="4" w:space="0"/>
              <w:right w:val="single" w:color="000000" w:sz="4" w:space="0"/>
            </w:tcBorders>
            <w:noWrap/>
            <w:vAlign w:val="center"/>
          </w:tcPr>
          <w:p w14:paraId="56D13648">
            <w:pPr>
              <w:widowControl/>
              <w:spacing w:line="276" w:lineRule="auto"/>
              <w:rPr>
                <w:i w:val="0"/>
                <w:iCs w:val="0"/>
                <w:color w:val="auto"/>
                <w:sz w:val="21"/>
                <w:szCs w:val="15"/>
                <w:highlight w:val="none"/>
              </w:rPr>
            </w:pPr>
            <w:r>
              <w:rPr>
                <w:rFonts w:hint="eastAsia"/>
                <w:i w:val="0"/>
                <w:iCs w:val="0"/>
                <w:color w:val="auto"/>
                <w:sz w:val="21"/>
                <w:szCs w:val="15"/>
                <w:highlight w:val="none"/>
                <w:lang w:val="en-US" w:eastAsia="zh-CN"/>
              </w:rPr>
              <w:t>服务。</w:t>
            </w:r>
          </w:p>
        </w:tc>
      </w:tr>
    </w:tbl>
    <w:p w14:paraId="56D1364A">
      <w:pPr>
        <w:pStyle w:val="5"/>
        <w:ind w:left="0"/>
        <w:rPr>
          <w:i w:val="0"/>
          <w:iCs w:val="0"/>
          <w:color w:val="auto"/>
          <w:sz w:val="22"/>
          <w:szCs w:val="22"/>
          <w:highlight w:val="none"/>
        </w:rPr>
      </w:pPr>
      <w:bookmarkStart w:id="387" w:name="_Toc4770"/>
      <w:r>
        <w:rPr>
          <w:rFonts w:hint="eastAsia"/>
          <w:i w:val="0"/>
          <w:iCs w:val="0"/>
          <w:color w:val="auto"/>
          <w:sz w:val="22"/>
          <w:szCs w:val="22"/>
          <w:highlight w:val="none"/>
        </w:rPr>
        <w:t>主要材料表</w:t>
      </w:r>
      <w:bookmarkEnd w:id="387"/>
    </w:p>
    <w:p w14:paraId="56D1364B">
      <w:pPr>
        <w:pStyle w:val="6"/>
        <w:ind w:left="0"/>
        <w:rPr>
          <w:i w:val="0"/>
          <w:iCs w:val="0"/>
          <w:color w:val="auto"/>
          <w:sz w:val="21"/>
          <w:szCs w:val="21"/>
          <w:highlight w:val="none"/>
        </w:rPr>
      </w:pPr>
      <w:r>
        <w:rPr>
          <w:rFonts w:hint="eastAsia"/>
          <w:i w:val="0"/>
          <w:iCs w:val="0"/>
          <w:color w:val="auto"/>
          <w:sz w:val="21"/>
          <w:szCs w:val="21"/>
          <w:highlight w:val="none"/>
        </w:rPr>
        <w:t>生产网云平台主要材料表</w:t>
      </w:r>
    </w:p>
    <w:p w14:paraId="56D1364C">
      <w:pPr>
        <w:pStyle w:val="34"/>
        <w:kinsoku w:val="0"/>
        <w:overflowPunct w:val="0"/>
        <w:spacing w:line="360" w:lineRule="auto"/>
        <w:rPr>
          <w:rFonts w:hint="eastAsia" w:ascii="宋体" w:hAnsi="宋体" w:eastAsia="宋体" w:cs="仿宋"/>
          <w:b/>
          <w:i w:val="0"/>
          <w:iCs w:val="0"/>
          <w:color w:val="auto"/>
          <w:sz w:val="2"/>
          <w:szCs w:val="2"/>
          <w:highlight w:val="none"/>
        </w:rPr>
      </w:pPr>
    </w:p>
    <w:tbl>
      <w:tblPr>
        <w:tblStyle w:val="88"/>
        <w:tblW w:w="0" w:type="auto"/>
        <w:jc w:val="center"/>
        <w:tblLayout w:type="fixed"/>
        <w:tblCellMar>
          <w:top w:w="0" w:type="dxa"/>
          <w:left w:w="108" w:type="dxa"/>
          <w:bottom w:w="0" w:type="dxa"/>
          <w:right w:w="108" w:type="dxa"/>
        </w:tblCellMar>
      </w:tblPr>
      <w:tblGrid>
        <w:gridCol w:w="704"/>
        <w:gridCol w:w="2247"/>
        <w:gridCol w:w="687"/>
        <w:gridCol w:w="720"/>
        <w:gridCol w:w="3800"/>
      </w:tblGrid>
      <w:tr w14:paraId="56D13652">
        <w:tblPrEx>
          <w:tblCellMar>
            <w:top w:w="0" w:type="dxa"/>
            <w:left w:w="108" w:type="dxa"/>
            <w:bottom w:w="0" w:type="dxa"/>
            <w:right w:w="108" w:type="dxa"/>
          </w:tblCellMar>
        </w:tblPrEx>
        <w:trPr>
          <w:trHeight w:val="2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6D1364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247" w:type="dxa"/>
            <w:tcBorders>
              <w:top w:val="single" w:color="000000" w:sz="4" w:space="0"/>
              <w:left w:val="nil"/>
              <w:bottom w:val="single" w:color="000000" w:sz="4" w:space="0"/>
              <w:right w:val="single" w:color="000000" w:sz="4" w:space="0"/>
            </w:tcBorders>
            <w:vAlign w:val="center"/>
          </w:tcPr>
          <w:p w14:paraId="56D1364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687" w:type="dxa"/>
            <w:tcBorders>
              <w:top w:val="single" w:color="000000" w:sz="4" w:space="0"/>
              <w:left w:val="nil"/>
              <w:bottom w:val="single" w:color="000000" w:sz="4" w:space="0"/>
              <w:right w:val="single" w:color="000000" w:sz="4" w:space="0"/>
            </w:tcBorders>
            <w:vAlign w:val="center"/>
          </w:tcPr>
          <w:p w14:paraId="56D1364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720" w:type="dxa"/>
            <w:tcBorders>
              <w:top w:val="single" w:color="000000" w:sz="4" w:space="0"/>
              <w:left w:val="nil"/>
              <w:bottom w:val="single" w:color="000000" w:sz="4" w:space="0"/>
              <w:right w:val="single" w:color="000000" w:sz="4" w:space="0"/>
            </w:tcBorders>
            <w:vAlign w:val="center"/>
          </w:tcPr>
          <w:p w14:paraId="56D1365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800" w:type="dxa"/>
            <w:tcBorders>
              <w:top w:val="single" w:color="000000" w:sz="4" w:space="0"/>
              <w:left w:val="nil"/>
              <w:bottom w:val="single" w:color="000000" w:sz="4" w:space="0"/>
              <w:right w:val="single" w:color="000000" w:sz="4" w:space="0"/>
            </w:tcBorders>
            <w:vAlign w:val="center"/>
          </w:tcPr>
          <w:p w14:paraId="56D1365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658">
        <w:tblPrEx>
          <w:tblCellMar>
            <w:top w:w="0" w:type="dxa"/>
            <w:left w:w="108" w:type="dxa"/>
            <w:bottom w:w="0" w:type="dxa"/>
            <w:right w:w="108" w:type="dxa"/>
          </w:tblCellMar>
        </w:tblPrEx>
        <w:trPr>
          <w:trHeight w:val="2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6D1365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1</w:t>
            </w:r>
          </w:p>
        </w:tc>
        <w:tc>
          <w:tcPr>
            <w:tcW w:w="2247" w:type="dxa"/>
            <w:tcBorders>
              <w:top w:val="single" w:color="000000" w:sz="4" w:space="0"/>
              <w:left w:val="nil"/>
              <w:bottom w:val="single" w:color="000000" w:sz="4" w:space="0"/>
              <w:right w:val="single" w:color="000000" w:sz="4" w:space="0"/>
            </w:tcBorders>
            <w:vAlign w:val="center"/>
          </w:tcPr>
          <w:p w14:paraId="56D13654">
            <w:pPr>
              <w:widowControl/>
              <w:spacing w:line="276" w:lineRule="auto"/>
              <w:jc w:val="left"/>
              <w:rPr>
                <w:i w:val="0"/>
                <w:iCs w:val="0"/>
                <w:color w:val="auto"/>
                <w:sz w:val="21"/>
                <w:szCs w:val="15"/>
                <w:highlight w:val="none"/>
              </w:rPr>
            </w:pPr>
            <w:r>
              <w:rPr>
                <w:rFonts w:hint="eastAsia"/>
                <w:i w:val="0"/>
                <w:iCs w:val="0"/>
                <w:color w:val="auto"/>
                <w:sz w:val="21"/>
                <w:szCs w:val="15"/>
                <w:highlight w:val="none"/>
              </w:rPr>
              <w:t>WDZBN-YJY-3X6mm²</w:t>
            </w:r>
          </w:p>
        </w:tc>
        <w:tc>
          <w:tcPr>
            <w:tcW w:w="687" w:type="dxa"/>
            <w:tcBorders>
              <w:top w:val="single" w:color="000000" w:sz="4" w:space="0"/>
              <w:left w:val="nil"/>
              <w:bottom w:val="single" w:color="000000" w:sz="4" w:space="0"/>
              <w:right w:val="single" w:color="000000" w:sz="4" w:space="0"/>
            </w:tcBorders>
            <w:vAlign w:val="center"/>
          </w:tcPr>
          <w:p w14:paraId="56D1365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20" w:type="dxa"/>
            <w:tcBorders>
              <w:top w:val="single" w:color="000000" w:sz="4" w:space="0"/>
              <w:left w:val="nil"/>
              <w:bottom w:val="single" w:color="000000" w:sz="4" w:space="0"/>
              <w:right w:val="single" w:color="000000" w:sz="4" w:space="0"/>
            </w:tcBorders>
            <w:vAlign w:val="center"/>
          </w:tcPr>
          <w:p w14:paraId="56D1365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400</w:t>
            </w:r>
          </w:p>
        </w:tc>
        <w:tc>
          <w:tcPr>
            <w:tcW w:w="3800" w:type="dxa"/>
            <w:tcBorders>
              <w:top w:val="single" w:color="000000" w:sz="4" w:space="0"/>
              <w:left w:val="nil"/>
              <w:bottom w:val="single" w:color="000000" w:sz="4" w:space="0"/>
              <w:right w:val="single" w:color="000000" w:sz="4" w:space="0"/>
            </w:tcBorders>
            <w:vAlign w:val="center"/>
          </w:tcPr>
          <w:p w14:paraId="56D13657">
            <w:pPr>
              <w:widowControl/>
              <w:spacing w:line="276" w:lineRule="auto"/>
              <w:jc w:val="left"/>
              <w:rPr>
                <w:i w:val="0"/>
                <w:iCs w:val="0"/>
                <w:color w:val="auto"/>
                <w:sz w:val="21"/>
                <w:szCs w:val="15"/>
                <w:highlight w:val="none"/>
              </w:rPr>
            </w:pPr>
            <w:r>
              <w:rPr>
                <w:rFonts w:hint="eastAsia"/>
                <w:i w:val="0"/>
                <w:iCs w:val="0"/>
                <w:color w:val="auto"/>
                <w:sz w:val="21"/>
                <w:szCs w:val="15"/>
                <w:highlight w:val="none"/>
              </w:rPr>
              <w:t>设备电源线，低烟无卤阻燃耐火，燃烧性能满足BI级</w:t>
            </w:r>
          </w:p>
        </w:tc>
      </w:tr>
      <w:tr w14:paraId="56D1365E">
        <w:tblPrEx>
          <w:tblCellMar>
            <w:top w:w="0" w:type="dxa"/>
            <w:left w:w="108" w:type="dxa"/>
            <w:bottom w:w="0" w:type="dxa"/>
            <w:right w:w="108" w:type="dxa"/>
          </w:tblCellMar>
        </w:tblPrEx>
        <w:trPr>
          <w:trHeight w:val="2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6D13659">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247" w:type="dxa"/>
            <w:tcBorders>
              <w:top w:val="single" w:color="000000" w:sz="4" w:space="0"/>
              <w:left w:val="nil"/>
              <w:bottom w:val="single" w:color="000000" w:sz="4" w:space="0"/>
              <w:right w:val="single" w:color="000000" w:sz="4" w:space="0"/>
            </w:tcBorders>
            <w:vAlign w:val="center"/>
          </w:tcPr>
          <w:p w14:paraId="56D1365A">
            <w:pPr>
              <w:widowControl/>
              <w:spacing w:line="276" w:lineRule="auto"/>
              <w:jc w:val="left"/>
              <w:rPr>
                <w:i w:val="0"/>
                <w:iCs w:val="0"/>
                <w:color w:val="auto"/>
                <w:sz w:val="21"/>
                <w:szCs w:val="15"/>
                <w:highlight w:val="none"/>
              </w:rPr>
            </w:pPr>
            <w:r>
              <w:rPr>
                <w:rFonts w:hint="eastAsia"/>
                <w:i w:val="0"/>
                <w:iCs w:val="0"/>
                <w:color w:val="auto"/>
                <w:sz w:val="21"/>
                <w:szCs w:val="15"/>
                <w:highlight w:val="none"/>
              </w:rPr>
              <w:t>镀锌钢管SC32</w:t>
            </w:r>
          </w:p>
        </w:tc>
        <w:tc>
          <w:tcPr>
            <w:tcW w:w="687" w:type="dxa"/>
            <w:tcBorders>
              <w:top w:val="single" w:color="000000" w:sz="4" w:space="0"/>
              <w:left w:val="nil"/>
              <w:bottom w:val="single" w:color="000000" w:sz="4" w:space="0"/>
              <w:right w:val="single" w:color="000000" w:sz="4" w:space="0"/>
            </w:tcBorders>
            <w:vAlign w:val="center"/>
          </w:tcPr>
          <w:p w14:paraId="56D1365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20" w:type="dxa"/>
            <w:tcBorders>
              <w:top w:val="single" w:color="000000" w:sz="4" w:space="0"/>
              <w:left w:val="nil"/>
              <w:bottom w:val="single" w:color="000000" w:sz="4" w:space="0"/>
              <w:right w:val="single" w:color="000000" w:sz="4" w:space="0"/>
            </w:tcBorders>
            <w:vAlign w:val="center"/>
          </w:tcPr>
          <w:p w14:paraId="56D1365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300</w:t>
            </w:r>
          </w:p>
        </w:tc>
        <w:tc>
          <w:tcPr>
            <w:tcW w:w="3800" w:type="dxa"/>
            <w:tcBorders>
              <w:top w:val="single" w:color="000000" w:sz="4" w:space="0"/>
              <w:left w:val="nil"/>
              <w:bottom w:val="single" w:color="000000" w:sz="4" w:space="0"/>
              <w:right w:val="single" w:color="000000" w:sz="4" w:space="0"/>
            </w:tcBorders>
            <w:vAlign w:val="center"/>
          </w:tcPr>
          <w:p w14:paraId="56D1365D">
            <w:pPr>
              <w:widowControl/>
              <w:spacing w:line="276" w:lineRule="auto"/>
              <w:jc w:val="left"/>
              <w:rPr>
                <w:i w:val="0"/>
                <w:iCs w:val="0"/>
                <w:color w:val="auto"/>
                <w:sz w:val="21"/>
                <w:szCs w:val="15"/>
                <w:highlight w:val="none"/>
              </w:rPr>
            </w:pPr>
            <w:r>
              <w:rPr>
                <w:rFonts w:hint="eastAsia"/>
                <w:i w:val="0"/>
                <w:iCs w:val="0"/>
                <w:color w:val="auto"/>
                <w:sz w:val="21"/>
                <w:szCs w:val="15"/>
                <w:highlight w:val="none"/>
              </w:rPr>
              <w:t>含安装辅件</w:t>
            </w:r>
          </w:p>
        </w:tc>
      </w:tr>
      <w:tr w14:paraId="56D13664">
        <w:tblPrEx>
          <w:tblCellMar>
            <w:top w:w="0" w:type="dxa"/>
            <w:left w:w="108" w:type="dxa"/>
            <w:bottom w:w="0" w:type="dxa"/>
            <w:right w:w="108" w:type="dxa"/>
          </w:tblCellMar>
        </w:tblPrEx>
        <w:trPr>
          <w:trHeight w:val="2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6D1365F">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247" w:type="dxa"/>
            <w:tcBorders>
              <w:top w:val="single" w:color="000000" w:sz="4" w:space="0"/>
              <w:left w:val="nil"/>
              <w:bottom w:val="single" w:color="000000" w:sz="4" w:space="0"/>
              <w:right w:val="single" w:color="000000" w:sz="4" w:space="0"/>
            </w:tcBorders>
            <w:vAlign w:val="center"/>
          </w:tcPr>
          <w:p w14:paraId="56D13660">
            <w:pPr>
              <w:widowControl/>
              <w:spacing w:line="276" w:lineRule="auto"/>
              <w:jc w:val="left"/>
              <w:rPr>
                <w:i w:val="0"/>
                <w:iCs w:val="0"/>
                <w:color w:val="auto"/>
                <w:sz w:val="21"/>
                <w:szCs w:val="15"/>
                <w:highlight w:val="none"/>
              </w:rPr>
            </w:pPr>
            <w:r>
              <w:rPr>
                <w:i w:val="0"/>
                <w:iCs w:val="0"/>
                <w:color w:val="auto"/>
                <w:sz w:val="21"/>
                <w:szCs w:val="15"/>
                <w:highlight w:val="none"/>
              </w:rPr>
              <w:t>WDZBN-BY-25</w:t>
            </w:r>
          </w:p>
        </w:tc>
        <w:tc>
          <w:tcPr>
            <w:tcW w:w="687" w:type="dxa"/>
            <w:tcBorders>
              <w:top w:val="single" w:color="000000" w:sz="4" w:space="0"/>
              <w:left w:val="nil"/>
              <w:bottom w:val="single" w:color="000000" w:sz="4" w:space="0"/>
              <w:right w:val="single" w:color="000000" w:sz="4" w:space="0"/>
            </w:tcBorders>
            <w:vAlign w:val="center"/>
          </w:tcPr>
          <w:p w14:paraId="56D1366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20" w:type="dxa"/>
            <w:tcBorders>
              <w:top w:val="single" w:color="000000" w:sz="4" w:space="0"/>
              <w:left w:val="nil"/>
              <w:bottom w:val="single" w:color="000000" w:sz="4" w:space="0"/>
              <w:right w:val="single" w:color="000000" w:sz="4" w:space="0"/>
            </w:tcBorders>
            <w:vAlign w:val="center"/>
          </w:tcPr>
          <w:p w14:paraId="56D1366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400</w:t>
            </w:r>
          </w:p>
        </w:tc>
        <w:tc>
          <w:tcPr>
            <w:tcW w:w="3800" w:type="dxa"/>
            <w:tcBorders>
              <w:top w:val="single" w:color="000000" w:sz="4" w:space="0"/>
              <w:left w:val="nil"/>
              <w:bottom w:val="single" w:color="000000" w:sz="4" w:space="0"/>
              <w:right w:val="single" w:color="000000" w:sz="4" w:space="0"/>
            </w:tcBorders>
            <w:vAlign w:val="center"/>
          </w:tcPr>
          <w:p w14:paraId="56D13663">
            <w:pPr>
              <w:widowControl/>
              <w:spacing w:line="276" w:lineRule="auto"/>
              <w:jc w:val="left"/>
              <w:rPr>
                <w:i w:val="0"/>
                <w:iCs w:val="0"/>
                <w:color w:val="auto"/>
                <w:sz w:val="21"/>
                <w:szCs w:val="15"/>
                <w:highlight w:val="none"/>
              </w:rPr>
            </w:pPr>
            <w:r>
              <w:rPr>
                <w:rFonts w:hint="eastAsia"/>
                <w:i w:val="0"/>
                <w:iCs w:val="0"/>
                <w:color w:val="auto"/>
                <w:sz w:val="21"/>
                <w:szCs w:val="15"/>
                <w:highlight w:val="none"/>
              </w:rPr>
              <w:t>低烟无卤耐火阻燃</w:t>
            </w:r>
          </w:p>
        </w:tc>
      </w:tr>
      <w:tr w14:paraId="56D1366A">
        <w:tblPrEx>
          <w:tblCellMar>
            <w:top w:w="0" w:type="dxa"/>
            <w:left w:w="108" w:type="dxa"/>
            <w:bottom w:w="0" w:type="dxa"/>
            <w:right w:w="108" w:type="dxa"/>
          </w:tblCellMar>
        </w:tblPrEx>
        <w:trPr>
          <w:trHeight w:val="2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6D1366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2247" w:type="dxa"/>
            <w:tcBorders>
              <w:top w:val="single" w:color="000000" w:sz="4" w:space="0"/>
              <w:left w:val="nil"/>
              <w:bottom w:val="single" w:color="000000" w:sz="4" w:space="0"/>
              <w:right w:val="single" w:color="000000" w:sz="4" w:space="0"/>
            </w:tcBorders>
            <w:vAlign w:val="center"/>
          </w:tcPr>
          <w:p w14:paraId="56D13666">
            <w:pPr>
              <w:widowControl/>
              <w:spacing w:line="276" w:lineRule="auto"/>
              <w:jc w:val="left"/>
              <w:rPr>
                <w:i w:val="0"/>
                <w:iCs w:val="0"/>
                <w:color w:val="auto"/>
                <w:sz w:val="21"/>
                <w:szCs w:val="15"/>
                <w:highlight w:val="none"/>
              </w:rPr>
            </w:pPr>
            <w:r>
              <w:rPr>
                <w:rFonts w:hint="eastAsia"/>
                <w:i w:val="0"/>
                <w:iCs w:val="0"/>
                <w:color w:val="auto"/>
                <w:sz w:val="21"/>
                <w:szCs w:val="15"/>
                <w:highlight w:val="none"/>
              </w:rPr>
              <w:t>4芯单模光缆</w:t>
            </w:r>
          </w:p>
        </w:tc>
        <w:tc>
          <w:tcPr>
            <w:tcW w:w="687" w:type="dxa"/>
            <w:tcBorders>
              <w:top w:val="single" w:color="000000" w:sz="4" w:space="0"/>
              <w:left w:val="nil"/>
              <w:bottom w:val="single" w:color="000000" w:sz="4" w:space="0"/>
              <w:right w:val="single" w:color="000000" w:sz="4" w:space="0"/>
            </w:tcBorders>
            <w:vAlign w:val="center"/>
          </w:tcPr>
          <w:p w14:paraId="56D1366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20" w:type="dxa"/>
            <w:tcBorders>
              <w:top w:val="single" w:color="000000" w:sz="4" w:space="0"/>
              <w:left w:val="nil"/>
              <w:bottom w:val="single" w:color="000000" w:sz="4" w:space="0"/>
              <w:right w:val="single" w:color="000000" w:sz="4" w:space="0"/>
            </w:tcBorders>
            <w:vAlign w:val="center"/>
          </w:tcPr>
          <w:p w14:paraId="56D1366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400</w:t>
            </w:r>
          </w:p>
        </w:tc>
        <w:tc>
          <w:tcPr>
            <w:tcW w:w="3800" w:type="dxa"/>
            <w:tcBorders>
              <w:top w:val="single" w:color="000000" w:sz="4" w:space="0"/>
              <w:left w:val="nil"/>
              <w:bottom w:val="single" w:color="000000" w:sz="4" w:space="0"/>
              <w:right w:val="single" w:color="000000" w:sz="4" w:space="0"/>
            </w:tcBorders>
            <w:vAlign w:val="center"/>
          </w:tcPr>
          <w:p w14:paraId="56D13669">
            <w:pPr>
              <w:widowControl/>
              <w:spacing w:line="276" w:lineRule="auto"/>
              <w:jc w:val="left"/>
              <w:rPr>
                <w:i w:val="0"/>
                <w:iCs w:val="0"/>
                <w:color w:val="auto"/>
                <w:sz w:val="21"/>
                <w:szCs w:val="15"/>
                <w:highlight w:val="none"/>
              </w:rPr>
            </w:pPr>
            <w:r>
              <w:rPr>
                <w:rFonts w:hint="eastAsia"/>
                <w:i w:val="0"/>
                <w:iCs w:val="0"/>
                <w:color w:val="auto"/>
                <w:sz w:val="21"/>
                <w:szCs w:val="15"/>
                <w:highlight w:val="none"/>
              </w:rPr>
              <w:t>低烟无卤阻燃</w:t>
            </w:r>
          </w:p>
        </w:tc>
      </w:tr>
      <w:tr w14:paraId="56D13670">
        <w:tblPrEx>
          <w:tblCellMar>
            <w:top w:w="0" w:type="dxa"/>
            <w:left w:w="108" w:type="dxa"/>
            <w:bottom w:w="0" w:type="dxa"/>
            <w:right w:w="108" w:type="dxa"/>
          </w:tblCellMar>
        </w:tblPrEx>
        <w:trPr>
          <w:trHeight w:val="20" w:hRule="atLeast"/>
          <w:jc w:val="center"/>
        </w:trPr>
        <w:tc>
          <w:tcPr>
            <w:tcW w:w="704" w:type="dxa"/>
            <w:tcBorders>
              <w:top w:val="single" w:color="000000" w:sz="4" w:space="0"/>
              <w:left w:val="single" w:color="000000" w:sz="4" w:space="0"/>
              <w:bottom w:val="single" w:color="000000" w:sz="4" w:space="0"/>
              <w:right w:val="single" w:color="000000" w:sz="4" w:space="0"/>
            </w:tcBorders>
            <w:vAlign w:val="center"/>
          </w:tcPr>
          <w:p w14:paraId="56D1366B">
            <w:pPr>
              <w:widowControl/>
              <w:spacing w:line="276" w:lineRule="auto"/>
              <w:jc w:val="center"/>
              <w:rPr>
                <w:rFonts w:hint="eastAsia"/>
                <w:i w:val="0"/>
                <w:iCs w:val="0"/>
                <w:color w:val="auto"/>
                <w:sz w:val="21"/>
                <w:szCs w:val="15"/>
                <w:highlight w:val="none"/>
              </w:rPr>
            </w:pPr>
            <w:r>
              <w:rPr>
                <w:rFonts w:hint="eastAsia"/>
                <w:i w:val="0"/>
                <w:iCs w:val="0"/>
                <w:color w:val="auto"/>
                <w:sz w:val="21"/>
                <w:szCs w:val="15"/>
                <w:highlight w:val="none"/>
              </w:rPr>
              <w:t>5</w:t>
            </w:r>
          </w:p>
        </w:tc>
        <w:tc>
          <w:tcPr>
            <w:tcW w:w="2247" w:type="dxa"/>
            <w:tcBorders>
              <w:top w:val="single" w:color="000000" w:sz="4" w:space="0"/>
              <w:left w:val="nil"/>
              <w:bottom w:val="single" w:color="000000" w:sz="4" w:space="0"/>
              <w:right w:val="single" w:color="000000" w:sz="4" w:space="0"/>
            </w:tcBorders>
            <w:vAlign w:val="center"/>
          </w:tcPr>
          <w:p w14:paraId="56D1366C">
            <w:pPr>
              <w:widowControl/>
              <w:spacing w:line="276" w:lineRule="auto"/>
              <w:jc w:val="left"/>
              <w:rPr>
                <w:rFonts w:hint="eastAsia"/>
                <w:i w:val="0"/>
                <w:iCs w:val="0"/>
                <w:color w:val="auto"/>
                <w:sz w:val="21"/>
                <w:szCs w:val="15"/>
                <w:highlight w:val="none"/>
              </w:rPr>
            </w:pPr>
            <w:r>
              <w:rPr>
                <w:rFonts w:hint="eastAsia"/>
                <w:i w:val="0"/>
                <w:iCs w:val="0"/>
                <w:color w:val="auto"/>
                <w:sz w:val="21"/>
                <w:szCs w:val="15"/>
                <w:highlight w:val="none"/>
              </w:rPr>
              <w:t xml:space="preserve">镀锌线槽200x150mm </w:t>
            </w:r>
          </w:p>
        </w:tc>
        <w:tc>
          <w:tcPr>
            <w:tcW w:w="687" w:type="dxa"/>
            <w:tcBorders>
              <w:top w:val="single" w:color="000000" w:sz="4" w:space="0"/>
              <w:left w:val="nil"/>
              <w:bottom w:val="single" w:color="000000" w:sz="4" w:space="0"/>
              <w:right w:val="single" w:color="000000" w:sz="4" w:space="0"/>
            </w:tcBorders>
            <w:vAlign w:val="center"/>
          </w:tcPr>
          <w:p w14:paraId="56D1366D">
            <w:pPr>
              <w:widowControl/>
              <w:spacing w:line="276" w:lineRule="auto"/>
              <w:jc w:val="center"/>
              <w:rPr>
                <w:rFonts w:hint="eastAsia"/>
                <w:i w:val="0"/>
                <w:iCs w:val="0"/>
                <w:color w:val="auto"/>
                <w:sz w:val="21"/>
                <w:szCs w:val="15"/>
                <w:highlight w:val="none"/>
              </w:rPr>
            </w:pPr>
            <w:r>
              <w:rPr>
                <w:rFonts w:hint="eastAsia"/>
                <w:i w:val="0"/>
                <w:iCs w:val="0"/>
                <w:color w:val="auto"/>
                <w:sz w:val="21"/>
                <w:szCs w:val="15"/>
                <w:highlight w:val="none"/>
              </w:rPr>
              <w:t>米</w:t>
            </w:r>
          </w:p>
        </w:tc>
        <w:tc>
          <w:tcPr>
            <w:tcW w:w="720" w:type="dxa"/>
            <w:tcBorders>
              <w:top w:val="single" w:color="000000" w:sz="4" w:space="0"/>
              <w:left w:val="nil"/>
              <w:bottom w:val="single" w:color="000000" w:sz="4" w:space="0"/>
              <w:right w:val="single" w:color="000000" w:sz="4" w:space="0"/>
            </w:tcBorders>
            <w:vAlign w:val="center"/>
          </w:tcPr>
          <w:p w14:paraId="56D1366E">
            <w:pPr>
              <w:widowControl/>
              <w:spacing w:line="276" w:lineRule="auto"/>
              <w:jc w:val="center"/>
              <w:rPr>
                <w:rFonts w:hint="eastAsia"/>
                <w:i w:val="0"/>
                <w:iCs w:val="0"/>
                <w:color w:val="auto"/>
                <w:sz w:val="21"/>
                <w:szCs w:val="15"/>
                <w:highlight w:val="none"/>
              </w:rPr>
            </w:pPr>
            <w:r>
              <w:rPr>
                <w:rFonts w:hint="eastAsia"/>
                <w:i w:val="0"/>
                <w:iCs w:val="0"/>
                <w:color w:val="auto"/>
                <w:sz w:val="21"/>
                <w:szCs w:val="15"/>
                <w:highlight w:val="none"/>
              </w:rPr>
              <w:t>40</w:t>
            </w:r>
          </w:p>
        </w:tc>
        <w:tc>
          <w:tcPr>
            <w:tcW w:w="3800" w:type="dxa"/>
            <w:tcBorders>
              <w:top w:val="single" w:color="000000" w:sz="4" w:space="0"/>
              <w:left w:val="nil"/>
              <w:bottom w:val="single" w:color="000000" w:sz="4" w:space="0"/>
              <w:right w:val="single" w:color="000000" w:sz="4" w:space="0"/>
            </w:tcBorders>
            <w:vAlign w:val="center"/>
          </w:tcPr>
          <w:p w14:paraId="56D1366F">
            <w:pPr>
              <w:widowControl/>
              <w:spacing w:line="276" w:lineRule="auto"/>
              <w:jc w:val="left"/>
              <w:rPr>
                <w:rFonts w:hint="eastAsia"/>
                <w:i w:val="0"/>
                <w:iCs w:val="0"/>
                <w:color w:val="auto"/>
                <w:sz w:val="21"/>
                <w:szCs w:val="15"/>
                <w:highlight w:val="none"/>
              </w:rPr>
            </w:pPr>
            <w:r>
              <w:rPr>
                <w:rFonts w:hint="eastAsia"/>
                <w:i w:val="0"/>
                <w:iCs w:val="0"/>
                <w:color w:val="auto"/>
                <w:sz w:val="21"/>
                <w:szCs w:val="15"/>
                <w:highlight w:val="none"/>
              </w:rPr>
              <w:t>内外镀锌，含吊件、弯头、跨接地线等安装辅材</w:t>
            </w:r>
          </w:p>
        </w:tc>
      </w:tr>
      <w:tr w14:paraId="23D7D18B">
        <w:tblPrEx>
          <w:tblCellMar>
            <w:top w:w="0" w:type="dxa"/>
            <w:left w:w="108" w:type="dxa"/>
            <w:bottom w:w="0" w:type="dxa"/>
            <w:right w:w="108" w:type="dxa"/>
          </w:tblCellMar>
        </w:tblPrEx>
        <w:trPr>
          <w:trHeight w:val="20" w:hRule="atLeast"/>
          <w:jc w:val="center"/>
        </w:trPr>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B350D">
            <w:pPr>
              <w:widowControl/>
              <w:spacing w:line="276" w:lineRule="auto"/>
              <w:jc w:val="center"/>
              <w:rPr>
                <w:rFonts w:hint="eastAsia" w:eastAsia="仿宋"/>
                <w:i w:val="0"/>
                <w:iCs w:val="0"/>
                <w:color w:val="auto"/>
                <w:sz w:val="21"/>
                <w:szCs w:val="15"/>
                <w:highlight w:val="none"/>
                <w:lang w:val="en-US" w:eastAsia="zh-CN"/>
              </w:rPr>
            </w:pPr>
            <w:r>
              <w:rPr>
                <w:rFonts w:hint="eastAsia"/>
                <w:i w:val="0"/>
                <w:iCs w:val="0"/>
                <w:color w:val="auto"/>
                <w:sz w:val="21"/>
                <w:szCs w:val="15"/>
                <w:highlight w:val="none"/>
                <w:lang w:val="en-US" w:eastAsia="zh-CN"/>
              </w:rPr>
              <w:t>6</w:t>
            </w:r>
          </w:p>
        </w:tc>
        <w:tc>
          <w:tcPr>
            <w:tcW w:w="2247" w:type="dxa"/>
            <w:tcBorders>
              <w:top w:val="single" w:color="000000" w:sz="4" w:space="0"/>
              <w:left w:val="nil"/>
              <w:bottom w:val="single" w:color="000000" w:sz="4" w:space="0"/>
              <w:right w:val="single" w:color="000000" w:sz="4" w:space="0"/>
            </w:tcBorders>
            <w:shd w:val="clear" w:color="auto" w:fill="auto"/>
            <w:vAlign w:val="center"/>
          </w:tcPr>
          <w:p w14:paraId="1CACC60C">
            <w:pPr>
              <w:widowControl/>
              <w:spacing w:line="276" w:lineRule="auto"/>
              <w:jc w:val="left"/>
              <w:rPr>
                <w:rFonts w:hint="eastAsia"/>
                <w:i w:val="0"/>
                <w:iCs w:val="0"/>
                <w:color w:val="auto"/>
                <w:sz w:val="21"/>
                <w:szCs w:val="15"/>
                <w:highlight w:val="none"/>
                <w:lang w:val="en-US" w:eastAsia="zh-CN"/>
              </w:rPr>
            </w:pPr>
            <w:r>
              <w:rPr>
                <w:rFonts w:hint="eastAsia"/>
                <w:i w:val="0"/>
                <w:iCs w:val="0"/>
                <w:color w:val="auto"/>
                <w:sz w:val="21"/>
                <w:szCs w:val="15"/>
                <w:highlight w:val="none"/>
              </w:rPr>
              <w:t>机房装修工程</w:t>
            </w:r>
          </w:p>
        </w:tc>
        <w:tc>
          <w:tcPr>
            <w:tcW w:w="687" w:type="dxa"/>
            <w:tcBorders>
              <w:top w:val="single" w:color="000000" w:sz="4" w:space="0"/>
              <w:left w:val="nil"/>
              <w:bottom w:val="single" w:color="000000" w:sz="4" w:space="0"/>
              <w:right w:val="single" w:color="000000" w:sz="4" w:space="0"/>
            </w:tcBorders>
            <w:shd w:val="clear" w:color="auto" w:fill="auto"/>
            <w:vAlign w:val="center"/>
          </w:tcPr>
          <w:p w14:paraId="276AD6BE">
            <w:pPr>
              <w:widowControl/>
              <w:spacing w:line="276" w:lineRule="auto"/>
              <w:jc w:val="center"/>
              <w:rPr>
                <w:rFonts w:hint="eastAsia"/>
                <w:i w:val="0"/>
                <w:iCs w:val="0"/>
                <w:color w:val="auto"/>
                <w:sz w:val="21"/>
                <w:szCs w:val="15"/>
                <w:highlight w:val="none"/>
                <w:lang w:val="en-US" w:eastAsia="zh-CN"/>
              </w:rPr>
            </w:pPr>
            <w:r>
              <w:rPr>
                <w:rFonts w:hint="eastAsia"/>
                <w:i w:val="0"/>
                <w:iCs w:val="0"/>
                <w:color w:val="auto"/>
                <w:sz w:val="21"/>
                <w:szCs w:val="15"/>
                <w:highlight w:val="none"/>
              </w:rPr>
              <w:t>项</w:t>
            </w:r>
          </w:p>
        </w:tc>
        <w:tc>
          <w:tcPr>
            <w:tcW w:w="720" w:type="dxa"/>
            <w:tcBorders>
              <w:top w:val="single" w:color="000000" w:sz="4" w:space="0"/>
              <w:left w:val="nil"/>
              <w:bottom w:val="single" w:color="000000" w:sz="4" w:space="0"/>
              <w:right w:val="single" w:color="000000" w:sz="4" w:space="0"/>
            </w:tcBorders>
            <w:shd w:val="clear" w:color="auto" w:fill="auto"/>
            <w:vAlign w:val="center"/>
          </w:tcPr>
          <w:p w14:paraId="71E1C258">
            <w:pPr>
              <w:widowControl/>
              <w:spacing w:line="276" w:lineRule="auto"/>
              <w:jc w:val="center"/>
              <w:rPr>
                <w:rFonts w:hint="eastAsia"/>
                <w:i w:val="0"/>
                <w:iCs w:val="0"/>
                <w:color w:val="auto"/>
                <w:sz w:val="21"/>
                <w:szCs w:val="15"/>
                <w:highlight w:val="none"/>
                <w:lang w:val="en-US" w:eastAsia="zh-CN"/>
              </w:rPr>
            </w:pPr>
            <w:r>
              <w:rPr>
                <w:rFonts w:hint="eastAsia"/>
                <w:i w:val="0"/>
                <w:iCs w:val="0"/>
                <w:color w:val="auto"/>
                <w:sz w:val="21"/>
                <w:szCs w:val="15"/>
                <w:highlight w:val="none"/>
              </w:rPr>
              <w:t>1</w:t>
            </w:r>
          </w:p>
        </w:tc>
        <w:tc>
          <w:tcPr>
            <w:tcW w:w="3800" w:type="dxa"/>
            <w:tcBorders>
              <w:top w:val="single" w:color="000000" w:sz="4" w:space="0"/>
              <w:left w:val="nil"/>
              <w:bottom w:val="single" w:color="000000" w:sz="4" w:space="0"/>
              <w:right w:val="single" w:color="000000" w:sz="4" w:space="0"/>
            </w:tcBorders>
            <w:shd w:val="clear" w:color="auto" w:fill="auto"/>
            <w:vAlign w:val="center"/>
          </w:tcPr>
          <w:p w14:paraId="7D64F9D8">
            <w:pPr>
              <w:widowControl/>
              <w:spacing w:line="276" w:lineRule="auto"/>
              <w:jc w:val="left"/>
              <w:rPr>
                <w:rFonts w:hint="eastAsia"/>
                <w:i w:val="0"/>
                <w:iCs w:val="0"/>
                <w:color w:val="auto"/>
                <w:sz w:val="21"/>
                <w:szCs w:val="15"/>
                <w:highlight w:val="none"/>
                <w:lang w:val="en-US" w:eastAsia="zh-CN"/>
              </w:rPr>
            </w:pPr>
          </w:p>
        </w:tc>
      </w:tr>
    </w:tbl>
    <w:p w14:paraId="56D13671">
      <w:pPr>
        <w:pStyle w:val="6"/>
        <w:ind w:left="0"/>
        <w:rPr>
          <w:i w:val="0"/>
          <w:iCs w:val="0"/>
          <w:color w:val="auto"/>
          <w:sz w:val="21"/>
          <w:szCs w:val="21"/>
          <w:highlight w:val="none"/>
        </w:rPr>
      </w:pPr>
      <w:r>
        <w:rPr>
          <w:rFonts w:hint="eastAsia"/>
          <w:i w:val="0"/>
          <w:iCs w:val="0"/>
          <w:color w:val="auto"/>
          <w:sz w:val="21"/>
          <w:szCs w:val="21"/>
          <w:highlight w:val="none"/>
        </w:rPr>
        <w:t>管理网云平台主要材料表</w:t>
      </w:r>
    </w:p>
    <w:tbl>
      <w:tblPr>
        <w:tblStyle w:val="88"/>
        <w:tblW w:w="0" w:type="auto"/>
        <w:jc w:val="center"/>
        <w:tblLayout w:type="fixed"/>
        <w:tblCellMar>
          <w:top w:w="0" w:type="dxa"/>
          <w:left w:w="108" w:type="dxa"/>
          <w:bottom w:w="0" w:type="dxa"/>
          <w:right w:w="108" w:type="dxa"/>
        </w:tblCellMar>
      </w:tblPr>
      <w:tblGrid>
        <w:gridCol w:w="716"/>
        <w:gridCol w:w="2247"/>
        <w:gridCol w:w="676"/>
        <w:gridCol w:w="709"/>
        <w:gridCol w:w="3800"/>
      </w:tblGrid>
      <w:tr w14:paraId="56D13677">
        <w:tblPrEx>
          <w:tblCellMar>
            <w:top w:w="0" w:type="dxa"/>
            <w:left w:w="108" w:type="dxa"/>
            <w:bottom w:w="0" w:type="dxa"/>
            <w:right w:w="108" w:type="dxa"/>
          </w:tblCellMar>
        </w:tblPrEx>
        <w:trPr>
          <w:jc w:val="center"/>
        </w:trPr>
        <w:tc>
          <w:tcPr>
            <w:tcW w:w="716" w:type="dxa"/>
            <w:tcBorders>
              <w:top w:val="single" w:color="000000" w:sz="4" w:space="0"/>
              <w:left w:val="single" w:color="000000" w:sz="4" w:space="0"/>
              <w:bottom w:val="single" w:color="000000" w:sz="4" w:space="0"/>
              <w:right w:val="single" w:color="000000" w:sz="4" w:space="0"/>
            </w:tcBorders>
            <w:vAlign w:val="center"/>
          </w:tcPr>
          <w:p w14:paraId="56D1367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序号</w:t>
            </w:r>
          </w:p>
        </w:tc>
        <w:tc>
          <w:tcPr>
            <w:tcW w:w="2247" w:type="dxa"/>
            <w:tcBorders>
              <w:top w:val="single" w:color="000000" w:sz="4" w:space="0"/>
              <w:left w:val="nil"/>
              <w:bottom w:val="single" w:color="000000" w:sz="4" w:space="0"/>
              <w:right w:val="single" w:color="000000" w:sz="4" w:space="0"/>
            </w:tcBorders>
            <w:vAlign w:val="center"/>
          </w:tcPr>
          <w:p w14:paraId="56D1367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名称及规格</w:t>
            </w:r>
          </w:p>
        </w:tc>
        <w:tc>
          <w:tcPr>
            <w:tcW w:w="676" w:type="dxa"/>
            <w:tcBorders>
              <w:top w:val="single" w:color="000000" w:sz="4" w:space="0"/>
              <w:left w:val="nil"/>
              <w:bottom w:val="single" w:color="000000" w:sz="4" w:space="0"/>
              <w:right w:val="single" w:color="000000" w:sz="4" w:space="0"/>
            </w:tcBorders>
            <w:vAlign w:val="center"/>
          </w:tcPr>
          <w:p w14:paraId="56D1367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单位</w:t>
            </w:r>
          </w:p>
        </w:tc>
        <w:tc>
          <w:tcPr>
            <w:tcW w:w="709" w:type="dxa"/>
            <w:tcBorders>
              <w:top w:val="single" w:color="000000" w:sz="4" w:space="0"/>
              <w:left w:val="nil"/>
              <w:bottom w:val="single" w:color="000000" w:sz="4" w:space="0"/>
              <w:right w:val="single" w:color="000000" w:sz="4" w:space="0"/>
            </w:tcBorders>
            <w:vAlign w:val="center"/>
          </w:tcPr>
          <w:p w14:paraId="56D13675">
            <w:pPr>
              <w:widowControl/>
              <w:spacing w:line="276" w:lineRule="auto"/>
              <w:jc w:val="center"/>
              <w:rPr>
                <w:i w:val="0"/>
                <w:iCs w:val="0"/>
                <w:color w:val="auto"/>
                <w:sz w:val="21"/>
                <w:szCs w:val="15"/>
                <w:highlight w:val="none"/>
              </w:rPr>
            </w:pPr>
            <w:r>
              <w:rPr>
                <w:rFonts w:hint="eastAsia"/>
                <w:i w:val="0"/>
                <w:iCs w:val="0"/>
                <w:color w:val="auto"/>
                <w:sz w:val="21"/>
                <w:szCs w:val="15"/>
                <w:highlight w:val="none"/>
              </w:rPr>
              <w:t>数量</w:t>
            </w:r>
          </w:p>
        </w:tc>
        <w:tc>
          <w:tcPr>
            <w:tcW w:w="3800" w:type="dxa"/>
            <w:tcBorders>
              <w:top w:val="single" w:color="000000" w:sz="4" w:space="0"/>
              <w:left w:val="nil"/>
              <w:bottom w:val="single" w:color="000000" w:sz="4" w:space="0"/>
              <w:right w:val="single" w:color="000000" w:sz="4" w:space="0"/>
            </w:tcBorders>
            <w:vAlign w:val="center"/>
          </w:tcPr>
          <w:p w14:paraId="56D1367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备注</w:t>
            </w:r>
          </w:p>
        </w:tc>
      </w:tr>
      <w:tr w14:paraId="56D1367D">
        <w:tblPrEx>
          <w:tblCellMar>
            <w:top w:w="0" w:type="dxa"/>
            <w:left w:w="108" w:type="dxa"/>
            <w:bottom w:w="0" w:type="dxa"/>
            <w:right w:w="108" w:type="dxa"/>
          </w:tblCellMar>
        </w:tblPrEx>
        <w:trPr>
          <w:jc w:val="center"/>
        </w:trPr>
        <w:tc>
          <w:tcPr>
            <w:tcW w:w="716" w:type="dxa"/>
            <w:tcBorders>
              <w:top w:val="single" w:color="000000" w:sz="4" w:space="0"/>
              <w:left w:val="single" w:color="000000" w:sz="4" w:space="0"/>
              <w:bottom w:val="single" w:color="000000" w:sz="4" w:space="0"/>
              <w:right w:val="single" w:color="000000" w:sz="4" w:space="0"/>
            </w:tcBorders>
            <w:vAlign w:val="center"/>
          </w:tcPr>
          <w:p w14:paraId="56D13678">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w:t>
            </w:r>
          </w:p>
        </w:tc>
        <w:tc>
          <w:tcPr>
            <w:tcW w:w="2247" w:type="dxa"/>
            <w:tcBorders>
              <w:top w:val="single" w:color="000000" w:sz="4" w:space="0"/>
              <w:left w:val="nil"/>
              <w:bottom w:val="single" w:color="000000" w:sz="4" w:space="0"/>
              <w:right w:val="single" w:color="000000" w:sz="4" w:space="0"/>
            </w:tcBorders>
            <w:vAlign w:val="center"/>
          </w:tcPr>
          <w:p w14:paraId="56D13679">
            <w:pPr>
              <w:widowControl/>
              <w:spacing w:line="276" w:lineRule="auto"/>
              <w:jc w:val="left"/>
              <w:rPr>
                <w:i w:val="0"/>
                <w:iCs w:val="0"/>
                <w:color w:val="auto"/>
                <w:sz w:val="21"/>
                <w:szCs w:val="15"/>
                <w:highlight w:val="none"/>
              </w:rPr>
            </w:pPr>
            <w:r>
              <w:rPr>
                <w:rFonts w:hint="eastAsia"/>
                <w:i w:val="0"/>
                <w:iCs w:val="0"/>
                <w:color w:val="auto"/>
                <w:sz w:val="21"/>
                <w:szCs w:val="15"/>
                <w:highlight w:val="none"/>
              </w:rPr>
              <w:t>WDZBN-YJY-3X6mm²</w:t>
            </w:r>
          </w:p>
        </w:tc>
        <w:tc>
          <w:tcPr>
            <w:tcW w:w="676" w:type="dxa"/>
            <w:tcBorders>
              <w:top w:val="single" w:color="000000" w:sz="4" w:space="0"/>
              <w:left w:val="nil"/>
              <w:bottom w:val="single" w:color="000000" w:sz="4" w:space="0"/>
              <w:right w:val="single" w:color="000000" w:sz="4" w:space="0"/>
            </w:tcBorders>
            <w:vAlign w:val="center"/>
          </w:tcPr>
          <w:p w14:paraId="56D1367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09" w:type="dxa"/>
            <w:tcBorders>
              <w:top w:val="single" w:color="000000" w:sz="4" w:space="0"/>
              <w:left w:val="nil"/>
              <w:bottom w:val="single" w:color="000000" w:sz="4" w:space="0"/>
              <w:right w:val="single" w:color="000000" w:sz="4" w:space="0"/>
            </w:tcBorders>
            <w:vAlign w:val="center"/>
          </w:tcPr>
          <w:p w14:paraId="56D1367B">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600</w:t>
            </w:r>
          </w:p>
        </w:tc>
        <w:tc>
          <w:tcPr>
            <w:tcW w:w="3800" w:type="dxa"/>
            <w:tcBorders>
              <w:top w:val="single" w:color="000000" w:sz="4" w:space="0"/>
              <w:left w:val="nil"/>
              <w:bottom w:val="single" w:color="000000" w:sz="4" w:space="0"/>
              <w:right w:val="single" w:color="000000" w:sz="4" w:space="0"/>
            </w:tcBorders>
            <w:vAlign w:val="center"/>
          </w:tcPr>
          <w:p w14:paraId="56D1367C">
            <w:pPr>
              <w:widowControl/>
              <w:spacing w:line="276" w:lineRule="auto"/>
              <w:jc w:val="left"/>
              <w:rPr>
                <w:i w:val="0"/>
                <w:iCs w:val="0"/>
                <w:color w:val="auto"/>
                <w:sz w:val="21"/>
                <w:szCs w:val="15"/>
                <w:highlight w:val="none"/>
              </w:rPr>
            </w:pPr>
            <w:r>
              <w:rPr>
                <w:rFonts w:hint="eastAsia"/>
                <w:i w:val="0"/>
                <w:iCs w:val="0"/>
                <w:color w:val="auto"/>
                <w:sz w:val="21"/>
                <w:szCs w:val="15"/>
                <w:highlight w:val="none"/>
              </w:rPr>
              <w:t>低烟无卤阻燃耐火，燃烧性能满足BI级</w:t>
            </w:r>
          </w:p>
        </w:tc>
      </w:tr>
      <w:tr w14:paraId="56D13683">
        <w:tblPrEx>
          <w:tblCellMar>
            <w:top w:w="0" w:type="dxa"/>
            <w:left w:w="108" w:type="dxa"/>
            <w:bottom w:w="0" w:type="dxa"/>
            <w:right w:w="108" w:type="dxa"/>
          </w:tblCellMar>
        </w:tblPrEx>
        <w:trPr>
          <w:jc w:val="center"/>
        </w:trPr>
        <w:tc>
          <w:tcPr>
            <w:tcW w:w="716" w:type="dxa"/>
            <w:tcBorders>
              <w:top w:val="single" w:color="000000" w:sz="4" w:space="0"/>
              <w:left w:val="single" w:color="000000" w:sz="4" w:space="0"/>
              <w:bottom w:val="single" w:color="000000" w:sz="4" w:space="0"/>
              <w:right w:val="single" w:color="000000" w:sz="4" w:space="0"/>
            </w:tcBorders>
            <w:vAlign w:val="center"/>
          </w:tcPr>
          <w:p w14:paraId="56D1367E">
            <w:pPr>
              <w:widowControl/>
              <w:spacing w:line="276" w:lineRule="auto"/>
              <w:jc w:val="center"/>
              <w:rPr>
                <w:i w:val="0"/>
                <w:iCs w:val="0"/>
                <w:color w:val="auto"/>
                <w:sz w:val="21"/>
                <w:szCs w:val="15"/>
                <w:highlight w:val="none"/>
              </w:rPr>
            </w:pPr>
            <w:r>
              <w:rPr>
                <w:rFonts w:hint="eastAsia"/>
                <w:i w:val="0"/>
                <w:iCs w:val="0"/>
                <w:color w:val="auto"/>
                <w:sz w:val="21"/>
                <w:szCs w:val="15"/>
                <w:highlight w:val="none"/>
              </w:rPr>
              <w:t>3</w:t>
            </w:r>
          </w:p>
        </w:tc>
        <w:tc>
          <w:tcPr>
            <w:tcW w:w="2247" w:type="dxa"/>
            <w:tcBorders>
              <w:top w:val="single" w:color="000000" w:sz="4" w:space="0"/>
              <w:left w:val="nil"/>
              <w:bottom w:val="single" w:color="000000" w:sz="4" w:space="0"/>
              <w:right w:val="single" w:color="000000" w:sz="4" w:space="0"/>
            </w:tcBorders>
            <w:vAlign w:val="center"/>
          </w:tcPr>
          <w:p w14:paraId="56D1367F">
            <w:pPr>
              <w:widowControl/>
              <w:spacing w:line="276" w:lineRule="auto"/>
              <w:jc w:val="left"/>
              <w:rPr>
                <w:i w:val="0"/>
                <w:iCs w:val="0"/>
                <w:color w:val="auto"/>
                <w:sz w:val="21"/>
                <w:szCs w:val="15"/>
                <w:highlight w:val="none"/>
              </w:rPr>
            </w:pPr>
            <w:r>
              <w:rPr>
                <w:rFonts w:hint="eastAsia"/>
                <w:i w:val="0"/>
                <w:iCs w:val="0"/>
                <w:color w:val="auto"/>
                <w:sz w:val="21"/>
                <w:szCs w:val="15"/>
                <w:highlight w:val="none"/>
              </w:rPr>
              <w:t>镀锌钢管SC32</w:t>
            </w:r>
          </w:p>
        </w:tc>
        <w:tc>
          <w:tcPr>
            <w:tcW w:w="676" w:type="dxa"/>
            <w:tcBorders>
              <w:top w:val="single" w:color="000000" w:sz="4" w:space="0"/>
              <w:left w:val="nil"/>
              <w:bottom w:val="single" w:color="000000" w:sz="4" w:space="0"/>
              <w:right w:val="single" w:color="000000" w:sz="4" w:space="0"/>
            </w:tcBorders>
            <w:vAlign w:val="center"/>
          </w:tcPr>
          <w:p w14:paraId="56D1368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09" w:type="dxa"/>
            <w:tcBorders>
              <w:top w:val="single" w:color="000000" w:sz="4" w:space="0"/>
              <w:left w:val="nil"/>
              <w:bottom w:val="single" w:color="000000" w:sz="4" w:space="0"/>
              <w:right w:val="single" w:color="000000" w:sz="4" w:space="0"/>
            </w:tcBorders>
            <w:vAlign w:val="center"/>
          </w:tcPr>
          <w:p w14:paraId="56D13681">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400</w:t>
            </w:r>
          </w:p>
        </w:tc>
        <w:tc>
          <w:tcPr>
            <w:tcW w:w="3800" w:type="dxa"/>
            <w:tcBorders>
              <w:top w:val="single" w:color="000000" w:sz="4" w:space="0"/>
              <w:left w:val="nil"/>
              <w:bottom w:val="single" w:color="000000" w:sz="4" w:space="0"/>
              <w:right w:val="single" w:color="000000" w:sz="4" w:space="0"/>
            </w:tcBorders>
            <w:vAlign w:val="center"/>
          </w:tcPr>
          <w:p w14:paraId="56D13682">
            <w:pPr>
              <w:widowControl/>
              <w:spacing w:line="276" w:lineRule="auto"/>
              <w:jc w:val="left"/>
              <w:rPr>
                <w:i w:val="0"/>
                <w:iCs w:val="0"/>
                <w:color w:val="auto"/>
                <w:sz w:val="21"/>
                <w:szCs w:val="15"/>
                <w:highlight w:val="none"/>
              </w:rPr>
            </w:pPr>
            <w:r>
              <w:rPr>
                <w:rFonts w:hint="eastAsia"/>
                <w:i w:val="0"/>
                <w:iCs w:val="0"/>
                <w:color w:val="auto"/>
                <w:sz w:val="21"/>
                <w:szCs w:val="15"/>
                <w:highlight w:val="none"/>
              </w:rPr>
              <w:t>含安装辅件</w:t>
            </w:r>
          </w:p>
        </w:tc>
      </w:tr>
      <w:tr w14:paraId="56D13689">
        <w:tblPrEx>
          <w:tblCellMar>
            <w:top w:w="0" w:type="dxa"/>
            <w:left w:w="108" w:type="dxa"/>
            <w:bottom w:w="0" w:type="dxa"/>
            <w:right w:w="108" w:type="dxa"/>
          </w:tblCellMar>
        </w:tblPrEx>
        <w:trPr>
          <w:jc w:val="center"/>
        </w:trPr>
        <w:tc>
          <w:tcPr>
            <w:tcW w:w="716" w:type="dxa"/>
            <w:tcBorders>
              <w:top w:val="single" w:color="000000" w:sz="4" w:space="0"/>
              <w:left w:val="single" w:color="000000" w:sz="4" w:space="0"/>
              <w:bottom w:val="single" w:color="000000" w:sz="4" w:space="0"/>
              <w:right w:val="single" w:color="000000" w:sz="4" w:space="0"/>
            </w:tcBorders>
            <w:vAlign w:val="center"/>
          </w:tcPr>
          <w:p w14:paraId="56D13684">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w:t>
            </w:r>
          </w:p>
        </w:tc>
        <w:tc>
          <w:tcPr>
            <w:tcW w:w="2247" w:type="dxa"/>
            <w:tcBorders>
              <w:top w:val="single" w:color="000000" w:sz="4" w:space="0"/>
              <w:left w:val="nil"/>
              <w:bottom w:val="single" w:color="000000" w:sz="4" w:space="0"/>
              <w:right w:val="single" w:color="000000" w:sz="4" w:space="0"/>
            </w:tcBorders>
            <w:vAlign w:val="center"/>
          </w:tcPr>
          <w:p w14:paraId="56D13685">
            <w:pPr>
              <w:widowControl/>
              <w:spacing w:line="276" w:lineRule="auto"/>
              <w:jc w:val="left"/>
              <w:rPr>
                <w:i w:val="0"/>
                <w:iCs w:val="0"/>
                <w:color w:val="auto"/>
                <w:sz w:val="21"/>
                <w:szCs w:val="15"/>
                <w:highlight w:val="none"/>
              </w:rPr>
            </w:pPr>
            <w:r>
              <w:rPr>
                <w:i w:val="0"/>
                <w:iCs w:val="0"/>
                <w:color w:val="auto"/>
                <w:sz w:val="21"/>
                <w:szCs w:val="15"/>
                <w:highlight w:val="none"/>
              </w:rPr>
              <w:t>WDZBN-BY-25</w:t>
            </w:r>
          </w:p>
        </w:tc>
        <w:tc>
          <w:tcPr>
            <w:tcW w:w="676" w:type="dxa"/>
            <w:tcBorders>
              <w:top w:val="single" w:color="000000" w:sz="4" w:space="0"/>
              <w:left w:val="nil"/>
              <w:bottom w:val="single" w:color="000000" w:sz="4" w:space="0"/>
              <w:right w:val="single" w:color="000000" w:sz="4" w:space="0"/>
            </w:tcBorders>
            <w:vAlign w:val="center"/>
          </w:tcPr>
          <w:p w14:paraId="56D13686">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09" w:type="dxa"/>
            <w:tcBorders>
              <w:top w:val="single" w:color="000000" w:sz="4" w:space="0"/>
              <w:left w:val="nil"/>
              <w:bottom w:val="single" w:color="000000" w:sz="4" w:space="0"/>
              <w:right w:val="single" w:color="000000" w:sz="4" w:space="0"/>
            </w:tcBorders>
            <w:vAlign w:val="center"/>
          </w:tcPr>
          <w:p w14:paraId="56D13687">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400</w:t>
            </w:r>
          </w:p>
        </w:tc>
        <w:tc>
          <w:tcPr>
            <w:tcW w:w="3800" w:type="dxa"/>
            <w:tcBorders>
              <w:top w:val="single" w:color="000000" w:sz="4" w:space="0"/>
              <w:left w:val="nil"/>
              <w:bottom w:val="single" w:color="000000" w:sz="4" w:space="0"/>
              <w:right w:val="single" w:color="000000" w:sz="4" w:space="0"/>
            </w:tcBorders>
            <w:vAlign w:val="center"/>
          </w:tcPr>
          <w:p w14:paraId="56D13688">
            <w:pPr>
              <w:widowControl/>
              <w:spacing w:line="276" w:lineRule="auto"/>
              <w:jc w:val="left"/>
              <w:rPr>
                <w:i w:val="0"/>
                <w:iCs w:val="0"/>
                <w:color w:val="auto"/>
                <w:sz w:val="21"/>
                <w:szCs w:val="15"/>
                <w:highlight w:val="none"/>
              </w:rPr>
            </w:pPr>
            <w:r>
              <w:rPr>
                <w:rFonts w:hint="eastAsia"/>
                <w:i w:val="0"/>
                <w:iCs w:val="0"/>
                <w:color w:val="auto"/>
                <w:sz w:val="21"/>
                <w:szCs w:val="15"/>
                <w:highlight w:val="none"/>
              </w:rPr>
              <w:t>低烟无卤耐火阻燃</w:t>
            </w:r>
          </w:p>
        </w:tc>
      </w:tr>
      <w:tr w14:paraId="56D1368F">
        <w:tblPrEx>
          <w:tblCellMar>
            <w:top w:w="0" w:type="dxa"/>
            <w:left w:w="108" w:type="dxa"/>
            <w:bottom w:w="0" w:type="dxa"/>
            <w:right w:w="108" w:type="dxa"/>
          </w:tblCellMar>
        </w:tblPrEx>
        <w:trPr>
          <w:jc w:val="center"/>
        </w:trPr>
        <w:tc>
          <w:tcPr>
            <w:tcW w:w="716" w:type="dxa"/>
            <w:tcBorders>
              <w:top w:val="single" w:color="000000" w:sz="4" w:space="0"/>
              <w:left w:val="single" w:color="000000" w:sz="4" w:space="0"/>
              <w:bottom w:val="single" w:color="000000" w:sz="4" w:space="0"/>
              <w:right w:val="single" w:color="000000" w:sz="4" w:space="0"/>
            </w:tcBorders>
            <w:vAlign w:val="center"/>
          </w:tcPr>
          <w:p w14:paraId="56D1368A">
            <w:pPr>
              <w:widowControl/>
              <w:spacing w:line="276" w:lineRule="auto"/>
              <w:jc w:val="center"/>
              <w:rPr>
                <w:i w:val="0"/>
                <w:iCs w:val="0"/>
                <w:color w:val="auto"/>
                <w:sz w:val="21"/>
                <w:szCs w:val="15"/>
                <w:highlight w:val="none"/>
              </w:rPr>
            </w:pPr>
            <w:r>
              <w:rPr>
                <w:rFonts w:hint="eastAsia"/>
                <w:i w:val="0"/>
                <w:iCs w:val="0"/>
                <w:color w:val="auto"/>
                <w:sz w:val="21"/>
                <w:szCs w:val="15"/>
                <w:highlight w:val="none"/>
              </w:rPr>
              <w:t>5</w:t>
            </w:r>
          </w:p>
        </w:tc>
        <w:tc>
          <w:tcPr>
            <w:tcW w:w="2247" w:type="dxa"/>
            <w:tcBorders>
              <w:top w:val="single" w:color="000000" w:sz="4" w:space="0"/>
              <w:left w:val="nil"/>
              <w:bottom w:val="single" w:color="000000" w:sz="4" w:space="0"/>
              <w:right w:val="single" w:color="000000" w:sz="4" w:space="0"/>
            </w:tcBorders>
            <w:vAlign w:val="center"/>
          </w:tcPr>
          <w:p w14:paraId="56D1368B">
            <w:pPr>
              <w:widowControl/>
              <w:spacing w:line="276" w:lineRule="auto"/>
              <w:jc w:val="left"/>
              <w:rPr>
                <w:i w:val="0"/>
                <w:iCs w:val="0"/>
                <w:color w:val="auto"/>
                <w:sz w:val="21"/>
                <w:szCs w:val="15"/>
                <w:highlight w:val="none"/>
              </w:rPr>
            </w:pPr>
            <w:r>
              <w:rPr>
                <w:rFonts w:hint="eastAsia"/>
                <w:i w:val="0"/>
                <w:iCs w:val="0"/>
                <w:color w:val="auto"/>
                <w:sz w:val="21"/>
                <w:szCs w:val="15"/>
                <w:highlight w:val="none"/>
              </w:rPr>
              <w:t>4芯单模光缆</w:t>
            </w:r>
          </w:p>
        </w:tc>
        <w:tc>
          <w:tcPr>
            <w:tcW w:w="676" w:type="dxa"/>
            <w:tcBorders>
              <w:top w:val="single" w:color="000000" w:sz="4" w:space="0"/>
              <w:left w:val="nil"/>
              <w:bottom w:val="single" w:color="000000" w:sz="4" w:space="0"/>
              <w:right w:val="single" w:color="000000" w:sz="4" w:space="0"/>
            </w:tcBorders>
            <w:vAlign w:val="center"/>
          </w:tcPr>
          <w:p w14:paraId="56D1368C">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09" w:type="dxa"/>
            <w:tcBorders>
              <w:top w:val="single" w:color="000000" w:sz="4" w:space="0"/>
              <w:left w:val="nil"/>
              <w:bottom w:val="single" w:color="000000" w:sz="4" w:space="0"/>
              <w:right w:val="single" w:color="000000" w:sz="4" w:space="0"/>
            </w:tcBorders>
            <w:vAlign w:val="center"/>
          </w:tcPr>
          <w:p w14:paraId="56D1368D">
            <w:pPr>
              <w:widowControl/>
              <w:spacing w:line="276" w:lineRule="auto"/>
              <w:jc w:val="center"/>
              <w:rPr>
                <w:i w:val="0"/>
                <w:iCs w:val="0"/>
                <w:color w:val="auto"/>
                <w:sz w:val="21"/>
                <w:szCs w:val="15"/>
                <w:highlight w:val="none"/>
              </w:rPr>
            </w:pPr>
            <w:r>
              <w:rPr>
                <w:rFonts w:hint="eastAsia"/>
                <w:i w:val="0"/>
                <w:iCs w:val="0"/>
                <w:color w:val="auto"/>
                <w:sz w:val="21"/>
                <w:szCs w:val="15"/>
                <w:highlight w:val="none"/>
              </w:rPr>
              <w:t>200</w:t>
            </w:r>
          </w:p>
        </w:tc>
        <w:tc>
          <w:tcPr>
            <w:tcW w:w="3800" w:type="dxa"/>
            <w:tcBorders>
              <w:top w:val="single" w:color="000000" w:sz="4" w:space="0"/>
              <w:left w:val="nil"/>
              <w:bottom w:val="single" w:color="000000" w:sz="4" w:space="0"/>
              <w:right w:val="single" w:color="000000" w:sz="4" w:space="0"/>
            </w:tcBorders>
            <w:vAlign w:val="center"/>
          </w:tcPr>
          <w:p w14:paraId="56D1368E">
            <w:pPr>
              <w:widowControl/>
              <w:spacing w:line="276" w:lineRule="auto"/>
              <w:jc w:val="left"/>
              <w:rPr>
                <w:i w:val="0"/>
                <w:iCs w:val="0"/>
                <w:color w:val="auto"/>
                <w:sz w:val="21"/>
                <w:szCs w:val="15"/>
                <w:highlight w:val="none"/>
              </w:rPr>
            </w:pPr>
            <w:r>
              <w:rPr>
                <w:rFonts w:hint="eastAsia"/>
                <w:i w:val="0"/>
                <w:iCs w:val="0"/>
                <w:color w:val="auto"/>
                <w:sz w:val="21"/>
                <w:szCs w:val="15"/>
                <w:highlight w:val="none"/>
              </w:rPr>
              <w:t>低烟无卤阻燃</w:t>
            </w:r>
          </w:p>
        </w:tc>
      </w:tr>
      <w:tr w14:paraId="56D13695">
        <w:tblPrEx>
          <w:tblCellMar>
            <w:top w:w="0" w:type="dxa"/>
            <w:left w:w="108" w:type="dxa"/>
            <w:bottom w:w="0" w:type="dxa"/>
            <w:right w:w="108" w:type="dxa"/>
          </w:tblCellMar>
        </w:tblPrEx>
        <w:trPr>
          <w:jc w:val="center"/>
        </w:trPr>
        <w:tc>
          <w:tcPr>
            <w:tcW w:w="716" w:type="dxa"/>
            <w:tcBorders>
              <w:top w:val="single" w:color="000000" w:sz="4" w:space="0"/>
              <w:left w:val="single" w:color="000000" w:sz="4" w:space="0"/>
              <w:bottom w:val="single" w:color="000000" w:sz="4" w:space="0"/>
              <w:right w:val="single" w:color="000000" w:sz="4" w:space="0"/>
            </w:tcBorders>
            <w:vAlign w:val="center"/>
          </w:tcPr>
          <w:p w14:paraId="56D13690">
            <w:pPr>
              <w:widowControl/>
              <w:spacing w:line="276" w:lineRule="auto"/>
              <w:jc w:val="center"/>
              <w:rPr>
                <w:i w:val="0"/>
                <w:iCs w:val="0"/>
                <w:color w:val="auto"/>
                <w:sz w:val="21"/>
                <w:szCs w:val="15"/>
                <w:highlight w:val="none"/>
              </w:rPr>
            </w:pPr>
            <w:r>
              <w:rPr>
                <w:rFonts w:hint="eastAsia"/>
                <w:i w:val="0"/>
                <w:iCs w:val="0"/>
                <w:color w:val="auto"/>
                <w:sz w:val="21"/>
                <w:szCs w:val="15"/>
                <w:highlight w:val="none"/>
              </w:rPr>
              <w:t>6</w:t>
            </w:r>
          </w:p>
        </w:tc>
        <w:tc>
          <w:tcPr>
            <w:tcW w:w="2247" w:type="dxa"/>
            <w:tcBorders>
              <w:top w:val="single" w:color="000000" w:sz="4" w:space="0"/>
              <w:left w:val="nil"/>
              <w:bottom w:val="single" w:color="000000" w:sz="4" w:space="0"/>
              <w:right w:val="single" w:color="000000" w:sz="4" w:space="0"/>
            </w:tcBorders>
            <w:vAlign w:val="center"/>
          </w:tcPr>
          <w:p w14:paraId="56D13691">
            <w:pPr>
              <w:widowControl/>
              <w:spacing w:line="276" w:lineRule="auto"/>
              <w:jc w:val="left"/>
              <w:rPr>
                <w:i w:val="0"/>
                <w:iCs w:val="0"/>
                <w:color w:val="auto"/>
                <w:sz w:val="21"/>
                <w:szCs w:val="15"/>
                <w:highlight w:val="none"/>
              </w:rPr>
            </w:pPr>
            <w:r>
              <w:rPr>
                <w:rFonts w:hint="eastAsia"/>
                <w:i w:val="0"/>
                <w:iCs w:val="0"/>
                <w:color w:val="auto"/>
                <w:sz w:val="21"/>
                <w:szCs w:val="15"/>
                <w:highlight w:val="none"/>
              </w:rPr>
              <w:t xml:space="preserve">镀锌线槽200x150mm </w:t>
            </w:r>
          </w:p>
        </w:tc>
        <w:tc>
          <w:tcPr>
            <w:tcW w:w="676" w:type="dxa"/>
            <w:tcBorders>
              <w:top w:val="single" w:color="000000" w:sz="4" w:space="0"/>
              <w:left w:val="nil"/>
              <w:bottom w:val="single" w:color="000000" w:sz="4" w:space="0"/>
              <w:right w:val="single" w:color="000000" w:sz="4" w:space="0"/>
            </w:tcBorders>
            <w:vAlign w:val="center"/>
          </w:tcPr>
          <w:p w14:paraId="56D13692">
            <w:pPr>
              <w:widowControl/>
              <w:spacing w:line="276" w:lineRule="auto"/>
              <w:jc w:val="center"/>
              <w:rPr>
                <w:i w:val="0"/>
                <w:iCs w:val="0"/>
                <w:color w:val="auto"/>
                <w:sz w:val="21"/>
                <w:szCs w:val="15"/>
                <w:highlight w:val="none"/>
              </w:rPr>
            </w:pPr>
            <w:r>
              <w:rPr>
                <w:rFonts w:hint="eastAsia"/>
                <w:i w:val="0"/>
                <w:iCs w:val="0"/>
                <w:color w:val="auto"/>
                <w:sz w:val="21"/>
                <w:szCs w:val="15"/>
                <w:highlight w:val="none"/>
              </w:rPr>
              <w:t>米</w:t>
            </w:r>
          </w:p>
        </w:tc>
        <w:tc>
          <w:tcPr>
            <w:tcW w:w="709" w:type="dxa"/>
            <w:tcBorders>
              <w:top w:val="single" w:color="000000" w:sz="4" w:space="0"/>
              <w:left w:val="nil"/>
              <w:bottom w:val="single" w:color="000000" w:sz="4" w:space="0"/>
              <w:right w:val="single" w:color="000000" w:sz="4" w:space="0"/>
            </w:tcBorders>
            <w:vAlign w:val="center"/>
          </w:tcPr>
          <w:p w14:paraId="56D13693">
            <w:pPr>
              <w:widowControl/>
              <w:spacing w:line="276" w:lineRule="auto"/>
              <w:jc w:val="center"/>
              <w:rPr>
                <w:i w:val="0"/>
                <w:iCs w:val="0"/>
                <w:color w:val="auto"/>
                <w:sz w:val="21"/>
                <w:szCs w:val="15"/>
                <w:highlight w:val="none"/>
              </w:rPr>
            </w:pPr>
            <w:r>
              <w:rPr>
                <w:rFonts w:hint="eastAsia"/>
                <w:i w:val="0"/>
                <w:iCs w:val="0"/>
                <w:color w:val="auto"/>
                <w:sz w:val="21"/>
                <w:szCs w:val="15"/>
                <w:highlight w:val="none"/>
              </w:rPr>
              <w:t>40</w:t>
            </w:r>
          </w:p>
        </w:tc>
        <w:tc>
          <w:tcPr>
            <w:tcW w:w="3800" w:type="dxa"/>
            <w:tcBorders>
              <w:top w:val="single" w:color="000000" w:sz="4" w:space="0"/>
              <w:left w:val="nil"/>
              <w:bottom w:val="single" w:color="000000" w:sz="4" w:space="0"/>
              <w:right w:val="single" w:color="000000" w:sz="4" w:space="0"/>
            </w:tcBorders>
            <w:vAlign w:val="center"/>
          </w:tcPr>
          <w:p w14:paraId="56D13694">
            <w:pPr>
              <w:widowControl/>
              <w:spacing w:line="276" w:lineRule="auto"/>
              <w:jc w:val="left"/>
              <w:rPr>
                <w:i w:val="0"/>
                <w:iCs w:val="0"/>
                <w:color w:val="auto"/>
                <w:sz w:val="21"/>
                <w:szCs w:val="15"/>
                <w:highlight w:val="none"/>
              </w:rPr>
            </w:pPr>
            <w:r>
              <w:rPr>
                <w:rFonts w:hint="eastAsia"/>
                <w:i w:val="0"/>
                <w:iCs w:val="0"/>
                <w:color w:val="auto"/>
                <w:sz w:val="21"/>
                <w:szCs w:val="15"/>
                <w:highlight w:val="none"/>
              </w:rPr>
              <w:t>内外镀锌，含吊件、弯头、跨接地线等安装辅材</w:t>
            </w:r>
          </w:p>
        </w:tc>
      </w:tr>
    </w:tbl>
    <w:p w14:paraId="56D13696">
      <w:pPr>
        <w:spacing w:line="360" w:lineRule="auto"/>
        <w:rPr>
          <w:rFonts w:hint="eastAsia" w:ascii="宋体" w:hAnsi="宋体" w:eastAsia="宋体"/>
          <w:i w:val="0"/>
          <w:iCs w:val="0"/>
          <w:color w:val="auto"/>
          <w:sz w:val="15"/>
          <w:szCs w:val="15"/>
          <w:highlight w:val="none"/>
        </w:rPr>
      </w:pPr>
    </w:p>
    <w:p w14:paraId="56D13697">
      <w:pPr>
        <w:pStyle w:val="34"/>
        <w:rPr>
          <w:rFonts w:hint="eastAsia" w:ascii="宋体" w:hAnsi="宋体" w:eastAsia="宋体"/>
          <w:i w:val="0"/>
          <w:iCs w:val="0"/>
          <w:color w:val="auto"/>
          <w:sz w:val="15"/>
          <w:szCs w:val="15"/>
          <w:highlight w:val="none"/>
        </w:rPr>
      </w:pPr>
    </w:p>
    <w:p w14:paraId="56D13698">
      <w:pPr>
        <w:rPr>
          <w:i w:val="0"/>
          <w:iCs w:val="0"/>
          <w:color w:val="auto"/>
          <w:highlight w:val="none"/>
        </w:rPr>
      </w:pPr>
    </w:p>
    <w:sectPr>
      <w:headerReference r:id="rId8" w:type="default"/>
      <w:footerReference r:id="rId9" w:type="default"/>
      <w:pgSz w:w="11907" w:h="16839"/>
      <w:pgMar w:top="1440" w:right="1440" w:bottom="1440" w:left="1440" w:header="992" w:footer="851" w:gutter="284"/>
      <w:pgBorders>
        <w:top w:val="none" w:sz="0" w:space="0"/>
        <w:left w:val="none" w:sz="0" w:space="0"/>
        <w:bottom w:val="none" w:sz="0" w:space="0"/>
        <w:right w:val="none" w:sz="0" w:space="0"/>
      </w:pgBorders>
      <w:pgNumType w:fmt="decimal"/>
      <w:cols w:space="425" w:num="1"/>
      <w:docGrid w:linePitch="381" w:charSpace="0"/>
    </w:sectPr>
  </w:body>
</w:document>
</file>

<file path=word/customizations.xml><?xml version="1.0" encoding="utf-8"?>
<wne:tcg xmlns:r="http://schemas.openxmlformats.org/officeDocument/2006/relationships" xmlns:wne="http://schemas.microsoft.com/office/word/2006/wordml">
  <wne:keymaps>
    <wne:keymap wne:kcmPrimary="0231">
      <wne:acd wne:acdName="acd0"/>
    </wne:keymap>
    <wne:keymap wne:kcmPrimary="0232">
      <wne:acd wne:acdName="acd1"/>
    </wne:keymap>
    <wne:keymap wne:kcmPrimary="0233">
      <wne:acd wne:acdName="acd2"/>
    </wne:keymap>
    <wne:keymap wne:kcmPrimary="0234">
      <wne:acd wne:acdName="acd3"/>
    </wne:keymap>
    <wne:keymap wne:kcmPrimary="0235">
      <wne:acd wne:acdName="acd4"/>
    </wne:keymap>
    <wne:keymap wne:kcmPrimary="0236">
      <wne:acd wne:acdName="acd5"/>
    </wne:keymap>
    <wne:keymap wne:kcmPrimary="0237">
      <wne:acd wne:acdName="acd6"/>
    </wne:keymap>
    <wne:keymap wne:kcmPrimary="0238">
      <wne:acd wne:acdName="acd7"/>
    </wne:keymap>
    <wne:keymap wne:kcmPrimary="0239">
      <wne:acd wne:acdName="acd8"/>
    </wne:keymap>
    <wne:keymap wne:kcmPrimary="0242">
      <wne:acd wne:acdName="acd9"/>
    </wne:keymap>
    <wne:keymap wne:kcmPrimary="0251">
      <wne:acd wne:acdName="acd10"/>
    </wne:keymap>
    <wne:keymap wne:kcmPrimary="0254">
      <wne:acd wne:acdName="acd11"/>
    </wne:keymap>
    <wne:keymap wne:kcmPrimary="0257">
      <wne:acd wne:acdName="acd12"/>
    </wne:keymap>
    <wne:keymap wne:kcmPrimary="02C0">
      <wne:acd wne:acdName="acd13"/>
    </wne:keymap>
  </wne:keymaps>
  <wne:acds>
    <wne:acd wne:argValue="AQAAAAEA" wne:acdName="acd0" wne:fciIndexBasedOn="0065"/>
    <wne:acd wne:argValue="AQAAAAIA" wne:acdName="acd1" wne:fciIndexBasedOn="0065"/>
    <wne:acd wne:argValue="AQAAAAMA" wne:acdName="acd2" wne:fciIndexBasedOn="0065"/>
    <wne:acd wne:argValue="AQAAAAQA" wne:acdName="acd3" wne:fciIndexBasedOn="0065"/>
    <wne:acd wne:argValue="AQAAAAUA" wne:acdName="acd4" wne:fciIndexBasedOn="0065"/>
    <wne:acd wne:argValue="AQAAAAYA" wne:acdName="acd5" wne:fciIndexBasedOn="0065"/>
    <wne:acd wne:argValue="AQAAAAcA" wne:acdName="acd6" wne:fciIndexBasedOn="0065"/>
    <wne:acd wne:argValue="AQAAAAgA" wne:acdName="acd7" wne:fciIndexBasedOn="0065"/>
    <wne:acd wne:argValue="AQAAAAkA" wne:acdName="acd8" wne:fciIndexBasedOn="0065"/>
    <wne:acd wne:argValue="AgA3aA9fIABoiDxoh2VXW/5WaIiHZVdbIAAgAGMAdAByAGwAKwBiAA==" wne:acdName="acd9" wne:fciIndexBasedOn="0065"/>
    <wne:acd wne:argValue="AgBoiDxoh2VXW/5WaIiHZVdbIAAgAGMAdAByAGwAKwBxAA==" wne:acdName="acd10" wne:fciIndexBasedOn="0065"/>
    <wne:acd wne:argValue="AQAAAD4A" wne:acdName="acd11" wne:fciIndexBasedOn="0065"/>
    <wne:acd wne:argValue="AgA3aA9fIACWmUyIKX/bjzoAIAAgADIAIABXWyZ7" wne:acdName="acd12" wne:fciIndexBasedOn="0065"/>
    <wne:acd wne:argValue="AQAAAD4A" wne:acdName="acd13"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Plotter">
    <w:altName w:val="Times New Roman"/>
    <w:panose1 w:val="00000000000000000000"/>
    <w:charset w:val="00"/>
    <w:family w:val="roman"/>
    <w:pitch w:val="default"/>
    <w:sig w:usb0="00000000" w:usb1="00000000" w:usb2="00000000"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ˎ̥">
    <w:altName w:val="Times New Roman"/>
    <w:panose1 w:val="00000000000000000000"/>
    <w:charset w:val="00"/>
    <w:family w:val="auto"/>
    <w:pitch w:val="default"/>
    <w:sig w:usb0="00000000" w:usb1="00000000" w:usb2="00000000" w:usb3="00000000" w:csb0="00040001" w:csb1="00000000"/>
  </w:font>
  <w:font w:name="等线">
    <w:panose1 w:val="02010600030101010101"/>
    <w:charset w:val="86"/>
    <w:family w:val="auto"/>
    <w:pitch w:val="default"/>
    <w:sig w:usb0="A00002BF" w:usb1="38CF7CFA" w:usb2="00000016" w:usb3="00000000" w:csb0="0004000F" w:csb1="00000000"/>
  </w:font>
  <w:font w:name="Book Antiqua">
    <w:altName w:val="Segoe Print"/>
    <w:panose1 w:val="02040602050305030304"/>
    <w:charset w:val="00"/>
    <w:family w:val="roman"/>
    <w:pitch w:val="default"/>
    <w:sig w:usb0="00000000" w:usb1="00000000" w:usb2="00000000" w:usb3="00000000" w:csb0="2000009F" w:csb1="DFD70000"/>
  </w:font>
  <w:font w:name="Segoe Print">
    <w:panose1 w:val="02000600000000000000"/>
    <w:charset w:val="00"/>
    <w:family w:val="auto"/>
    <w:pitch w:val="default"/>
    <w:sig w:usb0="0000028F" w:usb1="00000000" w:usb2="00000000" w:usb3="00000000" w:csb0="2000009F" w:csb1="47010000"/>
  </w:font>
  <w:font w:name="等线 Light">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Tms Rmn">
    <w:altName w:val="Segoe Print"/>
    <w:panose1 w:val="02020603040505020304"/>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B Frutiger Bold">
    <w:altName w:val="Impact"/>
    <w:panose1 w:val="00000000000000000000"/>
    <w:charset w:val="00"/>
    <w:family w:val="swiss"/>
    <w:pitch w:val="default"/>
    <w:sig w:usb0="00000000" w:usb1="00000000" w:usb2="00000000" w:usb3="00000000" w:csb0="00000001" w:csb1="00000000"/>
  </w:font>
  <w:font w:name="Impact">
    <w:panose1 w:val="020B0806030902050204"/>
    <w:charset w:val="00"/>
    <w:family w:val="auto"/>
    <w:pitch w:val="default"/>
    <w:sig w:usb0="00000287" w:usb1="00000000" w:usb2="00000000" w:usb3="00000000" w:csb0="2000009F" w:csb1="DFD70000"/>
  </w:font>
  <w:font w:name="ヒラギノ角ゴ Pro W3">
    <w:altName w:val="Times New Roman"/>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D136C9">
    <w:pPr>
      <w:pStyle w:val="55"/>
      <w:tabs>
        <w:tab w:val="right" w:pos="20696"/>
        <w:tab w:val="clear" w:pos="4153"/>
        <w:tab w:val="clear" w:pos="8306"/>
      </w:tabs>
      <w:jc w:val="center"/>
      <w:rPr>
        <w:rFonts w:hint="eastAsia" w:eastAsia="仿宋"/>
        <w:lang w:eastAsia="zh-C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25F554">
                          <w:pPr>
                            <w:pStyle w:val="55"/>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025F554">
                    <w:pPr>
                      <w:pStyle w:val="55"/>
                    </w:pPr>
                    <w:r>
                      <w:fldChar w:fldCharType="begin"/>
                    </w:r>
                    <w:r>
                      <w:instrText xml:space="preserve"> PAGE  \* MERGEFORMAT </w:instrText>
                    </w:r>
                    <w:r>
                      <w:fldChar w:fldCharType="separate"/>
                    </w:r>
                    <w:r>
                      <w:t>I</w:t>
                    </w:r>
                    <w:r>
                      <w:fldChar w:fldCharType="end"/>
                    </w:r>
                  </w:p>
                </w:txbxContent>
              </v:textbox>
            </v:shape>
          </w:pict>
        </mc:Fallback>
      </mc:AlternateContent>
    </w:r>
    <w:r>
      <w:rPr>
        <w:rFonts w:hint="eastAsia"/>
        <w:lang w:val="en-US" w:eastAsia="zh-CN"/>
      </w:rP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D348F">
    <w:pPr>
      <w:pStyle w:val="55"/>
      <w:tabs>
        <w:tab w:val="right" w:pos="20696"/>
        <w:tab w:val="clear" w:pos="4153"/>
        <w:tab w:val="clear" w:pos="8306"/>
      </w:tabs>
      <w:jc w:val="center"/>
      <w:rPr>
        <w:rFonts w:hint="eastAsia" w:eastAsia="仿宋"/>
        <w:lang w:eastAsia="zh-CN"/>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96B860E">
                          <w:pPr>
                            <w:pStyle w:val="55"/>
                          </w:pPr>
                          <w:r>
                            <w:fldChar w:fldCharType="begin"/>
                          </w:r>
                          <w:r>
                            <w:instrText xml:space="preserve"> PAGE  \* MERGEFORMAT </w:instrText>
                          </w:r>
                          <w:r>
                            <w:fldChar w:fldCharType="separate"/>
                          </w:r>
                          <w:r>
                            <w:t>X</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696B860E">
                    <w:pPr>
                      <w:pStyle w:val="55"/>
                    </w:pPr>
                    <w:r>
                      <w:fldChar w:fldCharType="begin"/>
                    </w:r>
                    <w:r>
                      <w:instrText xml:space="preserve"> PAGE  \* MERGEFORMAT </w:instrText>
                    </w:r>
                    <w:r>
                      <w:fldChar w:fldCharType="separate"/>
                    </w:r>
                    <w:r>
                      <w:t>X</w:t>
                    </w:r>
                    <w:r>
                      <w:fldChar w:fldCharType="end"/>
                    </w:r>
                  </w:p>
                </w:txbxContent>
              </v:textbox>
            </v:shape>
          </w:pict>
        </mc:Fallback>
      </mc:AlternateContent>
    </w:r>
    <w:r>
      <w:rPr>
        <w:rFonts w:hint="eastAsia"/>
        <w:lang w:val="en-US" w:eastAsia="zh-CN"/>
      </w:rPr>
      <w:t>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D136CB">
    <w:pPr>
      <w:pStyle w:val="55"/>
      <w:tabs>
        <w:tab w:val="right" w:pos="20696"/>
        <w:tab w:val="clear" w:pos="4153"/>
        <w:tab w:val="clear" w:pos="8306"/>
      </w:tabs>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B90575">
                          <w:pPr>
                            <w:pStyle w:val="55"/>
                            <w:tabs>
                              <w:tab w:val="right" w:pos="20696"/>
                              <w:tab w:val="clear" w:pos="4153"/>
                              <w:tab w:val="clear" w:pos="8306"/>
                            </w:tabs>
                            <w:jc w:val="center"/>
                          </w:pPr>
                          <w:r>
                            <w:fldChar w:fldCharType="begin"/>
                          </w:r>
                          <w:r>
                            <w:instrText xml:space="preserve"> PAGE   \* MERGEFORMAT </w:instrText>
                          </w:r>
                          <w:r>
                            <w:fldChar w:fldCharType="separate"/>
                          </w:r>
                          <w:r>
                            <w:rPr>
                              <w:lang w:val="zh-CN"/>
                            </w:rPr>
                            <w:t>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73B90575">
                    <w:pPr>
                      <w:pStyle w:val="55"/>
                      <w:tabs>
                        <w:tab w:val="right" w:pos="20696"/>
                        <w:tab w:val="clear" w:pos="4153"/>
                        <w:tab w:val="clear" w:pos="8306"/>
                      </w:tabs>
                      <w:jc w:val="center"/>
                    </w:pPr>
                    <w:r>
                      <w:fldChar w:fldCharType="begin"/>
                    </w:r>
                    <w:r>
                      <w:instrText xml:space="preserve"> PAGE   \* MERGEFORMAT </w:instrText>
                    </w:r>
                    <w:r>
                      <w:fldChar w:fldCharType="separate"/>
                    </w:r>
                    <w:r>
                      <w:rPr>
                        <w:lang w:val="zh-CN"/>
                      </w:rPr>
                      <w:t>6</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D136C8">
    <w:pPr>
      <w:pStyle w:val="57"/>
      <w:pBdr>
        <w:bottom w:val="thinThickSmallGap" w:color="auto" w:sz="24" w:space="0"/>
      </w:pBdr>
      <w:tabs>
        <w:tab w:val="right" w:pos="8743"/>
        <w:tab w:val="right" w:pos="20673"/>
        <w:tab w:val="clear" w:pos="4153"/>
        <w:tab w:val="clear" w:pos="8306"/>
      </w:tabs>
    </w:pPr>
    <w:r>
      <w:rPr>
        <w:rFonts w:hint="eastAsia"/>
      </w:rPr>
      <w:t>长沙市轨道交通6号线智慧地铁建设工程（运营期）项目用户需求书</w:t>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D136CA">
    <w:pPr>
      <w:pStyle w:val="57"/>
      <w:pBdr>
        <w:bottom w:val="thinThickSmallGap" w:color="auto" w:sz="24" w:space="0"/>
      </w:pBdr>
      <w:tabs>
        <w:tab w:val="right" w:pos="8743"/>
        <w:tab w:val="clear" w:pos="4153"/>
        <w:tab w:val="clear" w:pos="8306"/>
      </w:tabs>
    </w:pPr>
    <w:r>
      <w:rPr>
        <w:rFonts w:hint="eastAsia"/>
      </w:rPr>
      <w:t>长沙市轨道交通6号线智慧地铁建设工程（运营期）项目用户需求书</w:t>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E4C3F6"/>
    <w:multiLevelType w:val="singleLevel"/>
    <w:tmpl w:val="9AE4C3F6"/>
    <w:lvl w:ilvl="0" w:tentative="0">
      <w:start w:val="1"/>
      <w:numFmt w:val="decimalEnclosedCircleChinese"/>
      <w:suff w:val="nothing"/>
      <w:lvlText w:val="%1　"/>
      <w:lvlJc w:val="left"/>
      <w:pPr>
        <w:ind w:left="0" w:firstLine="400"/>
      </w:pPr>
      <w:rPr>
        <w:rFonts w:hint="eastAsia"/>
      </w:rPr>
    </w:lvl>
  </w:abstractNum>
  <w:abstractNum w:abstractNumId="1">
    <w:nsid w:val="9D5CC562"/>
    <w:multiLevelType w:val="singleLevel"/>
    <w:tmpl w:val="9D5CC562"/>
    <w:lvl w:ilvl="0" w:tentative="0">
      <w:start w:val="1"/>
      <w:numFmt w:val="decimalEnclosedCircleChinese"/>
      <w:suff w:val="nothing"/>
      <w:lvlText w:val="%1　"/>
      <w:lvlJc w:val="left"/>
      <w:pPr>
        <w:ind w:left="0" w:firstLine="400"/>
      </w:pPr>
      <w:rPr>
        <w:rFonts w:hint="eastAsia"/>
      </w:rPr>
    </w:lvl>
  </w:abstractNum>
  <w:abstractNum w:abstractNumId="2">
    <w:nsid w:val="AD706253"/>
    <w:multiLevelType w:val="singleLevel"/>
    <w:tmpl w:val="AD706253"/>
    <w:lvl w:ilvl="0" w:tentative="0">
      <w:start w:val="1"/>
      <w:numFmt w:val="decimalEnclosedCircleChinese"/>
      <w:suff w:val="nothing"/>
      <w:lvlText w:val="%1　"/>
      <w:lvlJc w:val="left"/>
      <w:pPr>
        <w:ind w:left="0" w:firstLine="400"/>
      </w:pPr>
      <w:rPr>
        <w:rFonts w:hint="eastAsia"/>
      </w:rPr>
    </w:lvl>
  </w:abstractNum>
  <w:abstractNum w:abstractNumId="3">
    <w:nsid w:val="AEAF19EE"/>
    <w:multiLevelType w:val="singleLevel"/>
    <w:tmpl w:val="AEAF19EE"/>
    <w:lvl w:ilvl="0" w:tentative="0">
      <w:start w:val="1"/>
      <w:numFmt w:val="bullet"/>
      <w:lvlText w:val=""/>
      <w:lvlJc w:val="left"/>
      <w:pPr>
        <w:ind w:left="420" w:hanging="23"/>
      </w:pPr>
      <w:rPr>
        <w:rFonts w:hint="default" w:ascii="Wingdings" w:hAnsi="Wingdings"/>
      </w:rPr>
    </w:lvl>
  </w:abstractNum>
  <w:abstractNum w:abstractNumId="4">
    <w:nsid w:val="038F37FE"/>
    <w:multiLevelType w:val="multilevel"/>
    <w:tmpl w:val="038F37FE"/>
    <w:lvl w:ilvl="0" w:tentative="0">
      <w:start w:val="1"/>
      <w:numFmt w:val="decimal"/>
      <w:pStyle w:val="358"/>
      <w:suff w:val="space"/>
      <w:lvlText w:val="%1."/>
      <w:lvlJc w:val="left"/>
      <w:pPr>
        <w:ind w:left="0" w:firstLine="0"/>
      </w:pPr>
      <w:rPr>
        <w:rFonts w:hint="eastAsia" w:ascii="黑体" w:eastAsia="黑体"/>
        <w:b/>
        <w:i w:val="0"/>
        <w:sz w:val="28"/>
      </w:rPr>
    </w:lvl>
    <w:lvl w:ilvl="1" w:tentative="0">
      <w:start w:val="1"/>
      <w:numFmt w:val="decimal"/>
      <w:suff w:val="space"/>
      <w:lvlText w:val="%1.%2."/>
      <w:lvlJc w:val="left"/>
      <w:pPr>
        <w:ind w:left="0" w:firstLine="0"/>
      </w:pPr>
      <w:rPr>
        <w:rFonts w:hint="eastAsia" w:ascii="宋体" w:eastAsia="宋体"/>
        <w:b/>
        <w:i w:val="0"/>
        <w:sz w:val="24"/>
      </w:rPr>
    </w:lvl>
    <w:lvl w:ilvl="2" w:tentative="0">
      <w:start w:val="1"/>
      <w:numFmt w:val="decimal"/>
      <w:suff w:val="space"/>
      <w:lvlText w:val="%1.%2.%3."/>
      <w:lvlJc w:val="left"/>
      <w:pPr>
        <w:ind w:left="0" w:firstLine="0"/>
      </w:pPr>
      <w:rPr>
        <w:rFonts w:hint="eastAsia" w:ascii="宋体" w:eastAsia="宋体"/>
        <w:b/>
        <w:i w:val="0"/>
        <w:sz w:val="21"/>
      </w:rPr>
    </w:lvl>
    <w:lvl w:ilvl="3" w:tentative="0">
      <w:start w:val="1"/>
      <w:numFmt w:val="decimal"/>
      <w:suff w:val="space"/>
      <w:lvlText w:val="（%4）"/>
      <w:lvlJc w:val="left"/>
      <w:pPr>
        <w:ind w:left="0" w:firstLine="0"/>
      </w:pPr>
      <w:rPr>
        <w:rFonts w:hint="eastAsia" w:ascii="宋体" w:eastAsia="宋体"/>
        <w:b w:val="0"/>
        <w:i w:val="0"/>
        <w:sz w:val="28"/>
      </w:rPr>
    </w:lvl>
    <w:lvl w:ilvl="4" w:tentative="0">
      <w:start w:val="1"/>
      <w:numFmt w:val="decimal"/>
      <w:suff w:val="nothing"/>
      <w:lvlText w:val="%5）"/>
      <w:lvlJc w:val="left"/>
      <w:pPr>
        <w:ind w:left="0" w:firstLine="0"/>
      </w:pPr>
      <w:rPr>
        <w:rFonts w:hint="eastAsia" w:ascii="宋体" w:eastAsia="宋体"/>
        <w:b w:val="0"/>
        <w:i w:val="0"/>
        <w:sz w:val="28"/>
      </w:rPr>
    </w:lvl>
    <w:lvl w:ilvl="5" w:tentative="0">
      <w:start w:val="1"/>
      <w:numFmt w:val="decimal"/>
      <w:lvlText w:val="%1.%2.%3.%4.%5.%6"/>
      <w:lvlJc w:val="left"/>
      <w:pPr>
        <w:tabs>
          <w:tab w:val="left" w:pos="3566"/>
        </w:tabs>
        <w:ind w:left="3260" w:hanging="1134"/>
      </w:pPr>
      <w:rPr>
        <w:rFonts w:hint="eastAsia"/>
      </w:rPr>
    </w:lvl>
    <w:lvl w:ilvl="6" w:tentative="0">
      <w:start w:val="1"/>
      <w:numFmt w:val="decimal"/>
      <w:lvlText w:val="%1.%2.%3.%4.%5.%6.%7"/>
      <w:lvlJc w:val="left"/>
      <w:pPr>
        <w:tabs>
          <w:tab w:val="left" w:pos="3991"/>
        </w:tabs>
        <w:ind w:left="3827" w:hanging="1276"/>
      </w:pPr>
      <w:rPr>
        <w:rFonts w:hint="eastAsia"/>
      </w:rPr>
    </w:lvl>
    <w:lvl w:ilvl="7" w:tentative="0">
      <w:start w:val="1"/>
      <w:numFmt w:val="decimal"/>
      <w:lvlText w:val="%1.%2.%3.%4.%5.%6.%7.%8"/>
      <w:lvlJc w:val="left"/>
      <w:pPr>
        <w:tabs>
          <w:tab w:val="left" w:pos="4776"/>
        </w:tabs>
        <w:ind w:left="4394" w:hanging="1418"/>
      </w:pPr>
      <w:rPr>
        <w:rFonts w:hint="eastAsia"/>
      </w:rPr>
    </w:lvl>
    <w:lvl w:ilvl="8" w:tentative="0">
      <w:start w:val="1"/>
      <w:numFmt w:val="decimal"/>
      <w:lvlText w:val="%1.%2.%3.%4.%5.%6.%7.%8.%9"/>
      <w:lvlJc w:val="left"/>
      <w:pPr>
        <w:tabs>
          <w:tab w:val="left" w:pos="5562"/>
        </w:tabs>
        <w:ind w:left="5102" w:hanging="1700"/>
      </w:pPr>
      <w:rPr>
        <w:rFonts w:hint="eastAsia"/>
      </w:rPr>
    </w:lvl>
  </w:abstractNum>
  <w:abstractNum w:abstractNumId="5">
    <w:nsid w:val="0643643F"/>
    <w:multiLevelType w:val="multilevel"/>
    <w:tmpl w:val="0643643F"/>
    <w:lvl w:ilvl="0" w:tentative="0">
      <w:start w:val="1"/>
      <w:numFmt w:val="bullet"/>
      <w:pStyle w:val="535"/>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0A434C14"/>
    <w:multiLevelType w:val="singleLevel"/>
    <w:tmpl w:val="0A434C14"/>
    <w:lvl w:ilvl="0" w:tentative="0">
      <w:start w:val="1"/>
      <w:numFmt w:val="decimalEnclosedCircleChinese"/>
      <w:suff w:val="nothing"/>
      <w:lvlText w:val="%1　"/>
      <w:lvlJc w:val="left"/>
      <w:pPr>
        <w:ind w:left="0" w:firstLine="400"/>
      </w:pPr>
      <w:rPr>
        <w:rFonts w:hint="eastAsia"/>
      </w:rPr>
    </w:lvl>
  </w:abstractNum>
  <w:abstractNum w:abstractNumId="7">
    <w:nsid w:val="13A71790"/>
    <w:multiLevelType w:val="multilevel"/>
    <w:tmpl w:val="13A71790"/>
    <w:lvl w:ilvl="0" w:tentative="0">
      <w:start w:val="1"/>
      <w:numFmt w:val="bullet"/>
      <w:pStyle w:val="238"/>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8">
    <w:nsid w:val="1C727F56"/>
    <w:multiLevelType w:val="multilevel"/>
    <w:tmpl w:val="1C727F56"/>
    <w:lvl w:ilvl="0" w:tentative="0">
      <w:start w:val="4"/>
      <w:numFmt w:val="decimal"/>
      <w:pStyle w:val="331"/>
      <w:lvlText w:val="%1"/>
      <w:lvlJc w:val="left"/>
      <w:pPr>
        <w:tabs>
          <w:tab w:val="left" w:pos="425"/>
        </w:tabs>
        <w:ind w:left="425" w:hanging="425"/>
      </w:pPr>
    </w:lvl>
    <w:lvl w:ilvl="1" w:tentative="0">
      <w:start w:val="1"/>
      <w:numFmt w:val="decimal"/>
      <w:pStyle w:val="335"/>
      <w:lvlText w:val="%1.%2"/>
      <w:lvlJc w:val="left"/>
      <w:pPr>
        <w:tabs>
          <w:tab w:val="left" w:pos="992"/>
        </w:tabs>
        <w:ind w:left="992" w:hanging="567"/>
      </w:pPr>
    </w:lvl>
    <w:lvl w:ilvl="2" w:tentative="0">
      <w:start w:val="1"/>
      <w:numFmt w:val="decimal"/>
      <w:lvlText w:val="%1.%2.%3"/>
      <w:lvlJc w:val="left"/>
      <w:pPr>
        <w:tabs>
          <w:tab w:val="left" w:pos="1418"/>
        </w:tabs>
        <w:ind w:left="1418"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D5755D3"/>
    <w:multiLevelType w:val="multilevel"/>
    <w:tmpl w:val="1D5755D3"/>
    <w:lvl w:ilvl="0" w:tentative="0">
      <w:start w:val="1"/>
      <w:numFmt w:val="bullet"/>
      <w:lvlText w:val=""/>
      <w:lvlJc w:val="left"/>
      <w:pPr>
        <w:tabs>
          <w:tab w:val="left" w:pos="2126"/>
        </w:tabs>
        <w:ind w:left="2126" w:hanging="425"/>
      </w:pPr>
      <w:rPr>
        <w:rFonts w:hint="default" w:ascii="Wingdings" w:hAnsi="Wingdings" w:cs="Wingdings"/>
        <w:b w:val="0"/>
        <w:bCs w:val="0"/>
        <w:i w:val="0"/>
        <w:iCs w:val="0"/>
        <w:caps w:val="0"/>
        <w:strike w:val="0"/>
        <w:dstrike w:val="0"/>
        <w:vanish w:val="0"/>
        <w:color w:val="000000"/>
        <w:spacing w:val="0"/>
        <w:w w:val="100"/>
        <w:position w:val="2"/>
        <w:sz w:val="16"/>
        <w:szCs w:val="16"/>
        <w:vertAlign w:val="baseline"/>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pStyle w:val="394"/>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0">
    <w:nsid w:val="1DD36F9C"/>
    <w:multiLevelType w:val="multilevel"/>
    <w:tmpl w:val="1DD36F9C"/>
    <w:lvl w:ilvl="0" w:tentative="0">
      <w:start w:val="1"/>
      <w:numFmt w:val="decimal"/>
      <w:pStyle w:val="419"/>
      <w:lvlText w:val="%1)"/>
      <w:lvlJc w:val="left"/>
      <w:pPr>
        <w:tabs>
          <w:tab w:val="left" w:pos="620"/>
        </w:tabs>
        <w:ind w:left="620" w:hanging="420"/>
      </w:pPr>
      <w:rPr>
        <w:rFonts w:hint="default"/>
      </w:rPr>
    </w:lvl>
    <w:lvl w:ilvl="1" w:tentative="0">
      <w:start w:val="1"/>
      <w:numFmt w:val="bullet"/>
      <w:lvlText w:val=""/>
      <w:lvlJc w:val="left"/>
      <w:pPr>
        <w:tabs>
          <w:tab w:val="left" w:pos="1040"/>
        </w:tabs>
        <w:ind w:left="1040" w:hanging="420"/>
      </w:pPr>
      <w:rPr>
        <w:rFonts w:hint="default" w:ascii="Wingdings" w:hAnsi="Wingdings"/>
      </w:rPr>
    </w:lvl>
    <w:lvl w:ilvl="2" w:tentative="0">
      <w:start w:val="1"/>
      <w:numFmt w:val="bullet"/>
      <w:lvlText w:val=""/>
      <w:lvlJc w:val="left"/>
      <w:pPr>
        <w:tabs>
          <w:tab w:val="left" w:pos="1460"/>
        </w:tabs>
        <w:ind w:left="1460" w:hanging="420"/>
      </w:pPr>
      <w:rPr>
        <w:rFonts w:hint="default" w:ascii="Wingdings" w:hAnsi="Wingdings"/>
      </w:rPr>
    </w:lvl>
    <w:lvl w:ilvl="3" w:tentative="0">
      <w:start w:val="1"/>
      <w:numFmt w:val="bullet"/>
      <w:lvlText w:val=""/>
      <w:lvlJc w:val="left"/>
      <w:pPr>
        <w:tabs>
          <w:tab w:val="left" w:pos="1880"/>
        </w:tabs>
        <w:ind w:left="1880" w:hanging="420"/>
      </w:pPr>
      <w:rPr>
        <w:rFonts w:hint="default" w:ascii="Wingdings" w:hAnsi="Wingdings"/>
      </w:rPr>
    </w:lvl>
    <w:lvl w:ilvl="4" w:tentative="0">
      <w:start w:val="1"/>
      <w:numFmt w:val="bullet"/>
      <w:lvlText w:val=""/>
      <w:lvlJc w:val="left"/>
      <w:pPr>
        <w:tabs>
          <w:tab w:val="left" w:pos="2300"/>
        </w:tabs>
        <w:ind w:left="2300" w:hanging="420"/>
      </w:pPr>
      <w:rPr>
        <w:rFonts w:hint="default" w:ascii="Wingdings" w:hAnsi="Wingdings"/>
      </w:rPr>
    </w:lvl>
    <w:lvl w:ilvl="5" w:tentative="0">
      <w:start w:val="1"/>
      <w:numFmt w:val="bullet"/>
      <w:lvlText w:val=""/>
      <w:lvlJc w:val="left"/>
      <w:pPr>
        <w:tabs>
          <w:tab w:val="left" w:pos="2720"/>
        </w:tabs>
        <w:ind w:left="2720" w:hanging="420"/>
      </w:pPr>
      <w:rPr>
        <w:rFonts w:hint="default" w:ascii="Wingdings" w:hAnsi="Wingdings"/>
      </w:rPr>
    </w:lvl>
    <w:lvl w:ilvl="6" w:tentative="0">
      <w:start w:val="1"/>
      <w:numFmt w:val="bullet"/>
      <w:lvlText w:val=""/>
      <w:lvlJc w:val="left"/>
      <w:pPr>
        <w:tabs>
          <w:tab w:val="left" w:pos="3140"/>
        </w:tabs>
        <w:ind w:left="3140" w:hanging="420"/>
      </w:pPr>
      <w:rPr>
        <w:rFonts w:hint="default" w:ascii="Wingdings" w:hAnsi="Wingdings"/>
      </w:rPr>
    </w:lvl>
    <w:lvl w:ilvl="7" w:tentative="0">
      <w:start w:val="1"/>
      <w:numFmt w:val="bullet"/>
      <w:lvlText w:val=""/>
      <w:lvlJc w:val="left"/>
      <w:pPr>
        <w:tabs>
          <w:tab w:val="left" w:pos="3560"/>
        </w:tabs>
        <w:ind w:left="3560" w:hanging="420"/>
      </w:pPr>
      <w:rPr>
        <w:rFonts w:hint="default" w:ascii="Wingdings" w:hAnsi="Wingdings"/>
      </w:rPr>
    </w:lvl>
    <w:lvl w:ilvl="8" w:tentative="0">
      <w:start w:val="1"/>
      <w:numFmt w:val="bullet"/>
      <w:lvlText w:val=""/>
      <w:lvlJc w:val="left"/>
      <w:pPr>
        <w:tabs>
          <w:tab w:val="left" w:pos="3980"/>
        </w:tabs>
        <w:ind w:left="3980" w:hanging="420"/>
      </w:pPr>
      <w:rPr>
        <w:rFonts w:hint="default" w:ascii="Wingdings" w:hAnsi="Wingdings"/>
      </w:rPr>
    </w:lvl>
  </w:abstractNum>
  <w:abstractNum w:abstractNumId="11">
    <w:nsid w:val="1F385935"/>
    <w:multiLevelType w:val="multilevel"/>
    <w:tmpl w:val="1F385935"/>
    <w:lvl w:ilvl="0" w:tentative="0">
      <w:start w:val="1"/>
      <w:numFmt w:val="bullet"/>
      <w:pStyle w:val="446"/>
      <w:lvlText w:val=""/>
      <w:lvlJc w:val="left"/>
      <w:pPr>
        <w:tabs>
          <w:tab w:val="left" w:pos="2896"/>
        </w:tabs>
        <w:ind w:left="2896" w:hanging="420"/>
      </w:pPr>
      <w:rPr>
        <w:rFonts w:hint="default" w:ascii="Wingdings" w:hAnsi="Wingdings"/>
      </w:rPr>
    </w:lvl>
    <w:lvl w:ilvl="1" w:tentative="0">
      <w:start w:val="1"/>
      <w:numFmt w:val="bullet"/>
      <w:lvlText w:val=""/>
      <w:lvlJc w:val="left"/>
      <w:pPr>
        <w:tabs>
          <w:tab w:val="left" w:pos="3316"/>
        </w:tabs>
        <w:ind w:left="3316" w:hanging="420"/>
      </w:pPr>
      <w:rPr>
        <w:rFonts w:hint="default" w:ascii="Wingdings" w:hAnsi="Wingdings"/>
      </w:rPr>
    </w:lvl>
    <w:lvl w:ilvl="2" w:tentative="0">
      <w:start w:val="1"/>
      <w:numFmt w:val="bullet"/>
      <w:lvlText w:val=""/>
      <w:lvlJc w:val="left"/>
      <w:pPr>
        <w:tabs>
          <w:tab w:val="left" w:pos="3736"/>
        </w:tabs>
        <w:ind w:left="3736" w:hanging="420"/>
      </w:pPr>
      <w:rPr>
        <w:rFonts w:hint="default" w:ascii="Wingdings" w:hAnsi="Wingdings"/>
      </w:rPr>
    </w:lvl>
    <w:lvl w:ilvl="3" w:tentative="0">
      <w:start w:val="1"/>
      <w:numFmt w:val="bullet"/>
      <w:lvlText w:val=""/>
      <w:lvlJc w:val="left"/>
      <w:pPr>
        <w:tabs>
          <w:tab w:val="left" w:pos="4156"/>
        </w:tabs>
        <w:ind w:left="4156" w:hanging="420"/>
      </w:pPr>
      <w:rPr>
        <w:rFonts w:hint="default" w:ascii="Wingdings" w:hAnsi="Wingdings"/>
      </w:rPr>
    </w:lvl>
    <w:lvl w:ilvl="4" w:tentative="0">
      <w:start w:val="1"/>
      <w:numFmt w:val="bullet"/>
      <w:lvlText w:val=""/>
      <w:lvlJc w:val="left"/>
      <w:pPr>
        <w:tabs>
          <w:tab w:val="left" w:pos="4576"/>
        </w:tabs>
        <w:ind w:left="4576" w:hanging="420"/>
      </w:pPr>
      <w:rPr>
        <w:rFonts w:hint="default" w:ascii="Wingdings" w:hAnsi="Wingdings"/>
      </w:rPr>
    </w:lvl>
    <w:lvl w:ilvl="5" w:tentative="0">
      <w:start w:val="1"/>
      <w:numFmt w:val="bullet"/>
      <w:lvlText w:val=""/>
      <w:lvlJc w:val="left"/>
      <w:pPr>
        <w:tabs>
          <w:tab w:val="left" w:pos="4996"/>
        </w:tabs>
        <w:ind w:left="4996" w:hanging="420"/>
      </w:pPr>
      <w:rPr>
        <w:rFonts w:hint="default" w:ascii="Wingdings" w:hAnsi="Wingdings"/>
      </w:rPr>
    </w:lvl>
    <w:lvl w:ilvl="6" w:tentative="0">
      <w:start w:val="1"/>
      <w:numFmt w:val="bullet"/>
      <w:lvlText w:val=""/>
      <w:lvlJc w:val="left"/>
      <w:pPr>
        <w:tabs>
          <w:tab w:val="left" w:pos="5416"/>
        </w:tabs>
        <w:ind w:left="5416" w:hanging="420"/>
      </w:pPr>
      <w:rPr>
        <w:rFonts w:hint="default" w:ascii="Wingdings" w:hAnsi="Wingdings"/>
      </w:rPr>
    </w:lvl>
    <w:lvl w:ilvl="7" w:tentative="0">
      <w:start w:val="1"/>
      <w:numFmt w:val="bullet"/>
      <w:lvlText w:val=""/>
      <w:lvlJc w:val="left"/>
      <w:pPr>
        <w:tabs>
          <w:tab w:val="left" w:pos="5836"/>
        </w:tabs>
        <w:ind w:left="5836" w:hanging="420"/>
      </w:pPr>
      <w:rPr>
        <w:rFonts w:hint="default" w:ascii="Wingdings" w:hAnsi="Wingdings"/>
      </w:rPr>
    </w:lvl>
    <w:lvl w:ilvl="8" w:tentative="0">
      <w:start w:val="1"/>
      <w:numFmt w:val="bullet"/>
      <w:lvlText w:val=""/>
      <w:lvlJc w:val="left"/>
      <w:pPr>
        <w:tabs>
          <w:tab w:val="left" w:pos="6256"/>
        </w:tabs>
        <w:ind w:left="6256" w:hanging="420"/>
      </w:pPr>
      <w:rPr>
        <w:rFonts w:hint="default" w:ascii="Wingdings" w:hAnsi="Wingdings"/>
      </w:rPr>
    </w:lvl>
  </w:abstractNum>
  <w:abstractNum w:abstractNumId="12">
    <w:nsid w:val="24410D70"/>
    <w:multiLevelType w:val="multilevel"/>
    <w:tmpl w:val="24410D70"/>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13">
    <w:nsid w:val="2718BC03"/>
    <w:multiLevelType w:val="singleLevel"/>
    <w:tmpl w:val="2718BC03"/>
    <w:lvl w:ilvl="0" w:tentative="0">
      <w:start w:val="1"/>
      <w:numFmt w:val="decimal"/>
      <w:pStyle w:val="509"/>
      <w:lvlText w:val="%1."/>
      <w:lvlJc w:val="left"/>
      <w:pPr>
        <w:ind w:left="425" w:hanging="425"/>
      </w:pPr>
      <w:rPr>
        <w:rFonts w:hint="default"/>
      </w:rPr>
    </w:lvl>
  </w:abstractNum>
  <w:abstractNum w:abstractNumId="14">
    <w:nsid w:val="27592A9F"/>
    <w:multiLevelType w:val="multilevel"/>
    <w:tmpl w:val="27592A9F"/>
    <w:lvl w:ilvl="0" w:tentative="0">
      <w:start w:val="1"/>
      <w:numFmt w:val="decimal"/>
      <w:pStyle w:val="431"/>
      <w:isLgl/>
      <w:suff w:val="space"/>
      <w:lvlText w:val="%1"/>
      <w:lvlJc w:val="left"/>
      <w:pPr>
        <w:ind w:left="0" w:firstLine="0"/>
      </w:pPr>
      <w:rPr>
        <w:rFonts w:hint="eastAsia" w:ascii="宋体" w:eastAsia="宋体"/>
        <w:b/>
        <w:i w:val="0"/>
        <w:sz w:val="28"/>
        <w:szCs w:val="28"/>
      </w:rPr>
    </w:lvl>
    <w:lvl w:ilvl="1" w:tentative="0">
      <w:start w:val="1"/>
      <w:numFmt w:val="decimal"/>
      <w:suff w:val="space"/>
      <w:lvlText w:val="%1.%2"/>
      <w:lvlJc w:val="left"/>
      <w:pPr>
        <w:ind w:left="0" w:firstLine="0"/>
      </w:pPr>
      <w:rPr>
        <w:rFonts w:hint="eastAsia" w:ascii="宋体" w:eastAsia="宋体"/>
        <w:b w:val="0"/>
        <w:i w:val="0"/>
        <w:sz w:val="24"/>
        <w:szCs w:val="24"/>
      </w:rPr>
    </w:lvl>
    <w:lvl w:ilvl="2" w:tentative="0">
      <w:start w:val="1"/>
      <w:numFmt w:val="decimal"/>
      <w:suff w:val="space"/>
      <w:lvlText w:val="%1.%2.%3"/>
      <w:lvlJc w:val="left"/>
      <w:pPr>
        <w:ind w:left="0" w:firstLine="0"/>
      </w:pPr>
      <w:rPr>
        <w:rFonts w:hint="eastAsia" w:ascii="宋体" w:eastAsia="宋体"/>
        <w:b w:val="0"/>
        <w:i w:val="0"/>
        <w:sz w:val="24"/>
        <w:szCs w:val="24"/>
      </w:rPr>
    </w:lvl>
    <w:lvl w:ilvl="3" w:tentative="0">
      <w:start w:val="1"/>
      <w:numFmt w:val="decimal"/>
      <w:lvlText w:val="%1.%2.%3.%4"/>
      <w:lvlJc w:val="left"/>
      <w:pPr>
        <w:tabs>
          <w:tab w:val="left" w:pos="720"/>
        </w:tabs>
        <w:ind w:left="0" w:firstLine="0"/>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5">
    <w:nsid w:val="28BB538C"/>
    <w:multiLevelType w:val="multilevel"/>
    <w:tmpl w:val="28BB538C"/>
    <w:lvl w:ilvl="0" w:tentative="0">
      <w:start w:val="1"/>
      <w:numFmt w:val="none"/>
      <w:pStyle w:val="373"/>
      <w:suff w:val="space"/>
      <w:lvlText w:val=""/>
      <w:lvlJc w:val="left"/>
      <w:pPr>
        <w:ind w:left="0" w:firstLine="0"/>
      </w:pPr>
      <w:rPr>
        <w:rFonts w:hint="eastAsia"/>
      </w:rPr>
    </w:lvl>
    <w:lvl w:ilvl="1" w:tentative="0">
      <w:start w:val="1"/>
      <w:numFmt w:val="decimal"/>
      <w:suff w:val="space"/>
      <w:lvlText w:val="第%2章 "/>
      <w:lvlJc w:val="left"/>
      <w:pPr>
        <w:ind w:left="200" w:firstLine="0"/>
      </w:pPr>
      <w:rPr>
        <w:rFonts w:hint="eastAsia" w:ascii="宋体" w:eastAsia="宋体"/>
        <w:b/>
        <w:i w:val="0"/>
        <w:spacing w:val="10"/>
        <w:w w:val="95"/>
        <w:position w:val="0"/>
        <w:sz w:val="28"/>
      </w:rPr>
    </w:lvl>
    <w:lvl w:ilvl="2" w:tentative="0">
      <w:start w:val="1"/>
      <w:numFmt w:val="decimal"/>
      <w:suff w:val="space"/>
      <w:lvlText w:val="%2.%3 "/>
      <w:lvlJc w:val="left"/>
      <w:pPr>
        <w:ind w:left="200" w:firstLine="0"/>
      </w:pPr>
      <w:rPr>
        <w:rFonts w:hint="eastAsia" w:ascii="宋体" w:eastAsia="宋体"/>
        <w:b/>
        <w:i w:val="0"/>
        <w:spacing w:val="10"/>
        <w:w w:val="95"/>
        <w:position w:val="0"/>
        <w:sz w:val="24"/>
      </w:rPr>
    </w:lvl>
    <w:lvl w:ilvl="3" w:tentative="0">
      <w:start w:val="1"/>
      <w:numFmt w:val="decimal"/>
      <w:suff w:val="space"/>
      <w:lvlText w:val="%2.%3.%4 "/>
      <w:lvlJc w:val="left"/>
      <w:pPr>
        <w:ind w:left="200" w:firstLine="0"/>
      </w:pPr>
      <w:rPr>
        <w:rFonts w:hint="eastAsia" w:ascii="宋体" w:eastAsia="宋体"/>
        <w:b/>
        <w:i w:val="0"/>
        <w:spacing w:val="10"/>
        <w:w w:val="95"/>
        <w:position w:val="0"/>
        <w:sz w:val="21"/>
      </w:rPr>
    </w:lvl>
    <w:lvl w:ilvl="4" w:tentative="0">
      <w:start w:val="1"/>
      <w:numFmt w:val="decimal"/>
      <w:suff w:val="space"/>
      <w:lvlText w:val="%2.%3.%4.%5 "/>
      <w:lvlJc w:val="left"/>
      <w:pPr>
        <w:ind w:left="200" w:firstLine="0"/>
      </w:pPr>
      <w:rPr>
        <w:rFonts w:hint="eastAsia" w:ascii="宋体" w:eastAsia="宋体"/>
        <w:b/>
        <w:i w:val="0"/>
        <w:spacing w:val="6"/>
        <w:w w:val="95"/>
        <w:position w:val="0"/>
        <w:sz w:val="21"/>
      </w:rPr>
    </w:lvl>
    <w:lvl w:ilvl="5" w:tentative="0">
      <w:start w:val="1"/>
      <w:numFmt w:val="decimal"/>
      <w:suff w:val="space"/>
      <w:lvlText w:val="%6)"/>
      <w:lvlJc w:val="left"/>
      <w:pPr>
        <w:ind w:left="0" w:firstLine="0"/>
      </w:pPr>
      <w:rPr>
        <w:rFonts w:hint="eastAsia" w:ascii="宋体" w:eastAsia="宋体"/>
        <w:b w:val="0"/>
        <w:i w:val="0"/>
        <w:spacing w:val="6"/>
        <w:w w:val="95"/>
        <w:position w:val="0"/>
        <w:sz w:val="21"/>
      </w:rPr>
    </w:lvl>
    <w:lvl w:ilvl="6" w:tentative="0">
      <w:start w:val="1"/>
      <w:numFmt w:val="upperLetter"/>
      <w:suff w:val="space"/>
      <w:lvlText w:val="%7)"/>
      <w:lvlJc w:val="left"/>
      <w:pPr>
        <w:ind w:left="0" w:firstLine="0"/>
      </w:pPr>
      <w:rPr>
        <w:rFonts w:hint="eastAsia" w:ascii="宋体" w:eastAsia="宋体"/>
        <w:spacing w:val="10"/>
        <w:w w:val="95"/>
        <w:sz w:val="21"/>
      </w:rPr>
    </w:lvl>
    <w:lvl w:ilvl="7" w:tentative="0">
      <w:start w:val="1"/>
      <w:numFmt w:val="upperLetter"/>
      <w:lvlText w:val="%8）"/>
      <w:lvlJc w:val="left"/>
      <w:pPr>
        <w:tabs>
          <w:tab w:val="left" w:pos="560"/>
        </w:tabs>
        <w:ind w:left="200" w:firstLine="0"/>
      </w:pPr>
      <w:rPr>
        <w:rFonts w:hint="eastAsia" w:ascii="宋体" w:eastAsia="宋体"/>
        <w:b w:val="0"/>
        <w:i w:val="0"/>
        <w:color w:val="auto"/>
        <w:spacing w:val="10"/>
        <w:w w:val="95"/>
        <w:sz w:val="21"/>
      </w:rPr>
    </w:lvl>
    <w:lvl w:ilvl="8" w:tentative="0">
      <w:start w:val="1"/>
      <w:numFmt w:val="decimal"/>
      <w:lvlText w:val="%1.%2.%3.%4.%5.%6.%7.%8.%9."/>
      <w:lvlJc w:val="left"/>
      <w:pPr>
        <w:tabs>
          <w:tab w:val="left" w:pos="7780"/>
        </w:tabs>
        <w:ind w:left="7780" w:hanging="1559"/>
      </w:pPr>
      <w:rPr>
        <w:rFonts w:hint="eastAsia"/>
      </w:rPr>
    </w:lvl>
  </w:abstractNum>
  <w:abstractNum w:abstractNumId="16">
    <w:nsid w:val="2D6C4CE6"/>
    <w:multiLevelType w:val="multilevel"/>
    <w:tmpl w:val="2D6C4CE6"/>
    <w:lvl w:ilvl="0" w:tentative="0">
      <w:start w:val="1"/>
      <w:numFmt w:val="bullet"/>
      <w:pStyle w:val="324"/>
      <w:lvlText w:val=""/>
      <w:lvlJc w:val="left"/>
      <w:pPr>
        <w:ind w:left="980" w:hanging="420"/>
      </w:pPr>
      <w:rPr>
        <w:rFonts w:hint="default" w:ascii="Wingdings" w:hAnsi="Wingdings" w:cs="Wingdings"/>
      </w:rPr>
    </w:lvl>
    <w:lvl w:ilvl="1" w:tentative="0">
      <w:start w:val="1"/>
      <w:numFmt w:val="bullet"/>
      <w:lvlText w:val=""/>
      <w:lvlJc w:val="left"/>
      <w:pPr>
        <w:ind w:left="1400" w:hanging="420"/>
      </w:pPr>
      <w:rPr>
        <w:rFonts w:hint="default" w:ascii="Wingdings" w:hAnsi="Wingdings"/>
      </w:rPr>
    </w:lvl>
    <w:lvl w:ilvl="2" w:tentative="0">
      <w:start w:val="1"/>
      <w:numFmt w:val="bullet"/>
      <w:lvlText w:val=""/>
      <w:lvlJc w:val="left"/>
      <w:pPr>
        <w:ind w:left="1820" w:hanging="420"/>
      </w:pPr>
      <w:rPr>
        <w:rFonts w:hint="default" w:ascii="Wingdings" w:hAnsi="Wingdings"/>
      </w:rPr>
    </w:lvl>
    <w:lvl w:ilvl="3" w:tentative="0">
      <w:start w:val="1"/>
      <w:numFmt w:val="bullet"/>
      <w:lvlText w:val=""/>
      <w:lvlJc w:val="left"/>
      <w:pPr>
        <w:ind w:left="2240" w:hanging="420"/>
      </w:pPr>
      <w:rPr>
        <w:rFonts w:hint="default" w:ascii="Wingdings" w:hAnsi="Wingdings"/>
      </w:rPr>
    </w:lvl>
    <w:lvl w:ilvl="4" w:tentative="0">
      <w:start w:val="1"/>
      <w:numFmt w:val="bullet"/>
      <w:lvlText w:val=""/>
      <w:lvlJc w:val="left"/>
      <w:pPr>
        <w:ind w:left="2660" w:hanging="420"/>
      </w:pPr>
      <w:rPr>
        <w:rFonts w:hint="default" w:ascii="Wingdings" w:hAnsi="Wingdings"/>
      </w:rPr>
    </w:lvl>
    <w:lvl w:ilvl="5" w:tentative="0">
      <w:start w:val="1"/>
      <w:numFmt w:val="bullet"/>
      <w:lvlText w:val=""/>
      <w:lvlJc w:val="left"/>
      <w:pPr>
        <w:ind w:left="3080" w:hanging="420"/>
      </w:pPr>
      <w:rPr>
        <w:rFonts w:hint="default" w:ascii="Wingdings" w:hAnsi="Wingdings"/>
      </w:rPr>
    </w:lvl>
    <w:lvl w:ilvl="6" w:tentative="0">
      <w:start w:val="1"/>
      <w:numFmt w:val="bullet"/>
      <w:lvlText w:val=""/>
      <w:lvlJc w:val="left"/>
      <w:pPr>
        <w:ind w:left="3500" w:hanging="420"/>
      </w:pPr>
      <w:rPr>
        <w:rFonts w:hint="default" w:ascii="Wingdings" w:hAnsi="Wingdings"/>
      </w:rPr>
    </w:lvl>
    <w:lvl w:ilvl="7" w:tentative="0">
      <w:start w:val="1"/>
      <w:numFmt w:val="bullet"/>
      <w:lvlText w:val=""/>
      <w:lvlJc w:val="left"/>
      <w:pPr>
        <w:ind w:left="3920" w:hanging="420"/>
      </w:pPr>
      <w:rPr>
        <w:rFonts w:hint="default" w:ascii="Wingdings" w:hAnsi="Wingdings"/>
      </w:rPr>
    </w:lvl>
    <w:lvl w:ilvl="8" w:tentative="0">
      <w:start w:val="1"/>
      <w:numFmt w:val="bullet"/>
      <w:lvlText w:val=""/>
      <w:lvlJc w:val="left"/>
      <w:pPr>
        <w:ind w:left="4340" w:hanging="420"/>
      </w:pPr>
      <w:rPr>
        <w:rFonts w:hint="default" w:ascii="Wingdings" w:hAnsi="Wingdings"/>
      </w:rPr>
    </w:lvl>
  </w:abstractNum>
  <w:abstractNum w:abstractNumId="17">
    <w:nsid w:val="34B82604"/>
    <w:multiLevelType w:val="multilevel"/>
    <w:tmpl w:val="34B82604"/>
    <w:lvl w:ilvl="0" w:tentative="0">
      <w:start w:val="1"/>
      <w:numFmt w:val="decimal"/>
      <w:pStyle w:val="302"/>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4F8445D"/>
    <w:multiLevelType w:val="multilevel"/>
    <w:tmpl w:val="34F8445D"/>
    <w:lvl w:ilvl="0" w:tentative="0">
      <w:start w:val="1"/>
      <w:numFmt w:val="decimal"/>
      <w:pStyle w:val="198"/>
      <w:lvlText w:val="(%1)"/>
      <w:lvlJc w:val="left"/>
      <w:pPr>
        <w:tabs>
          <w:tab w:val="left" w:pos="1560"/>
        </w:tabs>
        <w:ind w:left="840" w:firstLine="0"/>
      </w:pPr>
      <w:rPr>
        <w:rFonts w:hint="eastAsia" w:ascii="宋体" w:hAnsi="宋体" w:eastAsia="宋体"/>
        <w:b w:val="0"/>
        <w:i w:val="0"/>
        <w:sz w:val="28"/>
      </w:rPr>
    </w:lvl>
    <w:lvl w:ilvl="1" w:tentative="0">
      <w:start w:val="1"/>
      <w:numFmt w:val="decimal"/>
      <w:lvlText w:val="(%2)"/>
      <w:lvlJc w:val="left"/>
      <w:pPr>
        <w:tabs>
          <w:tab w:val="left" w:pos="1140"/>
        </w:tabs>
        <w:ind w:left="420" w:firstLine="0"/>
      </w:pPr>
      <w:rPr>
        <w:rFonts w:hint="eastAsia" w:ascii="宋体" w:hAnsi="宋体" w:eastAsia="宋体"/>
        <w:b w:val="0"/>
        <w:i w:val="0"/>
        <w:sz w:val="28"/>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9">
    <w:nsid w:val="35930E2E"/>
    <w:multiLevelType w:val="multilevel"/>
    <w:tmpl w:val="35930E2E"/>
    <w:lvl w:ilvl="0" w:tentative="0">
      <w:start w:val="1"/>
      <w:numFmt w:val="chineseCountingThousand"/>
      <w:suff w:val="space"/>
      <w:lvlText w:val="第%1章"/>
      <w:lvlJc w:val="left"/>
      <w:pPr>
        <w:ind w:left="992" w:hanging="432"/>
      </w:pPr>
      <w:rPr>
        <w:rFonts w:hint="default" w:ascii="Arial" w:hAnsi="Arial" w:eastAsia="黑体"/>
        <w:b w:val="0"/>
        <w:i w:val="0"/>
        <w:snapToGrid w:val="0"/>
        <w:kern w:val="32"/>
        <w:sz w:val="32"/>
        <w:szCs w:val="32"/>
      </w:rPr>
    </w:lvl>
    <w:lvl w:ilvl="1" w:tentative="0">
      <w:start w:val="1"/>
      <w:numFmt w:val="decimal"/>
      <w:suff w:val="space"/>
      <w:lvlText w:val="%2."/>
      <w:lvlJc w:val="left"/>
      <w:pPr>
        <w:ind w:left="1136" w:hanging="576"/>
      </w:pPr>
      <w:rPr>
        <w:rFonts w:hint="default" w:ascii="Arial" w:hAnsi="Arial" w:eastAsia="黑体"/>
        <w:b w:val="0"/>
        <w:i w:val="0"/>
        <w:snapToGrid w:val="0"/>
        <w:kern w:val="28"/>
        <w:sz w:val="28"/>
        <w:szCs w:val="28"/>
      </w:rPr>
    </w:lvl>
    <w:lvl w:ilvl="2" w:tentative="0">
      <w:start w:val="1"/>
      <w:numFmt w:val="decimal"/>
      <w:suff w:val="space"/>
      <w:lvlText w:val="%2.%3"/>
      <w:lvlJc w:val="left"/>
      <w:pPr>
        <w:ind w:left="1280" w:hanging="720"/>
      </w:pPr>
      <w:rPr>
        <w:rFonts w:hint="default" w:ascii="Arial" w:hAnsi="Arial" w:eastAsia="宋体"/>
        <w:b w:val="0"/>
        <w:i w:val="0"/>
        <w:snapToGrid w:val="0"/>
        <w:kern w:val="28"/>
        <w:sz w:val="28"/>
        <w:szCs w:val="28"/>
      </w:rPr>
    </w:lvl>
    <w:lvl w:ilvl="3" w:tentative="0">
      <w:start w:val="1"/>
      <w:numFmt w:val="decimal"/>
      <w:pStyle w:val="353"/>
      <w:suff w:val="space"/>
      <w:lvlText w:val="%2.%3.%4"/>
      <w:lvlJc w:val="left"/>
      <w:pPr>
        <w:ind w:left="560" w:firstLine="0"/>
      </w:pPr>
      <w:rPr>
        <w:rFonts w:hint="default" w:ascii="Arial" w:hAnsi="Arial" w:eastAsia="宋体"/>
        <w:b w:val="0"/>
        <w:i w:val="0"/>
        <w:snapToGrid w:val="0"/>
        <w:kern w:val="28"/>
        <w:sz w:val="28"/>
        <w:szCs w:val="28"/>
      </w:rPr>
    </w:lvl>
    <w:lvl w:ilvl="4" w:tentative="0">
      <w:start w:val="1"/>
      <w:numFmt w:val="decimal"/>
      <w:suff w:val="space"/>
      <w:lvlText w:val="%5)"/>
      <w:lvlJc w:val="left"/>
      <w:pPr>
        <w:ind w:left="360" w:firstLine="200"/>
      </w:pPr>
      <w:rPr>
        <w:rFonts w:hint="default" w:ascii="Arial" w:hAnsi="Arial" w:eastAsia="宋体"/>
        <w:b w:val="0"/>
        <w:i w:val="0"/>
        <w:sz w:val="28"/>
        <w:szCs w:val="28"/>
      </w:rPr>
    </w:lvl>
    <w:lvl w:ilvl="5" w:tentative="0">
      <w:start w:val="1"/>
      <w:numFmt w:val="decimal"/>
      <w:lvlText w:val="%6)"/>
      <w:lvlJc w:val="left"/>
      <w:pPr>
        <w:tabs>
          <w:tab w:val="left" w:pos="980"/>
        </w:tabs>
        <w:ind w:left="980" w:hanging="420"/>
      </w:pPr>
    </w:lvl>
    <w:lvl w:ilvl="6" w:tentative="0">
      <w:start w:val="1"/>
      <w:numFmt w:val="decimal"/>
      <w:lvlText w:val="%1.%2.%3.%4.%5.%6.%7"/>
      <w:lvlJc w:val="left"/>
      <w:pPr>
        <w:tabs>
          <w:tab w:val="left" w:pos="1856"/>
        </w:tabs>
        <w:ind w:left="1856" w:hanging="1296"/>
      </w:pPr>
      <w:rPr>
        <w:rFonts w:hint="eastAsia"/>
      </w:rPr>
    </w:lvl>
    <w:lvl w:ilvl="7" w:tentative="0">
      <w:start w:val="1"/>
      <w:numFmt w:val="decimal"/>
      <w:lvlText w:val="%1.%2.%3.%4.%5.%6.%7.%8"/>
      <w:lvlJc w:val="left"/>
      <w:pPr>
        <w:tabs>
          <w:tab w:val="left" w:pos="2000"/>
        </w:tabs>
        <w:ind w:left="2000" w:hanging="1440"/>
      </w:pPr>
      <w:rPr>
        <w:rFonts w:hint="eastAsia"/>
      </w:rPr>
    </w:lvl>
    <w:lvl w:ilvl="8" w:tentative="0">
      <w:start w:val="1"/>
      <w:numFmt w:val="decimal"/>
      <w:lvlText w:val="%1.%2.%3.%4.%5.%6.%7.%8.%9"/>
      <w:lvlJc w:val="left"/>
      <w:pPr>
        <w:tabs>
          <w:tab w:val="left" w:pos="2144"/>
        </w:tabs>
        <w:ind w:left="2144" w:hanging="1584"/>
      </w:pPr>
      <w:rPr>
        <w:rFonts w:hint="eastAsia"/>
      </w:rPr>
    </w:lvl>
  </w:abstractNum>
  <w:abstractNum w:abstractNumId="20">
    <w:nsid w:val="3CE72CE5"/>
    <w:multiLevelType w:val="singleLevel"/>
    <w:tmpl w:val="3CE72CE5"/>
    <w:lvl w:ilvl="0" w:tentative="0">
      <w:start w:val="1"/>
      <w:numFmt w:val="decimal"/>
      <w:suff w:val="nothing"/>
      <w:lvlText w:val="%1）"/>
      <w:lvlJc w:val="left"/>
    </w:lvl>
  </w:abstractNum>
  <w:abstractNum w:abstractNumId="21">
    <w:nsid w:val="3D5B004C"/>
    <w:multiLevelType w:val="multilevel"/>
    <w:tmpl w:val="3D5B004C"/>
    <w:lvl w:ilvl="0" w:tentative="0">
      <w:start w:val="1"/>
      <w:numFmt w:val="decimal"/>
      <w:pStyle w:val="219"/>
      <w:lvlText w:val="%1."/>
      <w:lvlJc w:val="left"/>
      <w:pPr>
        <w:tabs>
          <w:tab w:val="left" w:pos="425"/>
        </w:tabs>
        <w:ind w:left="425" w:hanging="425"/>
      </w:pPr>
      <w:rPr>
        <w:rFonts w:hint="eastAsia"/>
      </w:rPr>
    </w:lvl>
    <w:lvl w:ilvl="1" w:tentative="0">
      <w:start w:val="1"/>
      <w:numFmt w:val="decimal"/>
      <w:lvlText w:val="%1.%2."/>
      <w:lvlJc w:val="left"/>
      <w:pPr>
        <w:tabs>
          <w:tab w:val="left" w:pos="567"/>
        </w:tabs>
        <w:ind w:left="567" w:hanging="567"/>
      </w:pPr>
      <w:rPr>
        <w:rFonts w:hint="eastAsia"/>
      </w:rPr>
    </w:lvl>
    <w:lvl w:ilvl="2" w:tentative="0">
      <w:start w:val="1"/>
      <w:numFmt w:val="decimal"/>
      <w:lvlText w:val="%1.%2.%3."/>
      <w:lvlJc w:val="left"/>
      <w:pPr>
        <w:tabs>
          <w:tab w:val="left" w:pos="709"/>
        </w:tabs>
        <w:ind w:left="709" w:hanging="709"/>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22">
    <w:nsid w:val="3E021818"/>
    <w:multiLevelType w:val="multilevel"/>
    <w:tmpl w:val="3E021818"/>
    <w:lvl w:ilvl="0" w:tentative="0">
      <w:start w:val="1"/>
      <w:numFmt w:val="decimal"/>
      <w:pStyle w:val="449"/>
      <w:lvlText w:val="%1 "/>
      <w:lvlJc w:val="left"/>
      <w:pPr>
        <w:tabs>
          <w:tab w:val="left" w:pos="0"/>
        </w:tabs>
        <w:ind w:left="340" w:hanging="340"/>
      </w:pPr>
      <w:rPr>
        <w:rFonts w:hint="eastAsia" w:ascii="宋体" w:eastAsia="宋体"/>
        <w:b/>
        <w:i w:val="0"/>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1790190"/>
    <w:multiLevelType w:val="multilevel"/>
    <w:tmpl w:val="41790190"/>
    <w:lvl w:ilvl="0" w:tentative="0">
      <w:start w:val="1"/>
      <w:numFmt w:val="decimal"/>
      <w:lvlText w:val="%1."/>
      <w:lvlJc w:val="left"/>
      <w:pPr>
        <w:tabs>
          <w:tab w:val="left" w:pos="425"/>
        </w:tabs>
        <w:ind w:left="425" w:hanging="425"/>
      </w:pPr>
    </w:lvl>
    <w:lvl w:ilvl="1" w:tentative="0">
      <w:start w:val="1"/>
      <w:numFmt w:val="decimal"/>
      <w:pStyle w:val="314"/>
      <w:lvlText w:val="%1.%2."/>
      <w:lvlJc w:val="left"/>
      <w:pPr>
        <w:tabs>
          <w:tab w:val="left" w:pos="567"/>
        </w:tabs>
        <w:ind w:left="567" w:hanging="567"/>
      </w:pPr>
    </w:lvl>
    <w:lvl w:ilvl="2" w:tentative="0">
      <w:start w:val="1"/>
      <w:numFmt w:val="decimal"/>
      <w:pStyle w:val="426"/>
      <w:lvlText w:val="%1.%2.%3."/>
      <w:lvlJc w:val="left"/>
      <w:pPr>
        <w:tabs>
          <w:tab w:val="left" w:pos="709"/>
        </w:tabs>
        <w:ind w:left="709" w:hanging="709"/>
      </w:pPr>
    </w:lvl>
    <w:lvl w:ilvl="3" w:tentative="0">
      <w:start w:val="1"/>
      <w:numFmt w:val="decimal"/>
      <w:pStyle w:val="395"/>
      <w:lvlText w:val="%1.%2.%3.%4."/>
      <w:lvlJc w:val="left"/>
      <w:pPr>
        <w:tabs>
          <w:tab w:val="left" w:pos="851"/>
        </w:tabs>
        <w:ind w:left="851" w:hanging="851"/>
      </w:pPr>
    </w:lvl>
    <w:lvl w:ilvl="4" w:tentative="0">
      <w:start w:val="1"/>
      <w:numFmt w:val="decimal"/>
      <w:pStyle w:val="199"/>
      <w:lvlText w:val="%1.%2.%3.%4.%5."/>
      <w:lvlJc w:val="left"/>
      <w:pPr>
        <w:tabs>
          <w:tab w:val="left" w:pos="992"/>
        </w:tabs>
        <w:ind w:left="992" w:hanging="992"/>
      </w:pPr>
    </w:lvl>
    <w:lvl w:ilvl="5" w:tentative="0">
      <w:start w:val="1"/>
      <w:numFmt w:val="decimal"/>
      <w:pStyle w:val="297"/>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24">
    <w:nsid w:val="419F34BA"/>
    <w:multiLevelType w:val="multilevel"/>
    <w:tmpl w:val="419F34BA"/>
    <w:lvl w:ilvl="0" w:tentative="0">
      <w:start w:val="1"/>
      <w:numFmt w:val="bullet"/>
      <w:pStyle w:val="326"/>
      <w:lvlText w:val=""/>
      <w:lvlJc w:val="left"/>
      <w:pPr>
        <w:tabs>
          <w:tab w:val="left" w:pos="780"/>
        </w:tabs>
        <w:ind w:left="780" w:hanging="420"/>
      </w:pPr>
      <w:rPr>
        <w:rFonts w:hint="default" w:ascii="Wingdings" w:hAnsi="Wingdings"/>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25">
    <w:nsid w:val="452274C7"/>
    <w:multiLevelType w:val="multilevel"/>
    <w:tmpl w:val="452274C7"/>
    <w:lvl w:ilvl="0" w:tentative="0">
      <w:start w:val="1"/>
      <w:numFmt w:val="decimal"/>
      <w:pStyle w:val="384"/>
      <w:suff w:val="nothing"/>
      <w:lvlText w:val="%1　"/>
      <w:lvlJc w:val="left"/>
      <w:pPr>
        <w:ind w:left="0" w:firstLine="0"/>
      </w:pPr>
      <w:rPr>
        <w:rFonts w:hint="eastAsia" w:ascii="黑体" w:eastAsia="黑体"/>
      </w:rPr>
    </w:lvl>
    <w:lvl w:ilvl="1" w:tentative="0">
      <w:start w:val="1"/>
      <w:numFmt w:val="decimal"/>
      <w:suff w:val="nothing"/>
      <w:lvlText w:val="%1.%2　"/>
      <w:lvlJc w:val="left"/>
      <w:pPr>
        <w:ind w:left="420" w:firstLine="0"/>
      </w:pPr>
      <w:rPr>
        <w:rFonts w:hint="eastAsia" w:ascii="黑体" w:eastAsia="黑体"/>
      </w:rPr>
    </w:lvl>
    <w:lvl w:ilvl="2" w:tentative="0">
      <w:start w:val="1"/>
      <w:numFmt w:val="decimal"/>
      <w:suff w:val="nothing"/>
      <w:lvlText w:val="%1.%2.%3　"/>
      <w:lvlJc w:val="left"/>
      <w:pPr>
        <w:ind w:left="735" w:firstLine="0"/>
      </w:pPr>
      <w:rPr>
        <w:rFonts w:hint="eastAsia" w:ascii="黑体" w:eastAsia="黑体"/>
      </w:rPr>
    </w:lvl>
    <w:lvl w:ilvl="3" w:tentative="0">
      <w:start w:val="1"/>
      <w:numFmt w:val="decimal"/>
      <w:suff w:val="nothing"/>
      <w:lvlText w:val="%1.%2.%3.%4　"/>
      <w:lvlJc w:val="left"/>
      <w:pPr>
        <w:ind w:left="420" w:firstLine="0"/>
      </w:pPr>
      <w:rPr>
        <w:rFonts w:hint="eastAsia" w:ascii="黑体" w:eastAsia="黑体"/>
      </w:rPr>
    </w:lvl>
    <w:lvl w:ilvl="4" w:tentative="0">
      <w:start w:val="1"/>
      <w:numFmt w:val="decimal"/>
      <w:suff w:val="nothing"/>
      <w:lvlText w:val="%1.%2.%3.%4.%5　"/>
      <w:lvlJc w:val="left"/>
      <w:pPr>
        <w:ind w:left="0" w:firstLine="0"/>
      </w:pPr>
      <w:rPr>
        <w:rFonts w:hint="eastAsia" w:ascii="黑体" w:eastAsia="黑体"/>
      </w:rPr>
    </w:lvl>
    <w:lvl w:ilvl="5" w:tentative="0">
      <w:start w:val="1"/>
      <w:numFmt w:val="decimal"/>
      <w:suff w:val="nothing"/>
      <w:lvlText w:val="%1.%2.%3.%4.%5.%6　"/>
      <w:lvlJc w:val="left"/>
      <w:pPr>
        <w:ind w:left="0" w:firstLine="0"/>
      </w:pPr>
      <w:rPr>
        <w:rFonts w:hint="eastAsia" w:ascii="黑体" w:eastAsia="黑体"/>
      </w:rPr>
    </w:lvl>
    <w:lvl w:ilvl="6" w:tentative="0">
      <w:start w:val="1"/>
      <w:numFmt w:val="decimal"/>
      <w:lvlRestart w:val="0"/>
      <w:suff w:val="nothing"/>
      <w:lvlText w:val="表%7　"/>
      <w:lvlJc w:val="left"/>
      <w:pPr>
        <w:ind w:left="0" w:firstLine="0"/>
      </w:pPr>
      <w:rPr>
        <w:rFonts w:hint="eastAsia" w:ascii="黑体" w:eastAsia="黑体"/>
      </w:rPr>
    </w:lvl>
    <w:lvl w:ilvl="7" w:tentative="0">
      <w:start w:val="1"/>
      <w:numFmt w:val="decimal"/>
      <w:lvlRestart w:val="0"/>
      <w:suff w:val="nothing"/>
      <w:lvlText w:val="图%8　"/>
      <w:lvlJc w:val="left"/>
      <w:pPr>
        <w:ind w:left="0" w:firstLine="0"/>
      </w:pPr>
      <w:rPr>
        <w:rFonts w:hint="eastAsia" w:ascii="黑体" w:eastAsia="黑体"/>
      </w:rPr>
    </w:lvl>
    <w:lvl w:ilvl="8" w:tentative="0">
      <w:start w:val="1"/>
      <w:numFmt w:val="decimal"/>
      <w:lvlText w:val="%1.%2.%3.%4.%5.%6.%7.%8.%9"/>
      <w:lvlJc w:val="left"/>
      <w:pPr>
        <w:tabs>
          <w:tab w:val="left" w:pos="1584"/>
        </w:tabs>
        <w:ind w:left="1584" w:hanging="1584"/>
      </w:pPr>
      <w:rPr>
        <w:rFonts w:hint="eastAsia"/>
      </w:rPr>
    </w:lvl>
  </w:abstractNum>
  <w:abstractNum w:abstractNumId="26">
    <w:nsid w:val="46224503"/>
    <w:multiLevelType w:val="multilevel"/>
    <w:tmpl w:val="46224503"/>
    <w:lvl w:ilvl="0" w:tentative="0">
      <w:start w:val="1"/>
      <w:numFmt w:val="bullet"/>
      <w:lvlText w:val=""/>
      <w:lvlJc w:val="left"/>
      <w:pPr>
        <w:ind w:left="900" w:hanging="420"/>
      </w:pPr>
      <w:rPr>
        <w:rFonts w:hint="default" w:ascii="Wingdings" w:hAnsi="Wingdings"/>
      </w:rPr>
    </w:lvl>
    <w:lvl w:ilvl="1" w:tentative="0">
      <w:start w:val="1"/>
      <w:numFmt w:val="bullet"/>
      <w:pStyle w:val="209"/>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7">
    <w:nsid w:val="4EC94BAA"/>
    <w:multiLevelType w:val="multilevel"/>
    <w:tmpl w:val="4EC94BAA"/>
    <w:lvl w:ilvl="0" w:tentative="0">
      <w:start w:val="1"/>
      <w:numFmt w:val="bullet"/>
      <w:pStyle w:val="329"/>
      <w:lvlText w:val=""/>
      <w:lvlJc w:val="left"/>
      <w:pPr>
        <w:ind w:left="980" w:hanging="420"/>
      </w:pPr>
      <w:rPr>
        <w:rFonts w:hint="default" w:ascii="Wingdings" w:hAnsi="Wingdings" w:cs="Wingdings"/>
      </w:rPr>
    </w:lvl>
    <w:lvl w:ilvl="1" w:tentative="0">
      <w:start w:val="1"/>
      <w:numFmt w:val="bullet"/>
      <w:lvlText w:val=""/>
      <w:lvlJc w:val="left"/>
      <w:pPr>
        <w:ind w:left="1400" w:hanging="420"/>
      </w:pPr>
      <w:rPr>
        <w:rFonts w:hint="default" w:ascii="Wingdings" w:hAnsi="Wingdings"/>
      </w:rPr>
    </w:lvl>
    <w:lvl w:ilvl="2" w:tentative="0">
      <w:start w:val="1"/>
      <w:numFmt w:val="bullet"/>
      <w:lvlText w:val=""/>
      <w:lvlJc w:val="left"/>
      <w:pPr>
        <w:ind w:left="1820" w:hanging="420"/>
      </w:pPr>
      <w:rPr>
        <w:rFonts w:hint="default" w:ascii="Wingdings" w:hAnsi="Wingdings"/>
      </w:rPr>
    </w:lvl>
    <w:lvl w:ilvl="3" w:tentative="0">
      <w:start w:val="1"/>
      <w:numFmt w:val="bullet"/>
      <w:lvlText w:val=""/>
      <w:lvlJc w:val="left"/>
      <w:pPr>
        <w:ind w:left="2240" w:hanging="420"/>
      </w:pPr>
      <w:rPr>
        <w:rFonts w:hint="default" w:ascii="Wingdings" w:hAnsi="Wingdings"/>
      </w:rPr>
    </w:lvl>
    <w:lvl w:ilvl="4" w:tentative="0">
      <w:start w:val="1"/>
      <w:numFmt w:val="bullet"/>
      <w:lvlText w:val=""/>
      <w:lvlJc w:val="left"/>
      <w:pPr>
        <w:ind w:left="2660" w:hanging="420"/>
      </w:pPr>
      <w:rPr>
        <w:rFonts w:hint="default" w:ascii="Wingdings" w:hAnsi="Wingdings"/>
      </w:rPr>
    </w:lvl>
    <w:lvl w:ilvl="5" w:tentative="0">
      <w:start w:val="1"/>
      <w:numFmt w:val="bullet"/>
      <w:lvlText w:val=""/>
      <w:lvlJc w:val="left"/>
      <w:pPr>
        <w:ind w:left="3080" w:hanging="420"/>
      </w:pPr>
      <w:rPr>
        <w:rFonts w:hint="default" w:ascii="Wingdings" w:hAnsi="Wingdings"/>
      </w:rPr>
    </w:lvl>
    <w:lvl w:ilvl="6" w:tentative="0">
      <w:start w:val="1"/>
      <w:numFmt w:val="bullet"/>
      <w:lvlText w:val=""/>
      <w:lvlJc w:val="left"/>
      <w:pPr>
        <w:ind w:left="3500" w:hanging="420"/>
      </w:pPr>
      <w:rPr>
        <w:rFonts w:hint="default" w:ascii="Wingdings" w:hAnsi="Wingdings"/>
      </w:rPr>
    </w:lvl>
    <w:lvl w:ilvl="7" w:tentative="0">
      <w:start w:val="1"/>
      <w:numFmt w:val="bullet"/>
      <w:lvlText w:val=""/>
      <w:lvlJc w:val="left"/>
      <w:pPr>
        <w:ind w:left="3920" w:hanging="420"/>
      </w:pPr>
      <w:rPr>
        <w:rFonts w:hint="default" w:ascii="Wingdings" w:hAnsi="Wingdings"/>
      </w:rPr>
    </w:lvl>
    <w:lvl w:ilvl="8" w:tentative="0">
      <w:start w:val="1"/>
      <w:numFmt w:val="bullet"/>
      <w:lvlText w:val=""/>
      <w:lvlJc w:val="left"/>
      <w:pPr>
        <w:ind w:left="4340" w:hanging="420"/>
      </w:pPr>
      <w:rPr>
        <w:rFonts w:hint="default" w:ascii="Wingdings" w:hAnsi="Wingdings"/>
      </w:rPr>
    </w:lvl>
  </w:abstractNum>
  <w:abstractNum w:abstractNumId="28">
    <w:nsid w:val="57A5140E"/>
    <w:multiLevelType w:val="multilevel"/>
    <w:tmpl w:val="57A5140E"/>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567"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29">
    <w:nsid w:val="5E400AA9"/>
    <w:multiLevelType w:val="multilevel"/>
    <w:tmpl w:val="5E400AA9"/>
    <w:lvl w:ilvl="0" w:tentative="0">
      <w:start w:val="1"/>
      <w:numFmt w:val="decimal"/>
      <w:lvlText w:val="%1."/>
      <w:lvlJc w:val="left"/>
      <w:pPr>
        <w:tabs>
          <w:tab w:val="left" w:pos="540"/>
        </w:tabs>
        <w:ind w:left="180" w:firstLine="0"/>
      </w:pPr>
      <w:rPr>
        <w:rFonts w:hint="eastAsia" w:ascii="黑体" w:eastAsia="黑体"/>
        <w:b/>
        <w:i w:val="0"/>
        <w:sz w:val="24"/>
        <w:szCs w:val="24"/>
      </w:rPr>
    </w:lvl>
    <w:lvl w:ilvl="1" w:tentative="0">
      <w:start w:val="1"/>
      <w:numFmt w:val="decimal"/>
      <w:pStyle w:val="371"/>
      <w:suff w:val="space"/>
      <w:lvlText w:val="%1.%2."/>
      <w:lvlJc w:val="left"/>
      <w:pPr>
        <w:ind w:left="0" w:firstLine="0"/>
      </w:pPr>
      <w:rPr>
        <w:rFonts w:hint="default" w:ascii="Times New Roman" w:hAnsi="Times New Roman" w:eastAsia="宋体"/>
        <w:b/>
        <w:i w:val="0"/>
        <w:color w:val="auto"/>
        <w:sz w:val="24"/>
        <w:lang w:eastAsia="zh-CN"/>
      </w:rPr>
    </w:lvl>
    <w:lvl w:ilvl="2" w:tentative="0">
      <w:start w:val="1"/>
      <w:numFmt w:val="decimal"/>
      <w:suff w:val="space"/>
      <w:lvlText w:val="%1.%2.%3."/>
      <w:lvlJc w:val="left"/>
      <w:pPr>
        <w:ind w:left="592" w:firstLine="400"/>
      </w:pPr>
      <w:rPr>
        <w:rFonts w:hint="default" w:ascii="Times New Roman" w:hAnsi="Times New Roman" w:eastAsia="宋体"/>
        <w:b/>
        <w:i w:val="0"/>
        <w:color w:val="auto"/>
        <w:sz w:val="24"/>
        <w:szCs w:val="24"/>
      </w:rPr>
    </w:lvl>
    <w:lvl w:ilvl="3" w:tentative="0">
      <w:start w:val="1"/>
      <w:numFmt w:val="decimal"/>
      <w:suff w:val="nothing"/>
      <w:lvlText w:val="（%4）"/>
      <w:lvlJc w:val="left"/>
      <w:pPr>
        <w:ind w:left="540" w:firstLine="0"/>
      </w:pPr>
      <w:rPr>
        <w:rFonts w:hint="eastAsia" w:ascii="宋体" w:eastAsia="宋体"/>
        <w:b w:val="0"/>
        <w:i w:val="0"/>
        <w:sz w:val="28"/>
      </w:rPr>
    </w:lvl>
    <w:lvl w:ilvl="4" w:tentative="0">
      <w:start w:val="1"/>
      <w:numFmt w:val="decimal"/>
      <w:suff w:val="nothing"/>
      <w:lvlText w:val="%5）"/>
      <w:lvlJc w:val="left"/>
      <w:pPr>
        <w:ind w:left="0" w:firstLine="0"/>
      </w:pPr>
      <w:rPr>
        <w:rFonts w:hint="eastAsia" w:ascii="宋体" w:eastAsia="宋体"/>
        <w:b w:val="0"/>
        <w:i w:val="0"/>
        <w:sz w:val="28"/>
      </w:rPr>
    </w:lvl>
    <w:lvl w:ilvl="5" w:tentative="0">
      <w:start w:val="1"/>
      <w:numFmt w:val="decimal"/>
      <w:lvlText w:val="%1.%2.%3.%4.%5.%6"/>
      <w:lvlJc w:val="left"/>
      <w:pPr>
        <w:tabs>
          <w:tab w:val="left" w:pos="3566"/>
        </w:tabs>
        <w:ind w:left="3260" w:hanging="1134"/>
      </w:pPr>
      <w:rPr>
        <w:rFonts w:hint="eastAsia"/>
      </w:rPr>
    </w:lvl>
    <w:lvl w:ilvl="6" w:tentative="0">
      <w:start w:val="1"/>
      <w:numFmt w:val="decimal"/>
      <w:lvlText w:val="%1.%2.%3.%4.%5.%6.%7"/>
      <w:lvlJc w:val="left"/>
      <w:pPr>
        <w:tabs>
          <w:tab w:val="left" w:pos="3991"/>
        </w:tabs>
        <w:ind w:left="3827" w:hanging="1276"/>
      </w:pPr>
      <w:rPr>
        <w:rFonts w:hint="eastAsia"/>
      </w:rPr>
    </w:lvl>
    <w:lvl w:ilvl="7" w:tentative="0">
      <w:start w:val="1"/>
      <w:numFmt w:val="decimal"/>
      <w:lvlText w:val="%1.%2.%3.%4.%5.%6.%7.%8"/>
      <w:lvlJc w:val="left"/>
      <w:pPr>
        <w:tabs>
          <w:tab w:val="left" w:pos="4776"/>
        </w:tabs>
        <w:ind w:left="4394" w:hanging="1418"/>
      </w:pPr>
      <w:rPr>
        <w:rFonts w:hint="eastAsia"/>
      </w:rPr>
    </w:lvl>
    <w:lvl w:ilvl="8" w:tentative="0">
      <w:start w:val="1"/>
      <w:numFmt w:val="decimal"/>
      <w:lvlText w:val="%1.%2.%3.%4.%5.%6.%7.%8.%9"/>
      <w:lvlJc w:val="left"/>
      <w:pPr>
        <w:tabs>
          <w:tab w:val="left" w:pos="5562"/>
        </w:tabs>
        <w:ind w:left="5102" w:hanging="1700"/>
      </w:pPr>
      <w:rPr>
        <w:rFonts w:hint="eastAsia"/>
      </w:rPr>
    </w:lvl>
  </w:abstractNum>
  <w:abstractNum w:abstractNumId="30">
    <w:nsid w:val="6411357F"/>
    <w:multiLevelType w:val="multilevel"/>
    <w:tmpl w:val="6411357F"/>
    <w:lvl w:ilvl="0" w:tentative="0">
      <w:start w:val="1"/>
      <w:numFmt w:val="bullet"/>
      <w:pStyle w:val="299"/>
      <w:lvlText w:val=""/>
      <w:lvlJc w:val="left"/>
      <w:pPr>
        <w:ind w:left="980" w:hanging="420"/>
      </w:pPr>
      <w:rPr>
        <w:rFonts w:hint="default" w:ascii="Wingdings" w:hAnsi="Wingdings"/>
      </w:rPr>
    </w:lvl>
    <w:lvl w:ilvl="1" w:tentative="0">
      <w:start w:val="1"/>
      <w:numFmt w:val="bullet"/>
      <w:pStyle w:val="332"/>
      <w:lvlText w:val=""/>
      <w:lvlJc w:val="left"/>
      <w:pPr>
        <w:ind w:left="1400" w:hanging="420"/>
      </w:pPr>
      <w:rPr>
        <w:rFonts w:hint="default" w:ascii="Wingdings" w:hAnsi="Wingdings"/>
      </w:rPr>
    </w:lvl>
    <w:lvl w:ilvl="2" w:tentative="0">
      <w:start w:val="1"/>
      <w:numFmt w:val="bullet"/>
      <w:lvlText w:val=""/>
      <w:lvlJc w:val="left"/>
      <w:pPr>
        <w:ind w:left="1820" w:hanging="420"/>
      </w:pPr>
      <w:rPr>
        <w:rFonts w:hint="default" w:ascii="Wingdings" w:hAnsi="Wingdings"/>
      </w:rPr>
    </w:lvl>
    <w:lvl w:ilvl="3" w:tentative="0">
      <w:start w:val="1"/>
      <w:numFmt w:val="bullet"/>
      <w:pStyle w:val="306"/>
      <w:lvlText w:val=""/>
      <w:lvlJc w:val="left"/>
      <w:pPr>
        <w:ind w:left="2240" w:hanging="420"/>
      </w:pPr>
      <w:rPr>
        <w:rFonts w:hint="default" w:ascii="Wingdings" w:hAnsi="Wingdings"/>
      </w:rPr>
    </w:lvl>
    <w:lvl w:ilvl="4" w:tentative="0">
      <w:start w:val="1"/>
      <w:numFmt w:val="bullet"/>
      <w:lvlText w:val=""/>
      <w:lvlJc w:val="left"/>
      <w:pPr>
        <w:ind w:left="2660" w:hanging="420"/>
      </w:pPr>
      <w:rPr>
        <w:rFonts w:hint="default" w:ascii="Wingdings" w:hAnsi="Wingdings"/>
      </w:rPr>
    </w:lvl>
    <w:lvl w:ilvl="5" w:tentative="0">
      <w:start w:val="1"/>
      <w:numFmt w:val="bullet"/>
      <w:pStyle w:val="378"/>
      <w:lvlText w:val=""/>
      <w:lvlJc w:val="left"/>
      <w:pPr>
        <w:ind w:left="3080" w:hanging="420"/>
      </w:pPr>
      <w:rPr>
        <w:rFonts w:hint="default" w:ascii="Wingdings" w:hAnsi="Wingdings"/>
      </w:rPr>
    </w:lvl>
    <w:lvl w:ilvl="6" w:tentative="0">
      <w:start w:val="1"/>
      <w:numFmt w:val="bullet"/>
      <w:pStyle w:val="320"/>
      <w:lvlText w:val=""/>
      <w:lvlJc w:val="left"/>
      <w:pPr>
        <w:ind w:left="3500" w:hanging="420"/>
      </w:pPr>
      <w:rPr>
        <w:rFonts w:hint="default" w:ascii="Wingdings" w:hAnsi="Wingdings"/>
      </w:rPr>
    </w:lvl>
    <w:lvl w:ilvl="7" w:tentative="0">
      <w:start w:val="1"/>
      <w:numFmt w:val="bullet"/>
      <w:pStyle w:val="336"/>
      <w:lvlText w:val=""/>
      <w:lvlJc w:val="left"/>
      <w:pPr>
        <w:ind w:left="3920" w:hanging="420"/>
      </w:pPr>
      <w:rPr>
        <w:rFonts w:hint="default" w:ascii="Wingdings" w:hAnsi="Wingdings"/>
      </w:rPr>
    </w:lvl>
    <w:lvl w:ilvl="8" w:tentative="0">
      <w:start w:val="1"/>
      <w:numFmt w:val="bullet"/>
      <w:lvlText w:val=""/>
      <w:lvlJc w:val="left"/>
      <w:pPr>
        <w:ind w:left="4340" w:hanging="420"/>
      </w:pPr>
      <w:rPr>
        <w:rFonts w:hint="default" w:ascii="Wingdings" w:hAnsi="Wingdings"/>
      </w:rPr>
    </w:lvl>
  </w:abstractNum>
  <w:abstractNum w:abstractNumId="31">
    <w:nsid w:val="64AB444F"/>
    <w:multiLevelType w:val="multilevel"/>
    <w:tmpl w:val="64AB444F"/>
    <w:lvl w:ilvl="0" w:tentative="0">
      <w:start w:val="1"/>
      <w:numFmt w:val="chineseCountingThousand"/>
      <w:pStyle w:val="84"/>
      <w:lvlText w:val="第%1部分"/>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FA97D7A"/>
    <w:multiLevelType w:val="multilevel"/>
    <w:tmpl w:val="6FA97D7A"/>
    <w:lvl w:ilvl="0" w:tentative="0">
      <w:start w:val="1"/>
      <w:numFmt w:val="decimal"/>
      <w:pStyle w:val="392"/>
      <w:lvlText w:val="%1、"/>
      <w:lvlJc w:val="left"/>
      <w:pPr>
        <w:tabs>
          <w:tab w:val="left" w:pos="800"/>
        </w:tabs>
        <w:ind w:left="0" w:firstLine="400"/>
      </w:pPr>
      <w:rPr>
        <w:rFonts w:hint="eastAsia"/>
        <w:b/>
        <w:i w:val="0"/>
        <w:sz w:val="28"/>
        <w:szCs w:val="28"/>
      </w:rPr>
    </w:lvl>
    <w:lvl w:ilvl="1" w:tentative="0">
      <w:start w:val="1"/>
      <w:numFmt w:val="decimal"/>
      <w:isLgl/>
      <w:lvlText w:val="3.%2"/>
      <w:lvlJc w:val="left"/>
      <w:pPr>
        <w:tabs>
          <w:tab w:val="left" w:pos="220"/>
        </w:tabs>
        <w:ind w:left="800" w:firstLine="0"/>
      </w:pPr>
      <w:rPr>
        <w:rFonts w:hint="eastAsia"/>
        <w:b w:val="0"/>
        <w:i w:val="0"/>
        <w:sz w:val="21"/>
        <w:szCs w:val="28"/>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3">
    <w:nsid w:val="75800A20"/>
    <w:multiLevelType w:val="multilevel"/>
    <w:tmpl w:val="75800A20"/>
    <w:lvl w:ilvl="0" w:tentative="0">
      <w:start w:val="1"/>
      <w:numFmt w:val="bullet"/>
      <w:pStyle w:val="66"/>
      <w:lvlText w:val=""/>
      <w:lvlJc w:val="left"/>
      <w:pPr>
        <w:tabs>
          <w:tab w:val="left" w:pos="1560"/>
        </w:tabs>
        <w:ind w:left="1560" w:hanging="420"/>
      </w:pPr>
      <w:rPr>
        <w:rFonts w:hint="default" w:ascii="Wingdings" w:hAnsi="Wingdings"/>
      </w:rPr>
    </w:lvl>
    <w:lvl w:ilvl="1" w:tentative="0">
      <w:start w:val="1"/>
      <w:numFmt w:val="bullet"/>
      <w:pStyle w:val="293"/>
      <w:lvlText w:val=""/>
      <w:lvlJc w:val="left"/>
      <w:pPr>
        <w:tabs>
          <w:tab w:val="left" w:pos="1980"/>
        </w:tabs>
        <w:ind w:left="1980" w:hanging="420"/>
      </w:pPr>
      <w:rPr>
        <w:rFonts w:hint="default" w:ascii="Wingdings" w:hAnsi="Wingdings"/>
      </w:rPr>
    </w:lvl>
    <w:lvl w:ilvl="2" w:tentative="0">
      <w:start w:val="1"/>
      <w:numFmt w:val="bullet"/>
      <w:lvlText w:val=""/>
      <w:lvlJc w:val="left"/>
      <w:pPr>
        <w:tabs>
          <w:tab w:val="left" w:pos="2400"/>
        </w:tabs>
        <w:ind w:left="2400" w:hanging="420"/>
      </w:pPr>
      <w:rPr>
        <w:rFonts w:hint="default" w:ascii="Wingdings" w:hAnsi="Wingdings"/>
      </w:rPr>
    </w:lvl>
    <w:lvl w:ilvl="3" w:tentative="0">
      <w:start w:val="1"/>
      <w:numFmt w:val="bullet"/>
      <w:lvlText w:val=""/>
      <w:lvlJc w:val="left"/>
      <w:pPr>
        <w:tabs>
          <w:tab w:val="left" w:pos="2820"/>
        </w:tabs>
        <w:ind w:left="2820" w:hanging="420"/>
      </w:pPr>
      <w:rPr>
        <w:rFonts w:hint="default" w:ascii="Wingdings" w:hAnsi="Wingdings"/>
      </w:rPr>
    </w:lvl>
    <w:lvl w:ilvl="4" w:tentative="0">
      <w:start w:val="1"/>
      <w:numFmt w:val="bullet"/>
      <w:lvlText w:val=""/>
      <w:lvlJc w:val="left"/>
      <w:pPr>
        <w:tabs>
          <w:tab w:val="left" w:pos="3240"/>
        </w:tabs>
        <w:ind w:left="3240" w:hanging="420"/>
      </w:pPr>
      <w:rPr>
        <w:rFonts w:hint="default" w:ascii="Wingdings" w:hAnsi="Wingdings"/>
      </w:rPr>
    </w:lvl>
    <w:lvl w:ilvl="5" w:tentative="0">
      <w:start w:val="1"/>
      <w:numFmt w:val="bullet"/>
      <w:lvlText w:val=""/>
      <w:lvlJc w:val="left"/>
      <w:pPr>
        <w:tabs>
          <w:tab w:val="left" w:pos="3660"/>
        </w:tabs>
        <w:ind w:left="3660" w:hanging="420"/>
      </w:pPr>
      <w:rPr>
        <w:rFonts w:hint="default" w:ascii="Wingdings" w:hAnsi="Wingdings"/>
      </w:rPr>
    </w:lvl>
    <w:lvl w:ilvl="6" w:tentative="0">
      <w:start w:val="1"/>
      <w:numFmt w:val="bullet"/>
      <w:lvlText w:val=""/>
      <w:lvlJc w:val="left"/>
      <w:pPr>
        <w:tabs>
          <w:tab w:val="left" w:pos="4080"/>
        </w:tabs>
        <w:ind w:left="4080" w:hanging="420"/>
      </w:pPr>
      <w:rPr>
        <w:rFonts w:hint="default" w:ascii="Wingdings" w:hAnsi="Wingdings"/>
      </w:rPr>
    </w:lvl>
    <w:lvl w:ilvl="7" w:tentative="0">
      <w:start w:val="1"/>
      <w:numFmt w:val="bullet"/>
      <w:lvlText w:val=""/>
      <w:lvlJc w:val="left"/>
      <w:pPr>
        <w:tabs>
          <w:tab w:val="left" w:pos="4500"/>
        </w:tabs>
        <w:ind w:left="4500" w:hanging="420"/>
      </w:pPr>
      <w:rPr>
        <w:rFonts w:hint="default" w:ascii="Wingdings" w:hAnsi="Wingdings"/>
      </w:rPr>
    </w:lvl>
    <w:lvl w:ilvl="8" w:tentative="0">
      <w:start w:val="1"/>
      <w:numFmt w:val="bullet"/>
      <w:lvlText w:val=""/>
      <w:lvlJc w:val="left"/>
      <w:pPr>
        <w:tabs>
          <w:tab w:val="left" w:pos="4920"/>
        </w:tabs>
        <w:ind w:left="4920" w:hanging="420"/>
      </w:pPr>
      <w:rPr>
        <w:rFonts w:hint="default" w:ascii="Wingdings" w:hAnsi="Wingdings"/>
      </w:rPr>
    </w:lvl>
  </w:abstractNum>
  <w:abstractNum w:abstractNumId="34">
    <w:nsid w:val="7A0266A5"/>
    <w:multiLevelType w:val="multilevel"/>
    <w:tmpl w:val="7A0266A5"/>
    <w:lvl w:ilvl="0" w:tentative="0">
      <w:start w:val="1"/>
      <w:numFmt w:val="bullet"/>
      <w:pStyle w:val="412"/>
      <w:lvlText w:val=""/>
      <w:lvlJc w:val="left"/>
      <w:pPr>
        <w:tabs>
          <w:tab w:val="left" w:pos="960"/>
        </w:tabs>
        <w:ind w:left="960" w:hanging="420"/>
      </w:pPr>
      <w:rPr>
        <w:rFonts w:hint="default" w:ascii="Wingdings" w:hAnsi="Wingding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5">
    <w:nsid w:val="7A597B2D"/>
    <w:multiLevelType w:val="multilevel"/>
    <w:tmpl w:val="7A597B2D"/>
    <w:lvl w:ilvl="0" w:tentative="0">
      <w:start w:val="1"/>
      <w:numFmt w:val="bullet"/>
      <w:pStyle w:val="447"/>
      <w:lvlText w:val=""/>
      <w:lvlJc w:val="left"/>
      <w:pPr>
        <w:tabs>
          <w:tab w:val="left" w:pos="1260"/>
        </w:tabs>
        <w:ind w:left="1260" w:hanging="420"/>
      </w:pPr>
      <w:rPr>
        <w:rFonts w:hint="default" w:ascii="Wingdings" w:hAnsi="Wingdings" w:eastAsia="仿宋_GB2312"/>
        <w:kern w:val="2"/>
        <w:sz w:val="24"/>
      </w:rPr>
    </w:lvl>
    <w:lvl w:ilvl="1" w:tentative="0">
      <w:start w:val="1"/>
      <w:numFmt w:val="bullet"/>
      <w:lvlText w:val=""/>
      <w:lvlJc w:val="left"/>
      <w:pPr>
        <w:tabs>
          <w:tab w:val="left" w:pos="1680"/>
        </w:tabs>
        <w:ind w:left="1680" w:hanging="420"/>
      </w:pPr>
      <w:rPr>
        <w:rFonts w:hint="default" w:ascii="Wingdings" w:hAnsi="Wingdings"/>
      </w:rPr>
    </w:lvl>
    <w:lvl w:ilvl="2" w:tentative="0">
      <w:start w:val="1"/>
      <w:numFmt w:val="bullet"/>
      <w:lvlText w:val=""/>
      <w:lvlJc w:val="left"/>
      <w:pPr>
        <w:tabs>
          <w:tab w:val="left" w:pos="2100"/>
        </w:tabs>
        <w:ind w:left="2100" w:hanging="420"/>
      </w:pPr>
      <w:rPr>
        <w:rFonts w:hint="default" w:ascii="Wingdings" w:hAnsi="Wingdings"/>
      </w:rPr>
    </w:lvl>
    <w:lvl w:ilvl="3" w:tentative="0">
      <w:start w:val="1"/>
      <w:numFmt w:val="bullet"/>
      <w:lvlText w:val=""/>
      <w:lvlJc w:val="left"/>
      <w:pPr>
        <w:tabs>
          <w:tab w:val="left" w:pos="2520"/>
        </w:tabs>
        <w:ind w:left="2520" w:hanging="420"/>
      </w:pPr>
      <w:rPr>
        <w:rFonts w:hint="default" w:ascii="Wingdings" w:hAnsi="Wingdings"/>
      </w:rPr>
    </w:lvl>
    <w:lvl w:ilvl="4" w:tentative="0">
      <w:start w:val="1"/>
      <w:numFmt w:val="bullet"/>
      <w:lvlText w:val=""/>
      <w:lvlJc w:val="left"/>
      <w:pPr>
        <w:tabs>
          <w:tab w:val="left" w:pos="2940"/>
        </w:tabs>
        <w:ind w:left="2940" w:hanging="420"/>
      </w:pPr>
      <w:rPr>
        <w:rFonts w:hint="default" w:ascii="Wingdings" w:hAnsi="Wingdings"/>
      </w:rPr>
    </w:lvl>
    <w:lvl w:ilvl="5" w:tentative="0">
      <w:start w:val="1"/>
      <w:numFmt w:val="bullet"/>
      <w:lvlText w:val=""/>
      <w:lvlJc w:val="left"/>
      <w:pPr>
        <w:tabs>
          <w:tab w:val="left" w:pos="3360"/>
        </w:tabs>
        <w:ind w:left="3360" w:hanging="420"/>
      </w:pPr>
      <w:rPr>
        <w:rFonts w:hint="default" w:ascii="Wingdings" w:hAnsi="Wingdings"/>
      </w:rPr>
    </w:lvl>
    <w:lvl w:ilvl="6" w:tentative="0">
      <w:start w:val="1"/>
      <w:numFmt w:val="bullet"/>
      <w:lvlText w:val=""/>
      <w:lvlJc w:val="left"/>
      <w:pPr>
        <w:tabs>
          <w:tab w:val="left" w:pos="3780"/>
        </w:tabs>
        <w:ind w:left="3780" w:hanging="420"/>
      </w:pPr>
      <w:rPr>
        <w:rFonts w:hint="default" w:ascii="Wingdings" w:hAnsi="Wingdings"/>
      </w:rPr>
    </w:lvl>
    <w:lvl w:ilvl="7" w:tentative="0">
      <w:start w:val="1"/>
      <w:numFmt w:val="bullet"/>
      <w:lvlText w:val=""/>
      <w:lvlJc w:val="left"/>
      <w:pPr>
        <w:tabs>
          <w:tab w:val="left" w:pos="4200"/>
        </w:tabs>
        <w:ind w:left="4200" w:hanging="420"/>
      </w:pPr>
      <w:rPr>
        <w:rFonts w:hint="default" w:ascii="Wingdings" w:hAnsi="Wingdings"/>
      </w:rPr>
    </w:lvl>
    <w:lvl w:ilvl="8" w:tentative="0">
      <w:start w:val="1"/>
      <w:numFmt w:val="bullet"/>
      <w:lvlText w:val=""/>
      <w:lvlJc w:val="left"/>
      <w:pPr>
        <w:tabs>
          <w:tab w:val="left" w:pos="4620"/>
        </w:tabs>
        <w:ind w:left="4620" w:hanging="420"/>
      </w:pPr>
      <w:rPr>
        <w:rFonts w:hint="default" w:ascii="Wingdings" w:hAnsi="Wingdings"/>
      </w:rPr>
    </w:lvl>
  </w:abstractNum>
  <w:abstractNum w:abstractNumId="36">
    <w:nsid w:val="7C7D18A7"/>
    <w:multiLevelType w:val="multilevel"/>
    <w:tmpl w:val="7C7D18A7"/>
    <w:lvl w:ilvl="0" w:tentative="0">
      <w:start w:val="1"/>
      <w:numFmt w:val="decimal"/>
      <w:pStyle w:val="3"/>
      <w:lvlText w:val="%1."/>
      <w:lvlJc w:val="left"/>
      <w:pPr>
        <w:ind w:left="420" w:hanging="420"/>
      </w:pPr>
      <w:rPr>
        <w:rFonts w:hint="default" w:ascii="Arial" w:hAnsi="Arial" w:cs="Arial"/>
        <w:b/>
        <w:bCs w:val="0"/>
        <w:i w:val="0"/>
        <w:iCs w:val="0"/>
        <w:caps w:val="0"/>
        <w:smallCaps w:val="0"/>
        <w:strike w:val="0"/>
        <w:dstrike w:val="0"/>
        <w:vanish w:val="0"/>
        <w:color w:val="000000"/>
        <w:spacing w:val="0"/>
        <w:position w:val="0"/>
        <w:sz w:val="24"/>
        <w:szCs w:val="22"/>
        <w:u w:val="none"/>
        <w:vertAlign w:val="baseline"/>
        <w14:shadow w14:blurRad="0" w14:dist="0" w14:dir="0" w14:sx="0" w14:sy="0" w14:kx="0" w14:ky="0" w14:algn="none">
          <w14:srgbClr w14:val="000000"/>
        </w14:shadow>
      </w:rPr>
    </w:lvl>
    <w:lvl w:ilvl="1" w:tentative="0">
      <w:start w:val="1"/>
      <w:numFmt w:val="decimal"/>
      <w:pStyle w:val="4"/>
      <w:suff w:val="space"/>
      <w:lvlText w:val="%1.%2"/>
      <w:lvlJc w:val="left"/>
      <w:pPr>
        <w:ind w:left="0" w:firstLine="0"/>
      </w:pPr>
      <w:rPr>
        <w:rFonts w:hint="default" w:ascii="Arial" w:hAnsi="Arial" w:cs="Arial"/>
        <w:b/>
        <w:sz w:val="24"/>
        <w:szCs w:val="24"/>
      </w:rPr>
    </w:lvl>
    <w:lvl w:ilvl="2" w:tentative="0">
      <w:start w:val="1"/>
      <w:numFmt w:val="decimal"/>
      <w:pStyle w:val="5"/>
      <w:suff w:val="space"/>
      <w:lvlText w:val="%1.%2.%3"/>
      <w:lvlJc w:val="left"/>
      <w:pPr>
        <w:ind w:left="3261" w:firstLine="0"/>
      </w:pPr>
      <w:rPr>
        <w:rFonts w:hint="default" w:ascii="Arial" w:hAnsi="Arial" w:cs="Arial"/>
        <w:sz w:val="22"/>
        <w:szCs w:val="22"/>
      </w:rPr>
    </w:lvl>
    <w:lvl w:ilvl="3" w:tentative="0">
      <w:start w:val="1"/>
      <w:numFmt w:val="decimal"/>
      <w:pStyle w:val="6"/>
      <w:suff w:val="space"/>
      <w:lvlText w:val="%1.%2.%3.%4"/>
      <w:lvlJc w:val="left"/>
      <w:pPr>
        <w:ind w:left="1418" w:firstLine="0"/>
      </w:pPr>
      <w:rPr>
        <w:rFonts w:hint="default" w:ascii="Arial" w:hAnsi="Arial" w:cs="Arial"/>
        <w:sz w:val="21"/>
        <w:szCs w:val="21"/>
      </w:rPr>
    </w:lvl>
    <w:lvl w:ilvl="4" w:tentative="0">
      <w:start w:val="1"/>
      <w:numFmt w:val="decimal"/>
      <w:pStyle w:val="7"/>
      <w:suff w:val="space"/>
      <w:lvlText w:val="（%5）"/>
      <w:lvlJc w:val="left"/>
      <w:pPr>
        <w:ind w:left="-137" w:firstLine="420"/>
      </w:pPr>
      <w:rPr>
        <w:rFonts w:hint="default" w:ascii="Arial" w:hAnsi="Arial" w:cs="Arial"/>
        <w:b w:val="0"/>
        <w:sz w:val="21"/>
        <w:szCs w:val="18"/>
      </w:rPr>
    </w:lvl>
    <w:lvl w:ilvl="5" w:tentative="0">
      <w:start w:val="1"/>
      <w:numFmt w:val="decimal"/>
      <w:pStyle w:val="8"/>
      <w:suff w:val="space"/>
      <w:lvlText w:val="%6）"/>
      <w:lvlJc w:val="left"/>
      <w:pPr>
        <w:ind w:left="0" w:firstLine="601"/>
      </w:pPr>
      <w:rPr>
        <w:rFonts w:hint="default" w:ascii="Arial" w:hAnsi="Arial" w:cs="Arial"/>
        <w:sz w:val="24"/>
        <w:szCs w:val="10351"/>
      </w:rPr>
    </w:lvl>
    <w:lvl w:ilvl="6" w:tentative="0">
      <w:start w:val="1"/>
      <w:numFmt w:val="upperLetter"/>
      <w:pStyle w:val="9"/>
      <w:suff w:val="space"/>
      <w:lvlText w:val="%7."/>
      <w:lvlJc w:val="left"/>
      <w:pPr>
        <w:ind w:left="0" w:firstLine="601"/>
      </w:pPr>
      <w:rPr>
        <w:rFonts w:hint="default" w:ascii="Arial" w:hAnsi="Arial" w:cs="Arial"/>
        <w:sz w:val="24"/>
      </w:rPr>
    </w:lvl>
    <w:lvl w:ilvl="7" w:tentative="0">
      <w:start w:val="1"/>
      <w:numFmt w:val="lowerLetter"/>
      <w:pStyle w:val="10"/>
      <w:suff w:val="space"/>
      <w:lvlText w:val="%8."/>
      <w:lvlJc w:val="left"/>
      <w:pPr>
        <w:ind w:left="0" w:firstLine="601"/>
      </w:pPr>
      <w:rPr>
        <w:rFonts w:hint="default" w:ascii="Arial" w:hAnsi="Arial" w:cs="Arial"/>
        <w:sz w:val="24"/>
        <w:szCs w:val="24"/>
      </w:rPr>
    </w:lvl>
    <w:lvl w:ilvl="8" w:tentative="0">
      <w:start w:val="1"/>
      <w:numFmt w:val="lowerLetter"/>
      <w:pStyle w:val="11"/>
      <w:suff w:val="space"/>
      <w:lvlText w:val="%9）"/>
      <w:lvlJc w:val="left"/>
      <w:pPr>
        <w:ind w:left="0" w:firstLine="601"/>
      </w:pPr>
      <w:rPr>
        <w:rFonts w:hint="default" w:ascii="Arial" w:hAnsi="Arial"/>
        <w:color w:val="000000"/>
        <w:sz w:val="24"/>
        <w14:shadow w14:blurRad="0" w14:dist="0" w14:dir="0" w14:sx="0" w14:sy="0" w14:kx="0" w14:ky="0" w14:algn="none">
          <w14:srgbClr w14:val="000000"/>
        </w14:shadow>
      </w:rPr>
    </w:lvl>
  </w:abstractNum>
  <w:abstractNum w:abstractNumId="37">
    <w:nsid w:val="7FE7591D"/>
    <w:multiLevelType w:val="singleLevel"/>
    <w:tmpl w:val="7FE7591D"/>
    <w:lvl w:ilvl="0" w:tentative="0">
      <w:start w:val="1"/>
      <w:numFmt w:val="decimal"/>
      <w:suff w:val="nothing"/>
      <w:lvlText w:val="%1）"/>
      <w:lvlJc w:val="left"/>
    </w:lvl>
  </w:abstractNum>
  <w:num w:numId="1">
    <w:abstractNumId w:val="36"/>
  </w:num>
  <w:num w:numId="2">
    <w:abstractNumId w:val="33"/>
  </w:num>
  <w:num w:numId="3">
    <w:abstractNumId w:val="31"/>
  </w:num>
  <w:num w:numId="4">
    <w:abstractNumId w:val="18"/>
  </w:num>
  <w:num w:numId="5">
    <w:abstractNumId w:val="23"/>
  </w:num>
  <w:num w:numId="6">
    <w:abstractNumId w:val="26"/>
  </w:num>
  <w:num w:numId="7">
    <w:abstractNumId w:val="21"/>
  </w:num>
  <w:num w:numId="8">
    <w:abstractNumId w:val="7"/>
  </w:num>
  <w:num w:numId="9">
    <w:abstractNumId w:val="30"/>
  </w:num>
  <w:num w:numId="10">
    <w:abstractNumId w:val="17"/>
  </w:num>
  <w:num w:numId="11">
    <w:abstractNumId w:val="16"/>
  </w:num>
  <w:num w:numId="12">
    <w:abstractNumId w:val="24"/>
  </w:num>
  <w:num w:numId="13">
    <w:abstractNumId w:val="27"/>
  </w:num>
  <w:num w:numId="14">
    <w:abstractNumId w:val="8"/>
  </w:num>
  <w:num w:numId="15">
    <w:abstractNumId w:val="19"/>
  </w:num>
  <w:num w:numId="16">
    <w:abstractNumId w:val="4"/>
  </w:num>
  <w:num w:numId="17">
    <w:abstractNumId w:val="29"/>
  </w:num>
  <w:num w:numId="18">
    <w:abstractNumId w:val="15"/>
  </w:num>
  <w:num w:numId="19">
    <w:abstractNumId w:val="25"/>
  </w:num>
  <w:num w:numId="20">
    <w:abstractNumId w:val="32"/>
  </w:num>
  <w:num w:numId="21">
    <w:abstractNumId w:val="9"/>
  </w:num>
  <w:num w:numId="22">
    <w:abstractNumId w:val="34"/>
  </w:num>
  <w:num w:numId="23">
    <w:abstractNumId w:val="10"/>
  </w:num>
  <w:num w:numId="24">
    <w:abstractNumId w:val="14"/>
  </w:num>
  <w:num w:numId="25">
    <w:abstractNumId w:val="11"/>
  </w:num>
  <w:num w:numId="26">
    <w:abstractNumId w:val="35"/>
  </w:num>
  <w:num w:numId="27">
    <w:abstractNumId w:val="22"/>
  </w:num>
  <w:num w:numId="28">
    <w:abstractNumId w:val="13"/>
  </w:num>
  <w:num w:numId="29">
    <w:abstractNumId w:val="5"/>
  </w:num>
  <w:num w:numId="30">
    <w:abstractNumId w:val="12"/>
  </w:num>
  <w:num w:numId="31">
    <w:abstractNumId w:val="3"/>
  </w:num>
  <w:num w:numId="32">
    <w:abstractNumId w:val="1"/>
  </w:num>
  <w:num w:numId="33">
    <w:abstractNumId w:val="20"/>
  </w:num>
  <w:num w:numId="34">
    <w:abstractNumId w:val="37"/>
  </w:num>
  <w:num w:numId="35">
    <w:abstractNumId w:val="2"/>
  </w:num>
  <w:num w:numId="36">
    <w:abstractNumId w:val="6"/>
  </w:num>
  <w:num w:numId="37">
    <w:abstractNumId w:val="0"/>
  </w:num>
  <w:num w:numId="3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attachedTemplate r:id="rId1"/>
  <w:documentProtection w:formatting="1" w:enforcement="0"/>
  <w:defaultTabStop w:val="420"/>
  <w:drawingGridHorizontalSpacing w:val="1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1E84"/>
    <w:rsid w:val="0000002F"/>
    <w:rsid w:val="00000A1A"/>
    <w:rsid w:val="00000BB7"/>
    <w:rsid w:val="0000111E"/>
    <w:rsid w:val="00001BFC"/>
    <w:rsid w:val="00001D36"/>
    <w:rsid w:val="00001E4F"/>
    <w:rsid w:val="00002332"/>
    <w:rsid w:val="000025A8"/>
    <w:rsid w:val="00003CAD"/>
    <w:rsid w:val="00004314"/>
    <w:rsid w:val="00004553"/>
    <w:rsid w:val="000045B5"/>
    <w:rsid w:val="000045DD"/>
    <w:rsid w:val="00005180"/>
    <w:rsid w:val="0000583B"/>
    <w:rsid w:val="00005939"/>
    <w:rsid w:val="000061D9"/>
    <w:rsid w:val="00007D7E"/>
    <w:rsid w:val="0001050A"/>
    <w:rsid w:val="0001140B"/>
    <w:rsid w:val="000116F2"/>
    <w:rsid w:val="00011B65"/>
    <w:rsid w:val="00012CB8"/>
    <w:rsid w:val="00012E4C"/>
    <w:rsid w:val="00013792"/>
    <w:rsid w:val="00013C8D"/>
    <w:rsid w:val="00013F34"/>
    <w:rsid w:val="000146CE"/>
    <w:rsid w:val="00014914"/>
    <w:rsid w:val="00015484"/>
    <w:rsid w:val="00015AFD"/>
    <w:rsid w:val="00016937"/>
    <w:rsid w:val="00016A10"/>
    <w:rsid w:val="00016E10"/>
    <w:rsid w:val="0001744B"/>
    <w:rsid w:val="00017700"/>
    <w:rsid w:val="000178DF"/>
    <w:rsid w:val="00017B50"/>
    <w:rsid w:val="00017FBB"/>
    <w:rsid w:val="00020494"/>
    <w:rsid w:val="000206A2"/>
    <w:rsid w:val="000209DA"/>
    <w:rsid w:val="00020D51"/>
    <w:rsid w:val="0002150E"/>
    <w:rsid w:val="000215CB"/>
    <w:rsid w:val="000216B4"/>
    <w:rsid w:val="00021B7A"/>
    <w:rsid w:val="00023159"/>
    <w:rsid w:val="000240CD"/>
    <w:rsid w:val="000242D0"/>
    <w:rsid w:val="000251DC"/>
    <w:rsid w:val="00025375"/>
    <w:rsid w:val="00025436"/>
    <w:rsid w:val="0002672E"/>
    <w:rsid w:val="00026C7E"/>
    <w:rsid w:val="00027620"/>
    <w:rsid w:val="00027BF6"/>
    <w:rsid w:val="00027EB6"/>
    <w:rsid w:val="00027EBB"/>
    <w:rsid w:val="000309D3"/>
    <w:rsid w:val="000314CC"/>
    <w:rsid w:val="00031612"/>
    <w:rsid w:val="00031EE6"/>
    <w:rsid w:val="00032649"/>
    <w:rsid w:val="0003296C"/>
    <w:rsid w:val="0003354C"/>
    <w:rsid w:val="000338E1"/>
    <w:rsid w:val="00035010"/>
    <w:rsid w:val="000352C5"/>
    <w:rsid w:val="0003648E"/>
    <w:rsid w:val="00037912"/>
    <w:rsid w:val="000379B3"/>
    <w:rsid w:val="000406AC"/>
    <w:rsid w:val="0004135C"/>
    <w:rsid w:val="0004184A"/>
    <w:rsid w:val="00041B7F"/>
    <w:rsid w:val="00042348"/>
    <w:rsid w:val="00042840"/>
    <w:rsid w:val="00043E4B"/>
    <w:rsid w:val="00043F56"/>
    <w:rsid w:val="0004407F"/>
    <w:rsid w:val="000440DF"/>
    <w:rsid w:val="00044180"/>
    <w:rsid w:val="00044268"/>
    <w:rsid w:val="00045152"/>
    <w:rsid w:val="0004536F"/>
    <w:rsid w:val="00045EE0"/>
    <w:rsid w:val="00046345"/>
    <w:rsid w:val="000476FD"/>
    <w:rsid w:val="000479A1"/>
    <w:rsid w:val="00050190"/>
    <w:rsid w:val="00050C1F"/>
    <w:rsid w:val="00051022"/>
    <w:rsid w:val="000512AD"/>
    <w:rsid w:val="000513DB"/>
    <w:rsid w:val="000514E8"/>
    <w:rsid w:val="000519DB"/>
    <w:rsid w:val="000523BC"/>
    <w:rsid w:val="00052A82"/>
    <w:rsid w:val="00052F4D"/>
    <w:rsid w:val="00053377"/>
    <w:rsid w:val="00054ABA"/>
    <w:rsid w:val="00054BD1"/>
    <w:rsid w:val="000550E4"/>
    <w:rsid w:val="00055E53"/>
    <w:rsid w:val="00055F85"/>
    <w:rsid w:val="00056365"/>
    <w:rsid w:val="0005692C"/>
    <w:rsid w:val="00056C1D"/>
    <w:rsid w:val="00057732"/>
    <w:rsid w:val="00057C82"/>
    <w:rsid w:val="00060780"/>
    <w:rsid w:val="00060940"/>
    <w:rsid w:val="00060D11"/>
    <w:rsid w:val="00061955"/>
    <w:rsid w:val="00061BA8"/>
    <w:rsid w:val="00061C78"/>
    <w:rsid w:val="00062233"/>
    <w:rsid w:val="00062F05"/>
    <w:rsid w:val="0006592B"/>
    <w:rsid w:val="00066523"/>
    <w:rsid w:val="00066658"/>
    <w:rsid w:val="000669C0"/>
    <w:rsid w:val="000679D3"/>
    <w:rsid w:val="00070151"/>
    <w:rsid w:val="0007016A"/>
    <w:rsid w:val="00070C19"/>
    <w:rsid w:val="00070C6C"/>
    <w:rsid w:val="0007109D"/>
    <w:rsid w:val="000711CB"/>
    <w:rsid w:val="00071818"/>
    <w:rsid w:val="00071BCD"/>
    <w:rsid w:val="00071C57"/>
    <w:rsid w:val="00071CC3"/>
    <w:rsid w:val="00072B2D"/>
    <w:rsid w:val="00073C07"/>
    <w:rsid w:val="000749BA"/>
    <w:rsid w:val="00074D15"/>
    <w:rsid w:val="00075373"/>
    <w:rsid w:val="00075708"/>
    <w:rsid w:val="000758B8"/>
    <w:rsid w:val="00075D37"/>
    <w:rsid w:val="00075F68"/>
    <w:rsid w:val="00076AE9"/>
    <w:rsid w:val="00076E6C"/>
    <w:rsid w:val="0007746C"/>
    <w:rsid w:val="00077B27"/>
    <w:rsid w:val="00077DA2"/>
    <w:rsid w:val="00077E1B"/>
    <w:rsid w:val="00077FBE"/>
    <w:rsid w:val="0008025F"/>
    <w:rsid w:val="00080811"/>
    <w:rsid w:val="00080B81"/>
    <w:rsid w:val="000825D8"/>
    <w:rsid w:val="0008285A"/>
    <w:rsid w:val="00082BF6"/>
    <w:rsid w:val="00082F33"/>
    <w:rsid w:val="00083842"/>
    <w:rsid w:val="0008469F"/>
    <w:rsid w:val="00085056"/>
    <w:rsid w:val="00085094"/>
    <w:rsid w:val="0008564C"/>
    <w:rsid w:val="00085C45"/>
    <w:rsid w:val="00087AC9"/>
    <w:rsid w:val="00090405"/>
    <w:rsid w:val="000904C8"/>
    <w:rsid w:val="00090762"/>
    <w:rsid w:val="0009110E"/>
    <w:rsid w:val="000913F9"/>
    <w:rsid w:val="0009254D"/>
    <w:rsid w:val="000939B9"/>
    <w:rsid w:val="00093AAF"/>
    <w:rsid w:val="00093C1E"/>
    <w:rsid w:val="000944B8"/>
    <w:rsid w:val="00095D4D"/>
    <w:rsid w:val="00095E7B"/>
    <w:rsid w:val="0009680E"/>
    <w:rsid w:val="00096908"/>
    <w:rsid w:val="00097056"/>
    <w:rsid w:val="000974A7"/>
    <w:rsid w:val="000976D6"/>
    <w:rsid w:val="00097DFD"/>
    <w:rsid w:val="000A060D"/>
    <w:rsid w:val="000A0A1C"/>
    <w:rsid w:val="000A0F0D"/>
    <w:rsid w:val="000A2665"/>
    <w:rsid w:val="000A2A8B"/>
    <w:rsid w:val="000A31C6"/>
    <w:rsid w:val="000A34B9"/>
    <w:rsid w:val="000A3A6E"/>
    <w:rsid w:val="000A3C0C"/>
    <w:rsid w:val="000A3DFA"/>
    <w:rsid w:val="000A40BF"/>
    <w:rsid w:val="000A4132"/>
    <w:rsid w:val="000A432C"/>
    <w:rsid w:val="000A51DA"/>
    <w:rsid w:val="000A5AB8"/>
    <w:rsid w:val="000A5E20"/>
    <w:rsid w:val="000A60DC"/>
    <w:rsid w:val="000A60FF"/>
    <w:rsid w:val="000A6134"/>
    <w:rsid w:val="000A77F2"/>
    <w:rsid w:val="000A79CF"/>
    <w:rsid w:val="000B00A5"/>
    <w:rsid w:val="000B0F95"/>
    <w:rsid w:val="000B1801"/>
    <w:rsid w:val="000B195F"/>
    <w:rsid w:val="000B1CAE"/>
    <w:rsid w:val="000B2307"/>
    <w:rsid w:val="000B28E9"/>
    <w:rsid w:val="000B2B7B"/>
    <w:rsid w:val="000B3445"/>
    <w:rsid w:val="000B3DE7"/>
    <w:rsid w:val="000B5579"/>
    <w:rsid w:val="000B584B"/>
    <w:rsid w:val="000B6B90"/>
    <w:rsid w:val="000B6F4B"/>
    <w:rsid w:val="000B712C"/>
    <w:rsid w:val="000B7F4E"/>
    <w:rsid w:val="000C05F5"/>
    <w:rsid w:val="000C088C"/>
    <w:rsid w:val="000C0A02"/>
    <w:rsid w:val="000C0B92"/>
    <w:rsid w:val="000C0D87"/>
    <w:rsid w:val="000C1700"/>
    <w:rsid w:val="000C1B92"/>
    <w:rsid w:val="000C1C1A"/>
    <w:rsid w:val="000C2157"/>
    <w:rsid w:val="000C218D"/>
    <w:rsid w:val="000C2EF9"/>
    <w:rsid w:val="000C3ACC"/>
    <w:rsid w:val="000C3B48"/>
    <w:rsid w:val="000C3F4A"/>
    <w:rsid w:val="000C40CA"/>
    <w:rsid w:val="000C497F"/>
    <w:rsid w:val="000C4C1D"/>
    <w:rsid w:val="000C4CDA"/>
    <w:rsid w:val="000C4F8C"/>
    <w:rsid w:val="000C5F85"/>
    <w:rsid w:val="000C65BE"/>
    <w:rsid w:val="000C65FF"/>
    <w:rsid w:val="000C6BE7"/>
    <w:rsid w:val="000C6C22"/>
    <w:rsid w:val="000C6FC1"/>
    <w:rsid w:val="000C742D"/>
    <w:rsid w:val="000C780B"/>
    <w:rsid w:val="000C7FEB"/>
    <w:rsid w:val="000D0053"/>
    <w:rsid w:val="000D0139"/>
    <w:rsid w:val="000D0327"/>
    <w:rsid w:val="000D093A"/>
    <w:rsid w:val="000D0D57"/>
    <w:rsid w:val="000D237D"/>
    <w:rsid w:val="000D280E"/>
    <w:rsid w:val="000D39CF"/>
    <w:rsid w:val="000D3F0E"/>
    <w:rsid w:val="000D51B7"/>
    <w:rsid w:val="000D63BD"/>
    <w:rsid w:val="000D6AD1"/>
    <w:rsid w:val="000D6B99"/>
    <w:rsid w:val="000D6FE4"/>
    <w:rsid w:val="000D70F0"/>
    <w:rsid w:val="000D73D7"/>
    <w:rsid w:val="000D76B3"/>
    <w:rsid w:val="000D7B41"/>
    <w:rsid w:val="000D7DF4"/>
    <w:rsid w:val="000E0439"/>
    <w:rsid w:val="000E07CD"/>
    <w:rsid w:val="000E1178"/>
    <w:rsid w:val="000E15F7"/>
    <w:rsid w:val="000E1649"/>
    <w:rsid w:val="000E16EB"/>
    <w:rsid w:val="000E1ECC"/>
    <w:rsid w:val="000E2594"/>
    <w:rsid w:val="000E2762"/>
    <w:rsid w:val="000E282D"/>
    <w:rsid w:val="000E2C74"/>
    <w:rsid w:val="000E2DD9"/>
    <w:rsid w:val="000E4F33"/>
    <w:rsid w:val="000E52BB"/>
    <w:rsid w:val="000E57C3"/>
    <w:rsid w:val="000E5C43"/>
    <w:rsid w:val="000E601A"/>
    <w:rsid w:val="000E7026"/>
    <w:rsid w:val="000E70FA"/>
    <w:rsid w:val="000E77C1"/>
    <w:rsid w:val="000E7B6F"/>
    <w:rsid w:val="000F02C8"/>
    <w:rsid w:val="000F1067"/>
    <w:rsid w:val="000F1155"/>
    <w:rsid w:val="000F1A3D"/>
    <w:rsid w:val="000F1AF0"/>
    <w:rsid w:val="000F1E06"/>
    <w:rsid w:val="000F1FA5"/>
    <w:rsid w:val="000F217E"/>
    <w:rsid w:val="000F241B"/>
    <w:rsid w:val="000F2439"/>
    <w:rsid w:val="000F2898"/>
    <w:rsid w:val="000F28FB"/>
    <w:rsid w:val="000F318F"/>
    <w:rsid w:val="000F3498"/>
    <w:rsid w:val="000F39BB"/>
    <w:rsid w:val="000F3AC1"/>
    <w:rsid w:val="000F3D44"/>
    <w:rsid w:val="000F41C5"/>
    <w:rsid w:val="000F5E91"/>
    <w:rsid w:val="000F6288"/>
    <w:rsid w:val="000F629F"/>
    <w:rsid w:val="000F6532"/>
    <w:rsid w:val="000F7200"/>
    <w:rsid w:val="0010156B"/>
    <w:rsid w:val="001026C9"/>
    <w:rsid w:val="00103672"/>
    <w:rsid w:val="00103A2E"/>
    <w:rsid w:val="0010471D"/>
    <w:rsid w:val="00105C05"/>
    <w:rsid w:val="00105C5D"/>
    <w:rsid w:val="00105CBA"/>
    <w:rsid w:val="00105DDE"/>
    <w:rsid w:val="00105F63"/>
    <w:rsid w:val="00107840"/>
    <w:rsid w:val="0010785A"/>
    <w:rsid w:val="00107DFB"/>
    <w:rsid w:val="0011010F"/>
    <w:rsid w:val="00110220"/>
    <w:rsid w:val="001107A1"/>
    <w:rsid w:val="00110963"/>
    <w:rsid w:val="00111748"/>
    <w:rsid w:val="001125D0"/>
    <w:rsid w:val="001126A8"/>
    <w:rsid w:val="001139E3"/>
    <w:rsid w:val="00113B98"/>
    <w:rsid w:val="00113C4E"/>
    <w:rsid w:val="00113E1E"/>
    <w:rsid w:val="00114767"/>
    <w:rsid w:val="00114914"/>
    <w:rsid w:val="00114A3C"/>
    <w:rsid w:val="00114D4D"/>
    <w:rsid w:val="0011596E"/>
    <w:rsid w:val="00115D29"/>
    <w:rsid w:val="00116D41"/>
    <w:rsid w:val="00116ED2"/>
    <w:rsid w:val="00120223"/>
    <w:rsid w:val="0012024C"/>
    <w:rsid w:val="001202B5"/>
    <w:rsid w:val="001209CC"/>
    <w:rsid w:val="0012123B"/>
    <w:rsid w:val="00121C49"/>
    <w:rsid w:val="00121F42"/>
    <w:rsid w:val="001222D6"/>
    <w:rsid w:val="001224D0"/>
    <w:rsid w:val="00122E9E"/>
    <w:rsid w:val="00122EF4"/>
    <w:rsid w:val="0012329F"/>
    <w:rsid w:val="00124DC7"/>
    <w:rsid w:val="00125CD2"/>
    <w:rsid w:val="0013046A"/>
    <w:rsid w:val="00130714"/>
    <w:rsid w:val="00130F9D"/>
    <w:rsid w:val="00131594"/>
    <w:rsid w:val="00131609"/>
    <w:rsid w:val="00132607"/>
    <w:rsid w:val="00132C73"/>
    <w:rsid w:val="00134D77"/>
    <w:rsid w:val="00135049"/>
    <w:rsid w:val="0013506A"/>
    <w:rsid w:val="00135084"/>
    <w:rsid w:val="001354B5"/>
    <w:rsid w:val="00135634"/>
    <w:rsid w:val="00135936"/>
    <w:rsid w:val="00135C2F"/>
    <w:rsid w:val="00135F84"/>
    <w:rsid w:val="00136677"/>
    <w:rsid w:val="001370EF"/>
    <w:rsid w:val="00137EAD"/>
    <w:rsid w:val="001407DC"/>
    <w:rsid w:val="00140884"/>
    <w:rsid w:val="00141428"/>
    <w:rsid w:val="001415B6"/>
    <w:rsid w:val="0014244D"/>
    <w:rsid w:val="00142501"/>
    <w:rsid w:val="00142DEA"/>
    <w:rsid w:val="00143206"/>
    <w:rsid w:val="001432F1"/>
    <w:rsid w:val="0014490D"/>
    <w:rsid w:val="00144935"/>
    <w:rsid w:val="00144D0C"/>
    <w:rsid w:val="001456A3"/>
    <w:rsid w:val="0014784D"/>
    <w:rsid w:val="00150DB1"/>
    <w:rsid w:val="00150DEB"/>
    <w:rsid w:val="0015104C"/>
    <w:rsid w:val="0015143A"/>
    <w:rsid w:val="00151749"/>
    <w:rsid w:val="001520EB"/>
    <w:rsid w:val="00152234"/>
    <w:rsid w:val="001525F5"/>
    <w:rsid w:val="0015269D"/>
    <w:rsid w:val="00152BA9"/>
    <w:rsid w:val="00152C76"/>
    <w:rsid w:val="00153E72"/>
    <w:rsid w:val="001541BD"/>
    <w:rsid w:val="00154273"/>
    <w:rsid w:val="00154DE4"/>
    <w:rsid w:val="00154F24"/>
    <w:rsid w:val="00155198"/>
    <w:rsid w:val="001557F4"/>
    <w:rsid w:val="001574D4"/>
    <w:rsid w:val="0015759F"/>
    <w:rsid w:val="00157D3D"/>
    <w:rsid w:val="00160864"/>
    <w:rsid w:val="0016109B"/>
    <w:rsid w:val="00161A1A"/>
    <w:rsid w:val="00162F08"/>
    <w:rsid w:val="00163546"/>
    <w:rsid w:val="00163CB6"/>
    <w:rsid w:val="00163FCB"/>
    <w:rsid w:val="0016467E"/>
    <w:rsid w:val="001646C8"/>
    <w:rsid w:val="00164B16"/>
    <w:rsid w:val="00164CA1"/>
    <w:rsid w:val="00164CE1"/>
    <w:rsid w:val="00165EED"/>
    <w:rsid w:val="00166870"/>
    <w:rsid w:val="00166F43"/>
    <w:rsid w:val="001670F3"/>
    <w:rsid w:val="00167596"/>
    <w:rsid w:val="001677CE"/>
    <w:rsid w:val="00167F5C"/>
    <w:rsid w:val="00167F68"/>
    <w:rsid w:val="00170046"/>
    <w:rsid w:val="001700BF"/>
    <w:rsid w:val="00170212"/>
    <w:rsid w:val="00170413"/>
    <w:rsid w:val="00170823"/>
    <w:rsid w:val="00172002"/>
    <w:rsid w:val="00173113"/>
    <w:rsid w:val="0017337E"/>
    <w:rsid w:val="00173768"/>
    <w:rsid w:val="0017391B"/>
    <w:rsid w:val="0017397F"/>
    <w:rsid w:val="001739E6"/>
    <w:rsid w:val="001739EF"/>
    <w:rsid w:val="00174611"/>
    <w:rsid w:val="00174B31"/>
    <w:rsid w:val="00174D9D"/>
    <w:rsid w:val="00174FAD"/>
    <w:rsid w:val="001753B8"/>
    <w:rsid w:val="0017651F"/>
    <w:rsid w:val="001801E4"/>
    <w:rsid w:val="00180243"/>
    <w:rsid w:val="00180D08"/>
    <w:rsid w:val="00180DB7"/>
    <w:rsid w:val="001814D8"/>
    <w:rsid w:val="00182973"/>
    <w:rsid w:val="00183604"/>
    <w:rsid w:val="001836C4"/>
    <w:rsid w:val="00183EAB"/>
    <w:rsid w:val="0018606B"/>
    <w:rsid w:val="001862F0"/>
    <w:rsid w:val="00186584"/>
    <w:rsid w:val="0018787F"/>
    <w:rsid w:val="0018793A"/>
    <w:rsid w:val="0019017E"/>
    <w:rsid w:val="00190AEA"/>
    <w:rsid w:val="00190D4D"/>
    <w:rsid w:val="00191A84"/>
    <w:rsid w:val="0019253B"/>
    <w:rsid w:val="00192B50"/>
    <w:rsid w:val="001939B4"/>
    <w:rsid w:val="00195155"/>
    <w:rsid w:val="00195741"/>
    <w:rsid w:val="001957D4"/>
    <w:rsid w:val="0019592B"/>
    <w:rsid w:val="0019602D"/>
    <w:rsid w:val="00196324"/>
    <w:rsid w:val="00196353"/>
    <w:rsid w:val="00196C54"/>
    <w:rsid w:val="001974E5"/>
    <w:rsid w:val="0019791A"/>
    <w:rsid w:val="00197B3E"/>
    <w:rsid w:val="001A0D75"/>
    <w:rsid w:val="001A1501"/>
    <w:rsid w:val="001A20F1"/>
    <w:rsid w:val="001A2972"/>
    <w:rsid w:val="001A2E8A"/>
    <w:rsid w:val="001A360D"/>
    <w:rsid w:val="001A3CF2"/>
    <w:rsid w:val="001A423D"/>
    <w:rsid w:val="001A497B"/>
    <w:rsid w:val="001A4E3C"/>
    <w:rsid w:val="001A528C"/>
    <w:rsid w:val="001A599D"/>
    <w:rsid w:val="001A5A42"/>
    <w:rsid w:val="001A62BC"/>
    <w:rsid w:val="001A6646"/>
    <w:rsid w:val="001A6B59"/>
    <w:rsid w:val="001A7258"/>
    <w:rsid w:val="001A72F0"/>
    <w:rsid w:val="001A7A71"/>
    <w:rsid w:val="001A7A97"/>
    <w:rsid w:val="001B0241"/>
    <w:rsid w:val="001B03A1"/>
    <w:rsid w:val="001B0702"/>
    <w:rsid w:val="001B0E67"/>
    <w:rsid w:val="001B117B"/>
    <w:rsid w:val="001B2427"/>
    <w:rsid w:val="001B4180"/>
    <w:rsid w:val="001B5617"/>
    <w:rsid w:val="001B5791"/>
    <w:rsid w:val="001C01A2"/>
    <w:rsid w:val="001C168B"/>
    <w:rsid w:val="001C1C11"/>
    <w:rsid w:val="001C1E71"/>
    <w:rsid w:val="001C1FA2"/>
    <w:rsid w:val="001C20C2"/>
    <w:rsid w:val="001C2635"/>
    <w:rsid w:val="001C2DC5"/>
    <w:rsid w:val="001C354E"/>
    <w:rsid w:val="001C3692"/>
    <w:rsid w:val="001C36F9"/>
    <w:rsid w:val="001C3FD9"/>
    <w:rsid w:val="001C4148"/>
    <w:rsid w:val="001C4241"/>
    <w:rsid w:val="001C48A3"/>
    <w:rsid w:val="001C4D05"/>
    <w:rsid w:val="001C4EB7"/>
    <w:rsid w:val="001C5057"/>
    <w:rsid w:val="001C517F"/>
    <w:rsid w:val="001C6011"/>
    <w:rsid w:val="001C64DA"/>
    <w:rsid w:val="001C67A0"/>
    <w:rsid w:val="001C7112"/>
    <w:rsid w:val="001C7BFA"/>
    <w:rsid w:val="001D028C"/>
    <w:rsid w:val="001D0921"/>
    <w:rsid w:val="001D14E6"/>
    <w:rsid w:val="001D1A09"/>
    <w:rsid w:val="001D1BFB"/>
    <w:rsid w:val="001D24FA"/>
    <w:rsid w:val="001D4186"/>
    <w:rsid w:val="001D474F"/>
    <w:rsid w:val="001D4DC2"/>
    <w:rsid w:val="001D52D7"/>
    <w:rsid w:val="001D533B"/>
    <w:rsid w:val="001D5486"/>
    <w:rsid w:val="001D60D8"/>
    <w:rsid w:val="001D678F"/>
    <w:rsid w:val="001D6864"/>
    <w:rsid w:val="001D6BE4"/>
    <w:rsid w:val="001D6D3F"/>
    <w:rsid w:val="001D73E1"/>
    <w:rsid w:val="001D749E"/>
    <w:rsid w:val="001E0A76"/>
    <w:rsid w:val="001E0C73"/>
    <w:rsid w:val="001E20B6"/>
    <w:rsid w:val="001E2714"/>
    <w:rsid w:val="001E34DA"/>
    <w:rsid w:val="001E46A6"/>
    <w:rsid w:val="001E5101"/>
    <w:rsid w:val="001E5181"/>
    <w:rsid w:val="001E6226"/>
    <w:rsid w:val="001E6AF4"/>
    <w:rsid w:val="001E7289"/>
    <w:rsid w:val="001F0237"/>
    <w:rsid w:val="001F1611"/>
    <w:rsid w:val="001F17AF"/>
    <w:rsid w:val="001F23DA"/>
    <w:rsid w:val="001F2C11"/>
    <w:rsid w:val="001F2F4B"/>
    <w:rsid w:val="001F3390"/>
    <w:rsid w:val="001F347A"/>
    <w:rsid w:val="001F3861"/>
    <w:rsid w:val="001F3E35"/>
    <w:rsid w:val="001F4123"/>
    <w:rsid w:val="001F5637"/>
    <w:rsid w:val="001F56F2"/>
    <w:rsid w:val="001F6F6F"/>
    <w:rsid w:val="001F73BF"/>
    <w:rsid w:val="001F75F3"/>
    <w:rsid w:val="002002C8"/>
    <w:rsid w:val="00200304"/>
    <w:rsid w:val="00201272"/>
    <w:rsid w:val="00201929"/>
    <w:rsid w:val="00201EBF"/>
    <w:rsid w:val="00202C11"/>
    <w:rsid w:val="00202FBE"/>
    <w:rsid w:val="0020363E"/>
    <w:rsid w:val="00203CD7"/>
    <w:rsid w:val="00203EA2"/>
    <w:rsid w:val="00204592"/>
    <w:rsid w:val="00204E5B"/>
    <w:rsid w:val="0020521A"/>
    <w:rsid w:val="002052A5"/>
    <w:rsid w:val="00206183"/>
    <w:rsid w:val="002062A4"/>
    <w:rsid w:val="0020679A"/>
    <w:rsid w:val="002075DE"/>
    <w:rsid w:val="00207CC7"/>
    <w:rsid w:val="00207EB6"/>
    <w:rsid w:val="00210449"/>
    <w:rsid w:val="00210669"/>
    <w:rsid w:val="002107DB"/>
    <w:rsid w:val="00211343"/>
    <w:rsid w:val="002114C0"/>
    <w:rsid w:val="00211534"/>
    <w:rsid w:val="00211557"/>
    <w:rsid w:val="002116D5"/>
    <w:rsid w:val="00211706"/>
    <w:rsid w:val="00211734"/>
    <w:rsid w:val="002122B4"/>
    <w:rsid w:val="00212DB5"/>
    <w:rsid w:val="00214004"/>
    <w:rsid w:val="00214A02"/>
    <w:rsid w:val="00214A63"/>
    <w:rsid w:val="00214FAA"/>
    <w:rsid w:val="00215030"/>
    <w:rsid w:val="00215AB1"/>
    <w:rsid w:val="00216025"/>
    <w:rsid w:val="0021628D"/>
    <w:rsid w:val="002163B3"/>
    <w:rsid w:val="00216742"/>
    <w:rsid w:val="00216CDD"/>
    <w:rsid w:val="00216F66"/>
    <w:rsid w:val="002170C7"/>
    <w:rsid w:val="002171B6"/>
    <w:rsid w:val="00217CF6"/>
    <w:rsid w:val="002201E1"/>
    <w:rsid w:val="00220249"/>
    <w:rsid w:val="0022054B"/>
    <w:rsid w:val="0022065C"/>
    <w:rsid w:val="00220760"/>
    <w:rsid w:val="00220931"/>
    <w:rsid w:val="00220BAC"/>
    <w:rsid w:val="002223B6"/>
    <w:rsid w:val="00222597"/>
    <w:rsid w:val="00223F9E"/>
    <w:rsid w:val="00224441"/>
    <w:rsid w:val="0022475E"/>
    <w:rsid w:val="00226B00"/>
    <w:rsid w:val="0022782E"/>
    <w:rsid w:val="00230797"/>
    <w:rsid w:val="002315A9"/>
    <w:rsid w:val="00231B50"/>
    <w:rsid w:val="00231C37"/>
    <w:rsid w:val="00231F3B"/>
    <w:rsid w:val="00232804"/>
    <w:rsid w:val="00232D1D"/>
    <w:rsid w:val="00233AF1"/>
    <w:rsid w:val="00234179"/>
    <w:rsid w:val="00234628"/>
    <w:rsid w:val="002348AC"/>
    <w:rsid w:val="00234A7C"/>
    <w:rsid w:val="00235228"/>
    <w:rsid w:val="00235BE9"/>
    <w:rsid w:val="0023647C"/>
    <w:rsid w:val="00236519"/>
    <w:rsid w:val="0023665E"/>
    <w:rsid w:val="002379B8"/>
    <w:rsid w:val="00237B85"/>
    <w:rsid w:val="002400A7"/>
    <w:rsid w:val="00241196"/>
    <w:rsid w:val="0024187F"/>
    <w:rsid w:val="00241892"/>
    <w:rsid w:val="00241C50"/>
    <w:rsid w:val="00242482"/>
    <w:rsid w:val="00243088"/>
    <w:rsid w:val="00243351"/>
    <w:rsid w:val="00243C2D"/>
    <w:rsid w:val="00243DAC"/>
    <w:rsid w:val="00244BE3"/>
    <w:rsid w:val="00245116"/>
    <w:rsid w:val="0024515F"/>
    <w:rsid w:val="00245310"/>
    <w:rsid w:val="00245A45"/>
    <w:rsid w:val="00245D0B"/>
    <w:rsid w:val="00245FA3"/>
    <w:rsid w:val="00246437"/>
    <w:rsid w:val="00246916"/>
    <w:rsid w:val="00246B16"/>
    <w:rsid w:val="00246D2B"/>
    <w:rsid w:val="00247529"/>
    <w:rsid w:val="002478F3"/>
    <w:rsid w:val="00247979"/>
    <w:rsid w:val="002507E3"/>
    <w:rsid w:val="0025083D"/>
    <w:rsid w:val="002513EE"/>
    <w:rsid w:val="00251789"/>
    <w:rsid w:val="00251A41"/>
    <w:rsid w:val="00251BE7"/>
    <w:rsid w:val="002525AD"/>
    <w:rsid w:val="00252E76"/>
    <w:rsid w:val="00253011"/>
    <w:rsid w:val="002534FC"/>
    <w:rsid w:val="002536DB"/>
    <w:rsid w:val="00254345"/>
    <w:rsid w:val="00254D4B"/>
    <w:rsid w:val="002551D2"/>
    <w:rsid w:val="0025559F"/>
    <w:rsid w:val="00255E80"/>
    <w:rsid w:val="00256697"/>
    <w:rsid w:val="002568B6"/>
    <w:rsid w:val="00256B85"/>
    <w:rsid w:val="00257237"/>
    <w:rsid w:val="00257AA2"/>
    <w:rsid w:val="00261441"/>
    <w:rsid w:val="002620B7"/>
    <w:rsid w:val="00262A6F"/>
    <w:rsid w:val="00262FE8"/>
    <w:rsid w:val="002630B1"/>
    <w:rsid w:val="00263544"/>
    <w:rsid w:val="00263E66"/>
    <w:rsid w:val="00264B53"/>
    <w:rsid w:val="00265025"/>
    <w:rsid w:val="00265125"/>
    <w:rsid w:val="002659F9"/>
    <w:rsid w:val="002662CD"/>
    <w:rsid w:val="00266399"/>
    <w:rsid w:val="00266C4C"/>
    <w:rsid w:val="0026706C"/>
    <w:rsid w:val="00267FD0"/>
    <w:rsid w:val="00270060"/>
    <w:rsid w:val="002704B9"/>
    <w:rsid w:val="00271141"/>
    <w:rsid w:val="00271B02"/>
    <w:rsid w:val="00271E04"/>
    <w:rsid w:val="00272782"/>
    <w:rsid w:val="00272AAC"/>
    <w:rsid w:val="00273302"/>
    <w:rsid w:val="002740BC"/>
    <w:rsid w:val="00274502"/>
    <w:rsid w:val="00274633"/>
    <w:rsid w:val="00274B8F"/>
    <w:rsid w:val="00274D99"/>
    <w:rsid w:val="002751D0"/>
    <w:rsid w:val="00276D9D"/>
    <w:rsid w:val="00276E75"/>
    <w:rsid w:val="002774C3"/>
    <w:rsid w:val="00280ACF"/>
    <w:rsid w:val="00281537"/>
    <w:rsid w:val="00281E0B"/>
    <w:rsid w:val="00282C21"/>
    <w:rsid w:val="00282D1B"/>
    <w:rsid w:val="0028306C"/>
    <w:rsid w:val="0028306E"/>
    <w:rsid w:val="00283FDD"/>
    <w:rsid w:val="0028435F"/>
    <w:rsid w:val="00284827"/>
    <w:rsid w:val="00285481"/>
    <w:rsid w:val="00285FE0"/>
    <w:rsid w:val="00285FEA"/>
    <w:rsid w:val="00286157"/>
    <w:rsid w:val="002873D6"/>
    <w:rsid w:val="00290375"/>
    <w:rsid w:val="00292154"/>
    <w:rsid w:val="00292EA3"/>
    <w:rsid w:val="00293AE9"/>
    <w:rsid w:val="00293DB7"/>
    <w:rsid w:val="002948C7"/>
    <w:rsid w:val="00294A8C"/>
    <w:rsid w:val="00296289"/>
    <w:rsid w:val="002964A9"/>
    <w:rsid w:val="00297821"/>
    <w:rsid w:val="002A0228"/>
    <w:rsid w:val="002A060B"/>
    <w:rsid w:val="002A0AE7"/>
    <w:rsid w:val="002A0DBF"/>
    <w:rsid w:val="002A150D"/>
    <w:rsid w:val="002A1568"/>
    <w:rsid w:val="002A18B6"/>
    <w:rsid w:val="002A1A58"/>
    <w:rsid w:val="002A2399"/>
    <w:rsid w:val="002A30E6"/>
    <w:rsid w:val="002A4BFC"/>
    <w:rsid w:val="002A4DF1"/>
    <w:rsid w:val="002A510A"/>
    <w:rsid w:val="002A5203"/>
    <w:rsid w:val="002A56BB"/>
    <w:rsid w:val="002A57ED"/>
    <w:rsid w:val="002A5FDF"/>
    <w:rsid w:val="002A612F"/>
    <w:rsid w:val="002A685C"/>
    <w:rsid w:val="002A6F97"/>
    <w:rsid w:val="002A72D0"/>
    <w:rsid w:val="002A795B"/>
    <w:rsid w:val="002B0184"/>
    <w:rsid w:val="002B0336"/>
    <w:rsid w:val="002B03AC"/>
    <w:rsid w:val="002B04D3"/>
    <w:rsid w:val="002B07D5"/>
    <w:rsid w:val="002B082D"/>
    <w:rsid w:val="002B0DE2"/>
    <w:rsid w:val="002B13A4"/>
    <w:rsid w:val="002B1D50"/>
    <w:rsid w:val="002B1F83"/>
    <w:rsid w:val="002B24A7"/>
    <w:rsid w:val="002B33CF"/>
    <w:rsid w:val="002B3862"/>
    <w:rsid w:val="002B39FC"/>
    <w:rsid w:val="002B49A9"/>
    <w:rsid w:val="002B5024"/>
    <w:rsid w:val="002B54AF"/>
    <w:rsid w:val="002B569E"/>
    <w:rsid w:val="002B578B"/>
    <w:rsid w:val="002B621E"/>
    <w:rsid w:val="002B6261"/>
    <w:rsid w:val="002B66CD"/>
    <w:rsid w:val="002B67BD"/>
    <w:rsid w:val="002B714D"/>
    <w:rsid w:val="002B7199"/>
    <w:rsid w:val="002B7A2F"/>
    <w:rsid w:val="002B7A72"/>
    <w:rsid w:val="002B7C08"/>
    <w:rsid w:val="002B7CCE"/>
    <w:rsid w:val="002C06E9"/>
    <w:rsid w:val="002C1690"/>
    <w:rsid w:val="002C1D45"/>
    <w:rsid w:val="002C2672"/>
    <w:rsid w:val="002C2DB2"/>
    <w:rsid w:val="002C2E68"/>
    <w:rsid w:val="002C306F"/>
    <w:rsid w:val="002C3693"/>
    <w:rsid w:val="002C43CF"/>
    <w:rsid w:val="002C5146"/>
    <w:rsid w:val="002C5B73"/>
    <w:rsid w:val="002C5CE8"/>
    <w:rsid w:val="002C6AE9"/>
    <w:rsid w:val="002C6BA3"/>
    <w:rsid w:val="002C6D8F"/>
    <w:rsid w:val="002C75B4"/>
    <w:rsid w:val="002D0413"/>
    <w:rsid w:val="002D04FC"/>
    <w:rsid w:val="002D0B4B"/>
    <w:rsid w:val="002D11F3"/>
    <w:rsid w:val="002D1C96"/>
    <w:rsid w:val="002D1CB9"/>
    <w:rsid w:val="002D1D39"/>
    <w:rsid w:val="002D1F2B"/>
    <w:rsid w:val="002D237D"/>
    <w:rsid w:val="002D2651"/>
    <w:rsid w:val="002D2734"/>
    <w:rsid w:val="002D3505"/>
    <w:rsid w:val="002D4615"/>
    <w:rsid w:val="002D4C42"/>
    <w:rsid w:val="002D51D0"/>
    <w:rsid w:val="002D5A9B"/>
    <w:rsid w:val="002D5CED"/>
    <w:rsid w:val="002D632C"/>
    <w:rsid w:val="002D6D2B"/>
    <w:rsid w:val="002D6FC3"/>
    <w:rsid w:val="002D7387"/>
    <w:rsid w:val="002D759C"/>
    <w:rsid w:val="002D7626"/>
    <w:rsid w:val="002D7A27"/>
    <w:rsid w:val="002E0769"/>
    <w:rsid w:val="002E077B"/>
    <w:rsid w:val="002E0929"/>
    <w:rsid w:val="002E09BE"/>
    <w:rsid w:val="002E0C7D"/>
    <w:rsid w:val="002E0E94"/>
    <w:rsid w:val="002E1C1F"/>
    <w:rsid w:val="002E280E"/>
    <w:rsid w:val="002E2EC8"/>
    <w:rsid w:val="002E3F64"/>
    <w:rsid w:val="002E4888"/>
    <w:rsid w:val="002E49B0"/>
    <w:rsid w:val="002E52FC"/>
    <w:rsid w:val="002E5C20"/>
    <w:rsid w:val="002E5D9B"/>
    <w:rsid w:val="002E629C"/>
    <w:rsid w:val="002E6A1C"/>
    <w:rsid w:val="002E6C78"/>
    <w:rsid w:val="002E6CBC"/>
    <w:rsid w:val="002E6DE9"/>
    <w:rsid w:val="002E7525"/>
    <w:rsid w:val="002F0484"/>
    <w:rsid w:val="002F0812"/>
    <w:rsid w:val="002F0CBC"/>
    <w:rsid w:val="002F0E25"/>
    <w:rsid w:val="002F122F"/>
    <w:rsid w:val="002F145C"/>
    <w:rsid w:val="002F177A"/>
    <w:rsid w:val="002F20C8"/>
    <w:rsid w:val="002F2E5B"/>
    <w:rsid w:val="002F30BE"/>
    <w:rsid w:val="002F3401"/>
    <w:rsid w:val="002F6115"/>
    <w:rsid w:val="002F62C1"/>
    <w:rsid w:val="002F63C6"/>
    <w:rsid w:val="002F641C"/>
    <w:rsid w:val="002F6826"/>
    <w:rsid w:val="002F6D94"/>
    <w:rsid w:val="002F71C6"/>
    <w:rsid w:val="002F7900"/>
    <w:rsid w:val="002F7D9D"/>
    <w:rsid w:val="003008B3"/>
    <w:rsid w:val="00300EED"/>
    <w:rsid w:val="003015EA"/>
    <w:rsid w:val="00302296"/>
    <w:rsid w:val="003023FB"/>
    <w:rsid w:val="003025E6"/>
    <w:rsid w:val="00302740"/>
    <w:rsid w:val="00302C7D"/>
    <w:rsid w:val="00302D0E"/>
    <w:rsid w:val="003039CF"/>
    <w:rsid w:val="00304B95"/>
    <w:rsid w:val="00304DAF"/>
    <w:rsid w:val="003058B6"/>
    <w:rsid w:val="00305D0A"/>
    <w:rsid w:val="00306118"/>
    <w:rsid w:val="00306C66"/>
    <w:rsid w:val="00306D84"/>
    <w:rsid w:val="00307050"/>
    <w:rsid w:val="00307055"/>
    <w:rsid w:val="00307272"/>
    <w:rsid w:val="003074CC"/>
    <w:rsid w:val="00310376"/>
    <w:rsid w:val="0031110F"/>
    <w:rsid w:val="00311811"/>
    <w:rsid w:val="00313177"/>
    <w:rsid w:val="00313249"/>
    <w:rsid w:val="00313E10"/>
    <w:rsid w:val="00314625"/>
    <w:rsid w:val="00314FD8"/>
    <w:rsid w:val="003150FC"/>
    <w:rsid w:val="003151E8"/>
    <w:rsid w:val="0031555E"/>
    <w:rsid w:val="00315B65"/>
    <w:rsid w:val="00316648"/>
    <w:rsid w:val="00317085"/>
    <w:rsid w:val="0031724E"/>
    <w:rsid w:val="00317418"/>
    <w:rsid w:val="00317F6B"/>
    <w:rsid w:val="00320109"/>
    <w:rsid w:val="0032025D"/>
    <w:rsid w:val="0032037F"/>
    <w:rsid w:val="003207D2"/>
    <w:rsid w:val="00320AAB"/>
    <w:rsid w:val="003215E2"/>
    <w:rsid w:val="003217DF"/>
    <w:rsid w:val="00321C08"/>
    <w:rsid w:val="00322914"/>
    <w:rsid w:val="00322B0F"/>
    <w:rsid w:val="0032392C"/>
    <w:rsid w:val="00323B83"/>
    <w:rsid w:val="003243A3"/>
    <w:rsid w:val="00324468"/>
    <w:rsid w:val="00324DCE"/>
    <w:rsid w:val="0032714F"/>
    <w:rsid w:val="00327C85"/>
    <w:rsid w:val="003302B8"/>
    <w:rsid w:val="003304C4"/>
    <w:rsid w:val="00330776"/>
    <w:rsid w:val="00330E09"/>
    <w:rsid w:val="00332398"/>
    <w:rsid w:val="00332671"/>
    <w:rsid w:val="00332F51"/>
    <w:rsid w:val="003336F3"/>
    <w:rsid w:val="00333B55"/>
    <w:rsid w:val="0033445D"/>
    <w:rsid w:val="00334A32"/>
    <w:rsid w:val="00335286"/>
    <w:rsid w:val="00335E16"/>
    <w:rsid w:val="00336A0A"/>
    <w:rsid w:val="00336B6E"/>
    <w:rsid w:val="0033772D"/>
    <w:rsid w:val="00337D0D"/>
    <w:rsid w:val="00337D35"/>
    <w:rsid w:val="00337D86"/>
    <w:rsid w:val="003400D0"/>
    <w:rsid w:val="00340889"/>
    <w:rsid w:val="003408DA"/>
    <w:rsid w:val="00340DD5"/>
    <w:rsid w:val="00340EE7"/>
    <w:rsid w:val="0034113E"/>
    <w:rsid w:val="00341763"/>
    <w:rsid w:val="00341B61"/>
    <w:rsid w:val="00341B94"/>
    <w:rsid w:val="0034232D"/>
    <w:rsid w:val="003425C6"/>
    <w:rsid w:val="0034301C"/>
    <w:rsid w:val="00343168"/>
    <w:rsid w:val="00343296"/>
    <w:rsid w:val="00343BD2"/>
    <w:rsid w:val="003459B1"/>
    <w:rsid w:val="00345C8C"/>
    <w:rsid w:val="00345C95"/>
    <w:rsid w:val="00346101"/>
    <w:rsid w:val="003466C5"/>
    <w:rsid w:val="00347029"/>
    <w:rsid w:val="0034702C"/>
    <w:rsid w:val="0035004C"/>
    <w:rsid w:val="0035066A"/>
    <w:rsid w:val="00351374"/>
    <w:rsid w:val="00351D7C"/>
    <w:rsid w:val="0035221A"/>
    <w:rsid w:val="00352FA4"/>
    <w:rsid w:val="00353375"/>
    <w:rsid w:val="003541E8"/>
    <w:rsid w:val="003542F4"/>
    <w:rsid w:val="0035431A"/>
    <w:rsid w:val="00354336"/>
    <w:rsid w:val="0035448F"/>
    <w:rsid w:val="003547FD"/>
    <w:rsid w:val="00354F23"/>
    <w:rsid w:val="00354FDF"/>
    <w:rsid w:val="003559EB"/>
    <w:rsid w:val="0035647B"/>
    <w:rsid w:val="00356E58"/>
    <w:rsid w:val="00357553"/>
    <w:rsid w:val="00357802"/>
    <w:rsid w:val="00357AA6"/>
    <w:rsid w:val="00357C6C"/>
    <w:rsid w:val="00357C84"/>
    <w:rsid w:val="00360102"/>
    <w:rsid w:val="003602A3"/>
    <w:rsid w:val="00360684"/>
    <w:rsid w:val="0036099B"/>
    <w:rsid w:val="00361AF5"/>
    <w:rsid w:val="003621B0"/>
    <w:rsid w:val="00362808"/>
    <w:rsid w:val="00362989"/>
    <w:rsid w:val="003638FE"/>
    <w:rsid w:val="00363965"/>
    <w:rsid w:val="003640AA"/>
    <w:rsid w:val="0036444A"/>
    <w:rsid w:val="00364852"/>
    <w:rsid w:val="00365BD3"/>
    <w:rsid w:val="00365C41"/>
    <w:rsid w:val="00366DB1"/>
    <w:rsid w:val="00366F19"/>
    <w:rsid w:val="003671E9"/>
    <w:rsid w:val="00367370"/>
    <w:rsid w:val="003673E9"/>
    <w:rsid w:val="00367501"/>
    <w:rsid w:val="00367E80"/>
    <w:rsid w:val="00371234"/>
    <w:rsid w:val="0037141A"/>
    <w:rsid w:val="00371F45"/>
    <w:rsid w:val="00372ED8"/>
    <w:rsid w:val="00373217"/>
    <w:rsid w:val="00373A11"/>
    <w:rsid w:val="00373D57"/>
    <w:rsid w:val="00374480"/>
    <w:rsid w:val="003747CC"/>
    <w:rsid w:val="00374E66"/>
    <w:rsid w:val="00374F86"/>
    <w:rsid w:val="0037502F"/>
    <w:rsid w:val="0037547C"/>
    <w:rsid w:val="00375DAF"/>
    <w:rsid w:val="0037647D"/>
    <w:rsid w:val="003770A1"/>
    <w:rsid w:val="00377B53"/>
    <w:rsid w:val="0038125C"/>
    <w:rsid w:val="00381378"/>
    <w:rsid w:val="0038232D"/>
    <w:rsid w:val="00382346"/>
    <w:rsid w:val="00382BDC"/>
    <w:rsid w:val="003834BF"/>
    <w:rsid w:val="003837CA"/>
    <w:rsid w:val="00383B8D"/>
    <w:rsid w:val="003840BE"/>
    <w:rsid w:val="003841B3"/>
    <w:rsid w:val="003848D4"/>
    <w:rsid w:val="003853C6"/>
    <w:rsid w:val="0038545D"/>
    <w:rsid w:val="00385B2C"/>
    <w:rsid w:val="0038632E"/>
    <w:rsid w:val="00386362"/>
    <w:rsid w:val="00386659"/>
    <w:rsid w:val="0038696C"/>
    <w:rsid w:val="00386A79"/>
    <w:rsid w:val="00386BBA"/>
    <w:rsid w:val="00387A3B"/>
    <w:rsid w:val="00387B4A"/>
    <w:rsid w:val="00387CD5"/>
    <w:rsid w:val="00387D30"/>
    <w:rsid w:val="00390004"/>
    <w:rsid w:val="003902A0"/>
    <w:rsid w:val="003904A1"/>
    <w:rsid w:val="00390806"/>
    <w:rsid w:val="00390A9B"/>
    <w:rsid w:val="00391373"/>
    <w:rsid w:val="003913DF"/>
    <w:rsid w:val="003918B8"/>
    <w:rsid w:val="0039254E"/>
    <w:rsid w:val="003927C3"/>
    <w:rsid w:val="00392B08"/>
    <w:rsid w:val="00393224"/>
    <w:rsid w:val="003941CC"/>
    <w:rsid w:val="0039423C"/>
    <w:rsid w:val="00394589"/>
    <w:rsid w:val="0039497B"/>
    <w:rsid w:val="00394CBD"/>
    <w:rsid w:val="0039593B"/>
    <w:rsid w:val="00395A69"/>
    <w:rsid w:val="00395CAD"/>
    <w:rsid w:val="00395CD1"/>
    <w:rsid w:val="0039648B"/>
    <w:rsid w:val="00397377"/>
    <w:rsid w:val="0039769E"/>
    <w:rsid w:val="00397752"/>
    <w:rsid w:val="003A0318"/>
    <w:rsid w:val="003A0CA6"/>
    <w:rsid w:val="003A1A2E"/>
    <w:rsid w:val="003A1A9C"/>
    <w:rsid w:val="003A20F7"/>
    <w:rsid w:val="003A2453"/>
    <w:rsid w:val="003A2B28"/>
    <w:rsid w:val="003A2BD6"/>
    <w:rsid w:val="003A3610"/>
    <w:rsid w:val="003A369A"/>
    <w:rsid w:val="003A3B4B"/>
    <w:rsid w:val="003A4200"/>
    <w:rsid w:val="003A44D5"/>
    <w:rsid w:val="003A47D9"/>
    <w:rsid w:val="003A5DD8"/>
    <w:rsid w:val="003A5E6D"/>
    <w:rsid w:val="003A635E"/>
    <w:rsid w:val="003A7264"/>
    <w:rsid w:val="003A773B"/>
    <w:rsid w:val="003A78F7"/>
    <w:rsid w:val="003A799B"/>
    <w:rsid w:val="003A7F17"/>
    <w:rsid w:val="003B0524"/>
    <w:rsid w:val="003B1810"/>
    <w:rsid w:val="003B30AB"/>
    <w:rsid w:val="003B4AAF"/>
    <w:rsid w:val="003B55C3"/>
    <w:rsid w:val="003B5840"/>
    <w:rsid w:val="003B6D1A"/>
    <w:rsid w:val="003B77B7"/>
    <w:rsid w:val="003B79DB"/>
    <w:rsid w:val="003C0310"/>
    <w:rsid w:val="003C053B"/>
    <w:rsid w:val="003C0E8D"/>
    <w:rsid w:val="003C119C"/>
    <w:rsid w:val="003C1313"/>
    <w:rsid w:val="003C1460"/>
    <w:rsid w:val="003C16EA"/>
    <w:rsid w:val="003C212D"/>
    <w:rsid w:val="003C259C"/>
    <w:rsid w:val="003C2A1F"/>
    <w:rsid w:val="003C3656"/>
    <w:rsid w:val="003C36E6"/>
    <w:rsid w:val="003C370A"/>
    <w:rsid w:val="003C4D26"/>
    <w:rsid w:val="003C59C5"/>
    <w:rsid w:val="003C5C15"/>
    <w:rsid w:val="003C5E03"/>
    <w:rsid w:val="003C685D"/>
    <w:rsid w:val="003C6911"/>
    <w:rsid w:val="003C72A2"/>
    <w:rsid w:val="003C748A"/>
    <w:rsid w:val="003C7608"/>
    <w:rsid w:val="003C7C8B"/>
    <w:rsid w:val="003C7EDC"/>
    <w:rsid w:val="003D071A"/>
    <w:rsid w:val="003D0C80"/>
    <w:rsid w:val="003D0C83"/>
    <w:rsid w:val="003D127E"/>
    <w:rsid w:val="003D1597"/>
    <w:rsid w:val="003D2063"/>
    <w:rsid w:val="003D21F4"/>
    <w:rsid w:val="003D27D8"/>
    <w:rsid w:val="003D2B2B"/>
    <w:rsid w:val="003D3566"/>
    <w:rsid w:val="003D47E7"/>
    <w:rsid w:val="003D4B8B"/>
    <w:rsid w:val="003D4C27"/>
    <w:rsid w:val="003D52D3"/>
    <w:rsid w:val="003D789D"/>
    <w:rsid w:val="003E0A1B"/>
    <w:rsid w:val="003E0C70"/>
    <w:rsid w:val="003E1B7A"/>
    <w:rsid w:val="003E1F44"/>
    <w:rsid w:val="003E26BF"/>
    <w:rsid w:val="003E2DBB"/>
    <w:rsid w:val="003E343F"/>
    <w:rsid w:val="003E6131"/>
    <w:rsid w:val="003E6305"/>
    <w:rsid w:val="003E6613"/>
    <w:rsid w:val="003E6845"/>
    <w:rsid w:val="003E7994"/>
    <w:rsid w:val="003E7EA2"/>
    <w:rsid w:val="003F1538"/>
    <w:rsid w:val="003F1FDA"/>
    <w:rsid w:val="003F216C"/>
    <w:rsid w:val="003F23B1"/>
    <w:rsid w:val="003F243B"/>
    <w:rsid w:val="003F2AC5"/>
    <w:rsid w:val="003F2B54"/>
    <w:rsid w:val="003F363D"/>
    <w:rsid w:val="003F3CBB"/>
    <w:rsid w:val="003F3F36"/>
    <w:rsid w:val="003F52F8"/>
    <w:rsid w:val="003F58CA"/>
    <w:rsid w:val="003F5DD6"/>
    <w:rsid w:val="003F735C"/>
    <w:rsid w:val="003F7D8C"/>
    <w:rsid w:val="00400095"/>
    <w:rsid w:val="004003FA"/>
    <w:rsid w:val="00400BEF"/>
    <w:rsid w:val="0040118E"/>
    <w:rsid w:val="00401A21"/>
    <w:rsid w:val="00401B58"/>
    <w:rsid w:val="00401ED1"/>
    <w:rsid w:val="00403D60"/>
    <w:rsid w:val="00403ECD"/>
    <w:rsid w:val="004044DE"/>
    <w:rsid w:val="004052D8"/>
    <w:rsid w:val="0040575F"/>
    <w:rsid w:val="004057FD"/>
    <w:rsid w:val="0040593B"/>
    <w:rsid w:val="00405A0F"/>
    <w:rsid w:val="00407E66"/>
    <w:rsid w:val="004105B4"/>
    <w:rsid w:val="004107FD"/>
    <w:rsid w:val="00410946"/>
    <w:rsid w:val="00411994"/>
    <w:rsid w:val="00412524"/>
    <w:rsid w:val="0041259B"/>
    <w:rsid w:val="00412B19"/>
    <w:rsid w:val="00412B31"/>
    <w:rsid w:val="00412E98"/>
    <w:rsid w:val="00413307"/>
    <w:rsid w:val="004152CA"/>
    <w:rsid w:val="00416075"/>
    <w:rsid w:val="004164A5"/>
    <w:rsid w:val="00416D6E"/>
    <w:rsid w:val="00416DA4"/>
    <w:rsid w:val="0041762C"/>
    <w:rsid w:val="00417A26"/>
    <w:rsid w:val="00417EF3"/>
    <w:rsid w:val="004204D7"/>
    <w:rsid w:val="00420B9F"/>
    <w:rsid w:val="00420E52"/>
    <w:rsid w:val="004210CC"/>
    <w:rsid w:val="00421B8E"/>
    <w:rsid w:val="00422364"/>
    <w:rsid w:val="00423871"/>
    <w:rsid w:val="00423915"/>
    <w:rsid w:val="00423B3B"/>
    <w:rsid w:val="00424202"/>
    <w:rsid w:val="004243D2"/>
    <w:rsid w:val="00424AAA"/>
    <w:rsid w:val="00424F15"/>
    <w:rsid w:val="00424F1F"/>
    <w:rsid w:val="00424F57"/>
    <w:rsid w:val="0042501A"/>
    <w:rsid w:val="004250A4"/>
    <w:rsid w:val="0042521D"/>
    <w:rsid w:val="004252F8"/>
    <w:rsid w:val="004255EB"/>
    <w:rsid w:val="0042571C"/>
    <w:rsid w:val="00425946"/>
    <w:rsid w:val="00425C2C"/>
    <w:rsid w:val="00427C56"/>
    <w:rsid w:val="00427F94"/>
    <w:rsid w:val="0043047D"/>
    <w:rsid w:val="00431583"/>
    <w:rsid w:val="004315C8"/>
    <w:rsid w:val="00431C36"/>
    <w:rsid w:val="00431D51"/>
    <w:rsid w:val="004320EA"/>
    <w:rsid w:val="004322C8"/>
    <w:rsid w:val="004323F1"/>
    <w:rsid w:val="00432F28"/>
    <w:rsid w:val="004331E1"/>
    <w:rsid w:val="00433F00"/>
    <w:rsid w:val="00434A51"/>
    <w:rsid w:val="00434F68"/>
    <w:rsid w:val="00435864"/>
    <w:rsid w:val="00436018"/>
    <w:rsid w:val="0043646E"/>
    <w:rsid w:val="00436713"/>
    <w:rsid w:val="00437B64"/>
    <w:rsid w:val="00437C8C"/>
    <w:rsid w:val="00440315"/>
    <w:rsid w:val="00440334"/>
    <w:rsid w:val="004405A5"/>
    <w:rsid w:val="00440AF0"/>
    <w:rsid w:val="004417AB"/>
    <w:rsid w:val="004418B0"/>
    <w:rsid w:val="00441D16"/>
    <w:rsid w:val="00441F3A"/>
    <w:rsid w:val="004420A2"/>
    <w:rsid w:val="00442668"/>
    <w:rsid w:val="0044277A"/>
    <w:rsid w:val="004427E4"/>
    <w:rsid w:val="004428BE"/>
    <w:rsid w:val="0044310E"/>
    <w:rsid w:val="00443AC4"/>
    <w:rsid w:val="00443C0E"/>
    <w:rsid w:val="00443D40"/>
    <w:rsid w:val="00443F3B"/>
    <w:rsid w:val="00444397"/>
    <w:rsid w:val="00444491"/>
    <w:rsid w:val="00444828"/>
    <w:rsid w:val="00444E4C"/>
    <w:rsid w:val="0044506E"/>
    <w:rsid w:val="00446C42"/>
    <w:rsid w:val="00446FFC"/>
    <w:rsid w:val="00447AF6"/>
    <w:rsid w:val="004503DF"/>
    <w:rsid w:val="00450550"/>
    <w:rsid w:val="004507A5"/>
    <w:rsid w:val="00450834"/>
    <w:rsid w:val="004518AE"/>
    <w:rsid w:val="00452064"/>
    <w:rsid w:val="004528FE"/>
    <w:rsid w:val="0045415C"/>
    <w:rsid w:val="0045445D"/>
    <w:rsid w:val="00454970"/>
    <w:rsid w:val="00454E36"/>
    <w:rsid w:val="0045554E"/>
    <w:rsid w:val="00455BA5"/>
    <w:rsid w:val="004564A5"/>
    <w:rsid w:val="00456D1A"/>
    <w:rsid w:val="00456ED3"/>
    <w:rsid w:val="004577D6"/>
    <w:rsid w:val="00457C40"/>
    <w:rsid w:val="00460385"/>
    <w:rsid w:val="0046070A"/>
    <w:rsid w:val="00460A82"/>
    <w:rsid w:val="00460D80"/>
    <w:rsid w:val="00461666"/>
    <w:rsid w:val="004622A7"/>
    <w:rsid w:val="00463E44"/>
    <w:rsid w:val="00463EA0"/>
    <w:rsid w:val="00463ED0"/>
    <w:rsid w:val="00464559"/>
    <w:rsid w:val="00464D28"/>
    <w:rsid w:val="00464FF2"/>
    <w:rsid w:val="004651B1"/>
    <w:rsid w:val="004656BD"/>
    <w:rsid w:val="004669BB"/>
    <w:rsid w:val="00467599"/>
    <w:rsid w:val="00467C14"/>
    <w:rsid w:val="00470984"/>
    <w:rsid w:val="00470C6D"/>
    <w:rsid w:val="00470C99"/>
    <w:rsid w:val="00470FFF"/>
    <w:rsid w:val="00471624"/>
    <w:rsid w:val="004723CA"/>
    <w:rsid w:val="00472533"/>
    <w:rsid w:val="00473284"/>
    <w:rsid w:val="004734A0"/>
    <w:rsid w:val="0047371E"/>
    <w:rsid w:val="004738BB"/>
    <w:rsid w:val="00474003"/>
    <w:rsid w:val="00474039"/>
    <w:rsid w:val="00474E1B"/>
    <w:rsid w:val="00474E40"/>
    <w:rsid w:val="00474EF6"/>
    <w:rsid w:val="004752C1"/>
    <w:rsid w:val="004753DD"/>
    <w:rsid w:val="004754D2"/>
    <w:rsid w:val="00475F39"/>
    <w:rsid w:val="00476682"/>
    <w:rsid w:val="00476B8F"/>
    <w:rsid w:val="00476D4C"/>
    <w:rsid w:val="00476E26"/>
    <w:rsid w:val="00476EB1"/>
    <w:rsid w:val="004774C3"/>
    <w:rsid w:val="00480789"/>
    <w:rsid w:val="00480C16"/>
    <w:rsid w:val="0048109F"/>
    <w:rsid w:val="00481A9D"/>
    <w:rsid w:val="00481E84"/>
    <w:rsid w:val="004822BD"/>
    <w:rsid w:val="0048263D"/>
    <w:rsid w:val="004841DA"/>
    <w:rsid w:val="00484B5E"/>
    <w:rsid w:val="00486585"/>
    <w:rsid w:val="004872C0"/>
    <w:rsid w:val="00487A8E"/>
    <w:rsid w:val="00490101"/>
    <w:rsid w:val="004906F5"/>
    <w:rsid w:val="004917DB"/>
    <w:rsid w:val="004918F8"/>
    <w:rsid w:val="00491A43"/>
    <w:rsid w:val="00491A7D"/>
    <w:rsid w:val="00491C1F"/>
    <w:rsid w:val="00491E18"/>
    <w:rsid w:val="00495837"/>
    <w:rsid w:val="00495992"/>
    <w:rsid w:val="00495FF4"/>
    <w:rsid w:val="0049606A"/>
    <w:rsid w:val="00496187"/>
    <w:rsid w:val="00496296"/>
    <w:rsid w:val="004963E8"/>
    <w:rsid w:val="004A023E"/>
    <w:rsid w:val="004A0459"/>
    <w:rsid w:val="004A05BC"/>
    <w:rsid w:val="004A0FAC"/>
    <w:rsid w:val="004A15B6"/>
    <w:rsid w:val="004A1BBB"/>
    <w:rsid w:val="004A1E72"/>
    <w:rsid w:val="004A1F37"/>
    <w:rsid w:val="004A205E"/>
    <w:rsid w:val="004A2133"/>
    <w:rsid w:val="004A2A29"/>
    <w:rsid w:val="004A2C4D"/>
    <w:rsid w:val="004A34FA"/>
    <w:rsid w:val="004A3DE6"/>
    <w:rsid w:val="004A462C"/>
    <w:rsid w:val="004A566E"/>
    <w:rsid w:val="004A6288"/>
    <w:rsid w:val="004A6573"/>
    <w:rsid w:val="004A65E8"/>
    <w:rsid w:val="004B0CA8"/>
    <w:rsid w:val="004B105E"/>
    <w:rsid w:val="004B115D"/>
    <w:rsid w:val="004B135D"/>
    <w:rsid w:val="004B2168"/>
    <w:rsid w:val="004B2A07"/>
    <w:rsid w:val="004B376B"/>
    <w:rsid w:val="004B3835"/>
    <w:rsid w:val="004B3CD2"/>
    <w:rsid w:val="004B3FF9"/>
    <w:rsid w:val="004B4965"/>
    <w:rsid w:val="004B4AF9"/>
    <w:rsid w:val="004B4B80"/>
    <w:rsid w:val="004B4FAC"/>
    <w:rsid w:val="004B53B7"/>
    <w:rsid w:val="004B5575"/>
    <w:rsid w:val="004B55DE"/>
    <w:rsid w:val="004B571E"/>
    <w:rsid w:val="004B5758"/>
    <w:rsid w:val="004B596B"/>
    <w:rsid w:val="004B5D07"/>
    <w:rsid w:val="004B6823"/>
    <w:rsid w:val="004B6CEB"/>
    <w:rsid w:val="004B72E5"/>
    <w:rsid w:val="004B7450"/>
    <w:rsid w:val="004B76C4"/>
    <w:rsid w:val="004C08CD"/>
    <w:rsid w:val="004C0B77"/>
    <w:rsid w:val="004C1351"/>
    <w:rsid w:val="004C17BD"/>
    <w:rsid w:val="004C1BE1"/>
    <w:rsid w:val="004C220A"/>
    <w:rsid w:val="004C31BD"/>
    <w:rsid w:val="004C3ADD"/>
    <w:rsid w:val="004C40A0"/>
    <w:rsid w:val="004C4139"/>
    <w:rsid w:val="004C41B0"/>
    <w:rsid w:val="004C43CD"/>
    <w:rsid w:val="004C4482"/>
    <w:rsid w:val="004C546F"/>
    <w:rsid w:val="004C58E4"/>
    <w:rsid w:val="004C5EC1"/>
    <w:rsid w:val="004C628F"/>
    <w:rsid w:val="004C6325"/>
    <w:rsid w:val="004C67E3"/>
    <w:rsid w:val="004C6AD3"/>
    <w:rsid w:val="004C704A"/>
    <w:rsid w:val="004C7C9B"/>
    <w:rsid w:val="004C7E78"/>
    <w:rsid w:val="004D0229"/>
    <w:rsid w:val="004D07A7"/>
    <w:rsid w:val="004D0AA6"/>
    <w:rsid w:val="004D0C34"/>
    <w:rsid w:val="004D388D"/>
    <w:rsid w:val="004D3AB1"/>
    <w:rsid w:val="004D4D35"/>
    <w:rsid w:val="004D72B1"/>
    <w:rsid w:val="004D7836"/>
    <w:rsid w:val="004D7DB3"/>
    <w:rsid w:val="004E017F"/>
    <w:rsid w:val="004E04F5"/>
    <w:rsid w:val="004E0FF9"/>
    <w:rsid w:val="004E1D57"/>
    <w:rsid w:val="004E27F8"/>
    <w:rsid w:val="004E3175"/>
    <w:rsid w:val="004E32FF"/>
    <w:rsid w:val="004E3DAA"/>
    <w:rsid w:val="004E3F8B"/>
    <w:rsid w:val="004E487F"/>
    <w:rsid w:val="004E4CEF"/>
    <w:rsid w:val="004E5224"/>
    <w:rsid w:val="004E581E"/>
    <w:rsid w:val="004E59CE"/>
    <w:rsid w:val="004E66D0"/>
    <w:rsid w:val="004E6874"/>
    <w:rsid w:val="004E6A7C"/>
    <w:rsid w:val="004E6AE2"/>
    <w:rsid w:val="004E6E56"/>
    <w:rsid w:val="004E75AB"/>
    <w:rsid w:val="004E7D86"/>
    <w:rsid w:val="004F19BE"/>
    <w:rsid w:val="004F245E"/>
    <w:rsid w:val="004F2C7D"/>
    <w:rsid w:val="004F2FE0"/>
    <w:rsid w:val="004F3F80"/>
    <w:rsid w:val="004F40CD"/>
    <w:rsid w:val="004F4891"/>
    <w:rsid w:val="004F54BD"/>
    <w:rsid w:val="004F5AB7"/>
    <w:rsid w:val="004F688F"/>
    <w:rsid w:val="004F68E1"/>
    <w:rsid w:val="004F737A"/>
    <w:rsid w:val="004F738D"/>
    <w:rsid w:val="004F7900"/>
    <w:rsid w:val="004F7DCD"/>
    <w:rsid w:val="004F7EB8"/>
    <w:rsid w:val="00501200"/>
    <w:rsid w:val="0050160F"/>
    <w:rsid w:val="00501869"/>
    <w:rsid w:val="00501B0C"/>
    <w:rsid w:val="0050288B"/>
    <w:rsid w:val="00502F22"/>
    <w:rsid w:val="00504433"/>
    <w:rsid w:val="00504687"/>
    <w:rsid w:val="00504E99"/>
    <w:rsid w:val="00504F45"/>
    <w:rsid w:val="005054FD"/>
    <w:rsid w:val="00505561"/>
    <w:rsid w:val="0050599D"/>
    <w:rsid w:val="00505E28"/>
    <w:rsid w:val="0050627F"/>
    <w:rsid w:val="005065FE"/>
    <w:rsid w:val="0050728C"/>
    <w:rsid w:val="005072FD"/>
    <w:rsid w:val="00507306"/>
    <w:rsid w:val="0051072A"/>
    <w:rsid w:val="00511DAD"/>
    <w:rsid w:val="00511DB8"/>
    <w:rsid w:val="00512864"/>
    <w:rsid w:val="00512B8C"/>
    <w:rsid w:val="005130CE"/>
    <w:rsid w:val="00513126"/>
    <w:rsid w:val="00514A97"/>
    <w:rsid w:val="0051609F"/>
    <w:rsid w:val="00516520"/>
    <w:rsid w:val="00516A1E"/>
    <w:rsid w:val="005170D2"/>
    <w:rsid w:val="00517556"/>
    <w:rsid w:val="00520D6D"/>
    <w:rsid w:val="005212DE"/>
    <w:rsid w:val="005216FF"/>
    <w:rsid w:val="0052194A"/>
    <w:rsid w:val="00523FBC"/>
    <w:rsid w:val="00524847"/>
    <w:rsid w:val="00524D50"/>
    <w:rsid w:val="005250C3"/>
    <w:rsid w:val="005261CB"/>
    <w:rsid w:val="005269C4"/>
    <w:rsid w:val="00527FE5"/>
    <w:rsid w:val="00530B58"/>
    <w:rsid w:val="00531902"/>
    <w:rsid w:val="005322BE"/>
    <w:rsid w:val="005329F6"/>
    <w:rsid w:val="00533170"/>
    <w:rsid w:val="005336BA"/>
    <w:rsid w:val="0053410A"/>
    <w:rsid w:val="00534779"/>
    <w:rsid w:val="00534E72"/>
    <w:rsid w:val="00535307"/>
    <w:rsid w:val="005356FE"/>
    <w:rsid w:val="00535760"/>
    <w:rsid w:val="0053589F"/>
    <w:rsid w:val="00535A85"/>
    <w:rsid w:val="00535DB2"/>
    <w:rsid w:val="005367D2"/>
    <w:rsid w:val="005369A4"/>
    <w:rsid w:val="00536B08"/>
    <w:rsid w:val="00537033"/>
    <w:rsid w:val="005371CD"/>
    <w:rsid w:val="00537B76"/>
    <w:rsid w:val="005406BF"/>
    <w:rsid w:val="005409C6"/>
    <w:rsid w:val="00540FE9"/>
    <w:rsid w:val="005419D7"/>
    <w:rsid w:val="00542156"/>
    <w:rsid w:val="005421B2"/>
    <w:rsid w:val="0054224F"/>
    <w:rsid w:val="00542D3C"/>
    <w:rsid w:val="00543019"/>
    <w:rsid w:val="00543741"/>
    <w:rsid w:val="0054511D"/>
    <w:rsid w:val="0054590A"/>
    <w:rsid w:val="00545D7E"/>
    <w:rsid w:val="00545E78"/>
    <w:rsid w:val="005464C2"/>
    <w:rsid w:val="00546922"/>
    <w:rsid w:val="005474F8"/>
    <w:rsid w:val="0054754A"/>
    <w:rsid w:val="00547C2F"/>
    <w:rsid w:val="00547F0B"/>
    <w:rsid w:val="005506DE"/>
    <w:rsid w:val="0055075E"/>
    <w:rsid w:val="00550CEF"/>
    <w:rsid w:val="00550D82"/>
    <w:rsid w:val="005510BB"/>
    <w:rsid w:val="005513C3"/>
    <w:rsid w:val="00552D19"/>
    <w:rsid w:val="00553A27"/>
    <w:rsid w:val="00554844"/>
    <w:rsid w:val="00554EAE"/>
    <w:rsid w:val="0055544C"/>
    <w:rsid w:val="0055629B"/>
    <w:rsid w:val="005562E4"/>
    <w:rsid w:val="00556C99"/>
    <w:rsid w:val="00556E71"/>
    <w:rsid w:val="0055743A"/>
    <w:rsid w:val="005575F4"/>
    <w:rsid w:val="00557CFD"/>
    <w:rsid w:val="00557F29"/>
    <w:rsid w:val="005601BA"/>
    <w:rsid w:val="00560E70"/>
    <w:rsid w:val="005614B8"/>
    <w:rsid w:val="005619EC"/>
    <w:rsid w:val="005619F4"/>
    <w:rsid w:val="00562FC9"/>
    <w:rsid w:val="00563A23"/>
    <w:rsid w:val="00563BC1"/>
    <w:rsid w:val="005643DD"/>
    <w:rsid w:val="005654DA"/>
    <w:rsid w:val="0056551D"/>
    <w:rsid w:val="00565575"/>
    <w:rsid w:val="0056624D"/>
    <w:rsid w:val="0056670F"/>
    <w:rsid w:val="00567B6C"/>
    <w:rsid w:val="00570878"/>
    <w:rsid w:val="00570982"/>
    <w:rsid w:val="00571528"/>
    <w:rsid w:val="005718C6"/>
    <w:rsid w:val="00571985"/>
    <w:rsid w:val="0057239E"/>
    <w:rsid w:val="00572D96"/>
    <w:rsid w:val="005731E7"/>
    <w:rsid w:val="00573F26"/>
    <w:rsid w:val="0057591A"/>
    <w:rsid w:val="0057645C"/>
    <w:rsid w:val="00576C35"/>
    <w:rsid w:val="0057773C"/>
    <w:rsid w:val="005801A6"/>
    <w:rsid w:val="005802C3"/>
    <w:rsid w:val="005811DB"/>
    <w:rsid w:val="005816B2"/>
    <w:rsid w:val="00581C7D"/>
    <w:rsid w:val="00581F58"/>
    <w:rsid w:val="00581FD3"/>
    <w:rsid w:val="005827D8"/>
    <w:rsid w:val="00582F85"/>
    <w:rsid w:val="00583209"/>
    <w:rsid w:val="005833B3"/>
    <w:rsid w:val="00583601"/>
    <w:rsid w:val="00583BB6"/>
    <w:rsid w:val="005849FB"/>
    <w:rsid w:val="00584AD3"/>
    <w:rsid w:val="005853B0"/>
    <w:rsid w:val="00585897"/>
    <w:rsid w:val="005863B1"/>
    <w:rsid w:val="005869CA"/>
    <w:rsid w:val="00586B7D"/>
    <w:rsid w:val="00586C03"/>
    <w:rsid w:val="00587ECE"/>
    <w:rsid w:val="005901E8"/>
    <w:rsid w:val="00590715"/>
    <w:rsid w:val="0059096B"/>
    <w:rsid w:val="00592573"/>
    <w:rsid w:val="00593707"/>
    <w:rsid w:val="0059397F"/>
    <w:rsid w:val="00595EAD"/>
    <w:rsid w:val="00595F07"/>
    <w:rsid w:val="0059679B"/>
    <w:rsid w:val="0059707A"/>
    <w:rsid w:val="00597478"/>
    <w:rsid w:val="0059768E"/>
    <w:rsid w:val="00597E51"/>
    <w:rsid w:val="00597F6E"/>
    <w:rsid w:val="005A181F"/>
    <w:rsid w:val="005A1C02"/>
    <w:rsid w:val="005A27E0"/>
    <w:rsid w:val="005A2EF4"/>
    <w:rsid w:val="005A353B"/>
    <w:rsid w:val="005A35B0"/>
    <w:rsid w:val="005A3674"/>
    <w:rsid w:val="005A39CC"/>
    <w:rsid w:val="005A3BD8"/>
    <w:rsid w:val="005A4059"/>
    <w:rsid w:val="005A4880"/>
    <w:rsid w:val="005A59D4"/>
    <w:rsid w:val="005A6A4E"/>
    <w:rsid w:val="005A70FD"/>
    <w:rsid w:val="005A7149"/>
    <w:rsid w:val="005A7602"/>
    <w:rsid w:val="005A7CD6"/>
    <w:rsid w:val="005B0640"/>
    <w:rsid w:val="005B0A4E"/>
    <w:rsid w:val="005B1056"/>
    <w:rsid w:val="005B106C"/>
    <w:rsid w:val="005B1C6C"/>
    <w:rsid w:val="005B2295"/>
    <w:rsid w:val="005B38BC"/>
    <w:rsid w:val="005B4314"/>
    <w:rsid w:val="005B48CA"/>
    <w:rsid w:val="005B4D12"/>
    <w:rsid w:val="005B5449"/>
    <w:rsid w:val="005B6999"/>
    <w:rsid w:val="005B6CF7"/>
    <w:rsid w:val="005B7AC2"/>
    <w:rsid w:val="005B7AD0"/>
    <w:rsid w:val="005B7AEA"/>
    <w:rsid w:val="005B7B06"/>
    <w:rsid w:val="005C0033"/>
    <w:rsid w:val="005C00CE"/>
    <w:rsid w:val="005C04F6"/>
    <w:rsid w:val="005C1943"/>
    <w:rsid w:val="005C276E"/>
    <w:rsid w:val="005C2AAA"/>
    <w:rsid w:val="005C32D5"/>
    <w:rsid w:val="005C36F6"/>
    <w:rsid w:val="005C3A87"/>
    <w:rsid w:val="005C4294"/>
    <w:rsid w:val="005C46AA"/>
    <w:rsid w:val="005C5EA2"/>
    <w:rsid w:val="005C5FA2"/>
    <w:rsid w:val="005C65BE"/>
    <w:rsid w:val="005C6F33"/>
    <w:rsid w:val="005C7395"/>
    <w:rsid w:val="005C7FF5"/>
    <w:rsid w:val="005D02DE"/>
    <w:rsid w:val="005D02F2"/>
    <w:rsid w:val="005D0AC4"/>
    <w:rsid w:val="005D103B"/>
    <w:rsid w:val="005D17EC"/>
    <w:rsid w:val="005D1DEC"/>
    <w:rsid w:val="005D218B"/>
    <w:rsid w:val="005D2AED"/>
    <w:rsid w:val="005D478E"/>
    <w:rsid w:val="005D4A27"/>
    <w:rsid w:val="005D5A86"/>
    <w:rsid w:val="005D5F08"/>
    <w:rsid w:val="005D628F"/>
    <w:rsid w:val="005D6368"/>
    <w:rsid w:val="005D6719"/>
    <w:rsid w:val="005D6B4C"/>
    <w:rsid w:val="005D6F78"/>
    <w:rsid w:val="005D7F02"/>
    <w:rsid w:val="005E0C0C"/>
    <w:rsid w:val="005E0D4A"/>
    <w:rsid w:val="005E191A"/>
    <w:rsid w:val="005E1C69"/>
    <w:rsid w:val="005E2563"/>
    <w:rsid w:val="005E2731"/>
    <w:rsid w:val="005E279C"/>
    <w:rsid w:val="005E2A66"/>
    <w:rsid w:val="005E3FFB"/>
    <w:rsid w:val="005E4033"/>
    <w:rsid w:val="005E40AB"/>
    <w:rsid w:val="005E7103"/>
    <w:rsid w:val="005E7259"/>
    <w:rsid w:val="005F0367"/>
    <w:rsid w:val="005F049A"/>
    <w:rsid w:val="005F0EAE"/>
    <w:rsid w:val="005F10E9"/>
    <w:rsid w:val="005F2072"/>
    <w:rsid w:val="005F28B9"/>
    <w:rsid w:val="005F2996"/>
    <w:rsid w:val="005F299F"/>
    <w:rsid w:val="005F2D70"/>
    <w:rsid w:val="005F3BEC"/>
    <w:rsid w:val="005F3CA8"/>
    <w:rsid w:val="005F434E"/>
    <w:rsid w:val="005F437A"/>
    <w:rsid w:val="005F473C"/>
    <w:rsid w:val="005F47C6"/>
    <w:rsid w:val="005F48C3"/>
    <w:rsid w:val="005F49D0"/>
    <w:rsid w:val="005F4A13"/>
    <w:rsid w:val="005F5CDA"/>
    <w:rsid w:val="005F615F"/>
    <w:rsid w:val="005F6D05"/>
    <w:rsid w:val="005F6F6A"/>
    <w:rsid w:val="005F7130"/>
    <w:rsid w:val="005F75F3"/>
    <w:rsid w:val="005F7ECF"/>
    <w:rsid w:val="00600235"/>
    <w:rsid w:val="00600CB9"/>
    <w:rsid w:val="00600E2B"/>
    <w:rsid w:val="00601497"/>
    <w:rsid w:val="00601B0F"/>
    <w:rsid w:val="00601CFF"/>
    <w:rsid w:val="00602037"/>
    <w:rsid w:val="00602444"/>
    <w:rsid w:val="00602474"/>
    <w:rsid w:val="00602AB6"/>
    <w:rsid w:val="006035A7"/>
    <w:rsid w:val="00603C6C"/>
    <w:rsid w:val="006042E4"/>
    <w:rsid w:val="00605186"/>
    <w:rsid w:val="0060552D"/>
    <w:rsid w:val="00606021"/>
    <w:rsid w:val="0060762D"/>
    <w:rsid w:val="00607861"/>
    <w:rsid w:val="00607B18"/>
    <w:rsid w:val="0061078F"/>
    <w:rsid w:val="00610DCD"/>
    <w:rsid w:val="006110E7"/>
    <w:rsid w:val="0061167C"/>
    <w:rsid w:val="00612509"/>
    <w:rsid w:val="0061338C"/>
    <w:rsid w:val="00614CDB"/>
    <w:rsid w:val="00615036"/>
    <w:rsid w:val="006151B1"/>
    <w:rsid w:val="00615202"/>
    <w:rsid w:val="00615743"/>
    <w:rsid w:val="00615762"/>
    <w:rsid w:val="006160C6"/>
    <w:rsid w:val="00616C1A"/>
    <w:rsid w:val="0061719F"/>
    <w:rsid w:val="0061799B"/>
    <w:rsid w:val="00617A5A"/>
    <w:rsid w:val="006202DC"/>
    <w:rsid w:val="00620EA1"/>
    <w:rsid w:val="00621843"/>
    <w:rsid w:val="00622198"/>
    <w:rsid w:val="00622335"/>
    <w:rsid w:val="006229DA"/>
    <w:rsid w:val="00622AFC"/>
    <w:rsid w:val="00622C81"/>
    <w:rsid w:val="0062338B"/>
    <w:rsid w:val="006240F7"/>
    <w:rsid w:val="006242B8"/>
    <w:rsid w:val="00625629"/>
    <w:rsid w:val="00625EBA"/>
    <w:rsid w:val="00626F74"/>
    <w:rsid w:val="006270B2"/>
    <w:rsid w:val="00627852"/>
    <w:rsid w:val="00630126"/>
    <w:rsid w:val="006310AE"/>
    <w:rsid w:val="006311A1"/>
    <w:rsid w:val="00631468"/>
    <w:rsid w:val="0063150B"/>
    <w:rsid w:val="0063202F"/>
    <w:rsid w:val="006321ED"/>
    <w:rsid w:val="00632C1D"/>
    <w:rsid w:val="00633BA4"/>
    <w:rsid w:val="00634004"/>
    <w:rsid w:val="00634CE8"/>
    <w:rsid w:val="00635011"/>
    <w:rsid w:val="00635434"/>
    <w:rsid w:val="006356DD"/>
    <w:rsid w:val="00635808"/>
    <w:rsid w:val="00635BAC"/>
    <w:rsid w:val="00635BC3"/>
    <w:rsid w:val="00635E41"/>
    <w:rsid w:val="00636008"/>
    <w:rsid w:val="00636713"/>
    <w:rsid w:val="00636C2A"/>
    <w:rsid w:val="00636DA9"/>
    <w:rsid w:val="00637683"/>
    <w:rsid w:val="006378BD"/>
    <w:rsid w:val="00637C81"/>
    <w:rsid w:val="00637D51"/>
    <w:rsid w:val="0064018A"/>
    <w:rsid w:val="006402EF"/>
    <w:rsid w:val="006404BC"/>
    <w:rsid w:val="00640631"/>
    <w:rsid w:val="00640B61"/>
    <w:rsid w:val="006414C6"/>
    <w:rsid w:val="0064156B"/>
    <w:rsid w:val="00641E51"/>
    <w:rsid w:val="00642072"/>
    <w:rsid w:val="006428FD"/>
    <w:rsid w:val="0064343F"/>
    <w:rsid w:val="00643635"/>
    <w:rsid w:val="0064410A"/>
    <w:rsid w:val="00645662"/>
    <w:rsid w:val="006456D4"/>
    <w:rsid w:val="00645991"/>
    <w:rsid w:val="00646A9C"/>
    <w:rsid w:val="006472D8"/>
    <w:rsid w:val="00647892"/>
    <w:rsid w:val="00647A70"/>
    <w:rsid w:val="00647F8A"/>
    <w:rsid w:val="0065043C"/>
    <w:rsid w:val="00650FC3"/>
    <w:rsid w:val="00651AE1"/>
    <w:rsid w:val="006524DE"/>
    <w:rsid w:val="006525F4"/>
    <w:rsid w:val="006531F9"/>
    <w:rsid w:val="00653242"/>
    <w:rsid w:val="006537FA"/>
    <w:rsid w:val="00653E99"/>
    <w:rsid w:val="006553A1"/>
    <w:rsid w:val="006554A1"/>
    <w:rsid w:val="006556FC"/>
    <w:rsid w:val="006567A1"/>
    <w:rsid w:val="00656F31"/>
    <w:rsid w:val="006570DC"/>
    <w:rsid w:val="0065713C"/>
    <w:rsid w:val="0065740D"/>
    <w:rsid w:val="0065770D"/>
    <w:rsid w:val="00657817"/>
    <w:rsid w:val="006603A3"/>
    <w:rsid w:val="00661375"/>
    <w:rsid w:val="00661600"/>
    <w:rsid w:val="006616FA"/>
    <w:rsid w:val="00661747"/>
    <w:rsid w:val="0066198E"/>
    <w:rsid w:val="006622E0"/>
    <w:rsid w:val="00662898"/>
    <w:rsid w:val="00662934"/>
    <w:rsid w:val="00662AEF"/>
    <w:rsid w:val="00662E55"/>
    <w:rsid w:val="00663772"/>
    <w:rsid w:val="00663B01"/>
    <w:rsid w:val="0066421B"/>
    <w:rsid w:val="00664B2E"/>
    <w:rsid w:val="00664D75"/>
    <w:rsid w:val="0066523F"/>
    <w:rsid w:val="00665674"/>
    <w:rsid w:val="006669E4"/>
    <w:rsid w:val="00666BAE"/>
    <w:rsid w:val="00667405"/>
    <w:rsid w:val="00667FCE"/>
    <w:rsid w:val="00667FF1"/>
    <w:rsid w:val="0067015F"/>
    <w:rsid w:val="00670768"/>
    <w:rsid w:val="00670A65"/>
    <w:rsid w:val="00670AEC"/>
    <w:rsid w:val="00671AC0"/>
    <w:rsid w:val="00671D45"/>
    <w:rsid w:val="00672E07"/>
    <w:rsid w:val="006733F2"/>
    <w:rsid w:val="00673576"/>
    <w:rsid w:val="00673861"/>
    <w:rsid w:val="006738F4"/>
    <w:rsid w:val="0067442F"/>
    <w:rsid w:val="006749B1"/>
    <w:rsid w:val="00674A45"/>
    <w:rsid w:val="006750DF"/>
    <w:rsid w:val="00676074"/>
    <w:rsid w:val="00676ABA"/>
    <w:rsid w:val="00677086"/>
    <w:rsid w:val="00677716"/>
    <w:rsid w:val="00680736"/>
    <w:rsid w:val="00680B09"/>
    <w:rsid w:val="00680B79"/>
    <w:rsid w:val="0068117F"/>
    <w:rsid w:val="00683A63"/>
    <w:rsid w:val="00683E00"/>
    <w:rsid w:val="00684030"/>
    <w:rsid w:val="00684598"/>
    <w:rsid w:val="00684A23"/>
    <w:rsid w:val="00684EEF"/>
    <w:rsid w:val="00684F4E"/>
    <w:rsid w:val="0068583B"/>
    <w:rsid w:val="00686E03"/>
    <w:rsid w:val="00687B72"/>
    <w:rsid w:val="00687BFD"/>
    <w:rsid w:val="00687FB7"/>
    <w:rsid w:val="00690251"/>
    <w:rsid w:val="0069067E"/>
    <w:rsid w:val="00690721"/>
    <w:rsid w:val="00691736"/>
    <w:rsid w:val="00692EAB"/>
    <w:rsid w:val="006937FB"/>
    <w:rsid w:val="00693AED"/>
    <w:rsid w:val="00693F49"/>
    <w:rsid w:val="006942ED"/>
    <w:rsid w:val="00694828"/>
    <w:rsid w:val="00695D13"/>
    <w:rsid w:val="00695DC6"/>
    <w:rsid w:val="006966FB"/>
    <w:rsid w:val="0069700C"/>
    <w:rsid w:val="00697789"/>
    <w:rsid w:val="006A0014"/>
    <w:rsid w:val="006A085A"/>
    <w:rsid w:val="006A0B7B"/>
    <w:rsid w:val="006A1977"/>
    <w:rsid w:val="006A1B9E"/>
    <w:rsid w:val="006A1E6B"/>
    <w:rsid w:val="006A1F7A"/>
    <w:rsid w:val="006A2CCF"/>
    <w:rsid w:val="006A2FCA"/>
    <w:rsid w:val="006A34CB"/>
    <w:rsid w:val="006A4407"/>
    <w:rsid w:val="006A59C0"/>
    <w:rsid w:val="006A5FC5"/>
    <w:rsid w:val="006A606D"/>
    <w:rsid w:val="006A6157"/>
    <w:rsid w:val="006A64C0"/>
    <w:rsid w:val="006A67A6"/>
    <w:rsid w:val="006A7718"/>
    <w:rsid w:val="006B0730"/>
    <w:rsid w:val="006B0B7D"/>
    <w:rsid w:val="006B21C0"/>
    <w:rsid w:val="006B271E"/>
    <w:rsid w:val="006B2A08"/>
    <w:rsid w:val="006B322C"/>
    <w:rsid w:val="006B3297"/>
    <w:rsid w:val="006B3CE8"/>
    <w:rsid w:val="006B4054"/>
    <w:rsid w:val="006B4AC0"/>
    <w:rsid w:val="006B5AE4"/>
    <w:rsid w:val="006B5B5C"/>
    <w:rsid w:val="006B6711"/>
    <w:rsid w:val="006B6982"/>
    <w:rsid w:val="006C0287"/>
    <w:rsid w:val="006C11B8"/>
    <w:rsid w:val="006C1A17"/>
    <w:rsid w:val="006C1E75"/>
    <w:rsid w:val="006C2566"/>
    <w:rsid w:val="006C38A0"/>
    <w:rsid w:val="006C3D5E"/>
    <w:rsid w:val="006C3F3C"/>
    <w:rsid w:val="006C45CC"/>
    <w:rsid w:val="006C4719"/>
    <w:rsid w:val="006C48F3"/>
    <w:rsid w:val="006C4E39"/>
    <w:rsid w:val="006C5C84"/>
    <w:rsid w:val="006C60AE"/>
    <w:rsid w:val="006C6477"/>
    <w:rsid w:val="006C65A8"/>
    <w:rsid w:val="006D048B"/>
    <w:rsid w:val="006D08F7"/>
    <w:rsid w:val="006D12E1"/>
    <w:rsid w:val="006D1FEA"/>
    <w:rsid w:val="006D2D95"/>
    <w:rsid w:val="006D2DFB"/>
    <w:rsid w:val="006D31E5"/>
    <w:rsid w:val="006D36C5"/>
    <w:rsid w:val="006D37F8"/>
    <w:rsid w:val="006D42FD"/>
    <w:rsid w:val="006D58B9"/>
    <w:rsid w:val="006D5984"/>
    <w:rsid w:val="006D62AC"/>
    <w:rsid w:val="006D63A9"/>
    <w:rsid w:val="006D65A4"/>
    <w:rsid w:val="006D7324"/>
    <w:rsid w:val="006D77E6"/>
    <w:rsid w:val="006E3987"/>
    <w:rsid w:val="006E3EEC"/>
    <w:rsid w:val="006E475F"/>
    <w:rsid w:val="006E4FBA"/>
    <w:rsid w:val="006E58FF"/>
    <w:rsid w:val="006E5B59"/>
    <w:rsid w:val="006E6154"/>
    <w:rsid w:val="006E6912"/>
    <w:rsid w:val="006E6BB9"/>
    <w:rsid w:val="006E6D31"/>
    <w:rsid w:val="006E7259"/>
    <w:rsid w:val="006E77D9"/>
    <w:rsid w:val="006E789F"/>
    <w:rsid w:val="006E79EA"/>
    <w:rsid w:val="006E7CFB"/>
    <w:rsid w:val="006F009B"/>
    <w:rsid w:val="006F031D"/>
    <w:rsid w:val="006F0582"/>
    <w:rsid w:val="006F06C5"/>
    <w:rsid w:val="006F0A66"/>
    <w:rsid w:val="006F12AB"/>
    <w:rsid w:val="006F1B4A"/>
    <w:rsid w:val="006F2209"/>
    <w:rsid w:val="006F28B9"/>
    <w:rsid w:val="006F2AA8"/>
    <w:rsid w:val="006F3AA0"/>
    <w:rsid w:val="006F4308"/>
    <w:rsid w:val="006F4506"/>
    <w:rsid w:val="006F5B23"/>
    <w:rsid w:val="006F5D0E"/>
    <w:rsid w:val="006F5F69"/>
    <w:rsid w:val="006F6002"/>
    <w:rsid w:val="006F6521"/>
    <w:rsid w:val="006F6CA1"/>
    <w:rsid w:val="006F744F"/>
    <w:rsid w:val="00700720"/>
    <w:rsid w:val="00700B93"/>
    <w:rsid w:val="0070181E"/>
    <w:rsid w:val="00701F88"/>
    <w:rsid w:val="0070210F"/>
    <w:rsid w:val="007032FC"/>
    <w:rsid w:val="00703BDE"/>
    <w:rsid w:val="00705056"/>
    <w:rsid w:val="007060E3"/>
    <w:rsid w:val="00706204"/>
    <w:rsid w:val="00706394"/>
    <w:rsid w:val="00706C22"/>
    <w:rsid w:val="0070706F"/>
    <w:rsid w:val="007071F4"/>
    <w:rsid w:val="0070759A"/>
    <w:rsid w:val="00707696"/>
    <w:rsid w:val="00707739"/>
    <w:rsid w:val="0071029C"/>
    <w:rsid w:val="00710340"/>
    <w:rsid w:val="0071057A"/>
    <w:rsid w:val="00710640"/>
    <w:rsid w:val="007107AC"/>
    <w:rsid w:val="007107C9"/>
    <w:rsid w:val="007112DB"/>
    <w:rsid w:val="007117E5"/>
    <w:rsid w:val="0071231B"/>
    <w:rsid w:val="007129E9"/>
    <w:rsid w:val="00712B45"/>
    <w:rsid w:val="00712B8A"/>
    <w:rsid w:val="007133F9"/>
    <w:rsid w:val="007141DB"/>
    <w:rsid w:val="00714497"/>
    <w:rsid w:val="0071465F"/>
    <w:rsid w:val="00714B93"/>
    <w:rsid w:val="00715340"/>
    <w:rsid w:val="00715449"/>
    <w:rsid w:val="0071557F"/>
    <w:rsid w:val="0071563E"/>
    <w:rsid w:val="00715874"/>
    <w:rsid w:val="00715CFC"/>
    <w:rsid w:val="007161D4"/>
    <w:rsid w:val="00716AD0"/>
    <w:rsid w:val="00717A72"/>
    <w:rsid w:val="00717AEE"/>
    <w:rsid w:val="007205BD"/>
    <w:rsid w:val="007209CF"/>
    <w:rsid w:val="00720F56"/>
    <w:rsid w:val="007214C0"/>
    <w:rsid w:val="00721598"/>
    <w:rsid w:val="00722E6B"/>
    <w:rsid w:val="00723AA8"/>
    <w:rsid w:val="00723F9E"/>
    <w:rsid w:val="007242AA"/>
    <w:rsid w:val="00724E17"/>
    <w:rsid w:val="00725515"/>
    <w:rsid w:val="00725BDE"/>
    <w:rsid w:val="00725F2A"/>
    <w:rsid w:val="00725F8A"/>
    <w:rsid w:val="007265FF"/>
    <w:rsid w:val="0072674D"/>
    <w:rsid w:val="0072793A"/>
    <w:rsid w:val="00727E8B"/>
    <w:rsid w:val="007302E3"/>
    <w:rsid w:val="00730C64"/>
    <w:rsid w:val="00730EDC"/>
    <w:rsid w:val="00730F7E"/>
    <w:rsid w:val="00731852"/>
    <w:rsid w:val="007320C5"/>
    <w:rsid w:val="00732B46"/>
    <w:rsid w:val="00732E77"/>
    <w:rsid w:val="00733025"/>
    <w:rsid w:val="00733C93"/>
    <w:rsid w:val="00734089"/>
    <w:rsid w:val="007345C0"/>
    <w:rsid w:val="0073491F"/>
    <w:rsid w:val="00734FAE"/>
    <w:rsid w:val="007357F7"/>
    <w:rsid w:val="007360E8"/>
    <w:rsid w:val="00736BB2"/>
    <w:rsid w:val="00736D36"/>
    <w:rsid w:val="0073721A"/>
    <w:rsid w:val="00737855"/>
    <w:rsid w:val="007414CA"/>
    <w:rsid w:val="007425E5"/>
    <w:rsid w:val="00742767"/>
    <w:rsid w:val="00742F40"/>
    <w:rsid w:val="007432D3"/>
    <w:rsid w:val="0074392A"/>
    <w:rsid w:val="007444DE"/>
    <w:rsid w:val="00744B45"/>
    <w:rsid w:val="00744B4E"/>
    <w:rsid w:val="00744D31"/>
    <w:rsid w:val="00744D5A"/>
    <w:rsid w:val="007454C1"/>
    <w:rsid w:val="00746305"/>
    <w:rsid w:val="00746661"/>
    <w:rsid w:val="007466D5"/>
    <w:rsid w:val="007469E7"/>
    <w:rsid w:val="00747643"/>
    <w:rsid w:val="0075002C"/>
    <w:rsid w:val="00750254"/>
    <w:rsid w:val="007509AB"/>
    <w:rsid w:val="007513F9"/>
    <w:rsid w:val="0075147D"/>
    <w:rsid w:val="00751832"/>
    <w:rsid w:val="0075264D"/>
    <w:rsid w:val="00752F3F"/>
    <w:rsid w:val="00752FEA"/>
    <w:rsid w:val="0075331B"/>
    <w:rsid w:val="00753CB8"/>
    <w:rsid w:val="00754946"/>
    <w:rsid w:val="007549CD"/>
    <w:rsid w:val="007551C5"/>
    <w:rsid w:val="00755BD5"/>
    <w:rsid w:val="00757C92"/>
    <w:rsid w:val="007605FE"/>
    <w:rsid w:val="0076081A"/>
    <w:rsid w:val="00760961"/>
    <w:rsid w:val="007609DC"/>
    <w:rsid w:val="00761503"/>
    <w:rsid w:val="007618F8"/>
    <w:rsid w:val="00762079"/>
    <w:rsid w:val="007627A4"/>
    <w:rsid w:val="00763BA0"/>
    <w:rsid w:val="007641C3"/>
    <w:rsid w:val="00764C51"/>
    <w:rsid w:val="00764C54"/>
    <w:rsid w:val="00764E30"/>
    <w:rsid w:val="00765BDF"/>
    <w:rsid w:val="0076713B"/>
    <w:rsid w:val="007674CA"/>
    <w:rsid w:val="00767BC8"/>
    <w:rsid w:val="00771183"/>
    <w:rsid w:val="0077142F"/>
    <w:rsid w:val="00772305"/>
    <w:rsid w:val="007724D8"/>
    <w:rsid w:val="00773C8E"/>
    <w:rsid w:val="00774644"/>
    <w:rsid w:val="00774692"/>
    <w:rsid w:val="007746E2"/>
    <w:rsid w:val="00774ACA"/>
    <w:rsid w:val="00775093"/>
    <w:rsid w:val="007751B7"/>
    <w:rsid w:val="007758E7"/>
    <w:rsid w:val="007768A1"/>
    <w:rsid w:val="00776F3C"/>
    <w:rsid w:val="00780578"/>
    <w:rsid w:val="00780581"/>
    <w:rsid w:val="00780D10"/>
    <w:rsid w:val="007810D8"/>
    <w:rsid w:val="0078126E"/>
    <w:rsid w:val="00781A68"/>
    <w:rsid w:val="00781C09"/>
    <w:rsid w:val="00781CF5"/>
    <w:rsid w:val="00782496"/>
    <w:rsid w:val="00782973"/>
    <w:rsid w:val="00782A32"/>
    <w:rsid w:val="00782EA3"/>
    <w:rsid w:val="0078350F"/>
    <w:rsid w:val="00783B46"/>
    <w:rsid w:val="00784CF4"/>
    <w:rsid w:val="00784D16"/>
    <w:rsid w:val="00784FDE"/>
    <w:rsid w:val="007855D8"/>
    <w:rsid w:val="007856A5"/>
    <w:rsid w:val="00785C55"/>
    <w:rsid w:val="00786066"/>
    <w:rsid w:val="00786295"/>
    <w:rsid w:val="00786A94"/>
    <w:rsid w:val="00786BAC"/>
    <w:rsid w:val="00786BCE"/>
    <w:rsid w:val="007871D4"/>
    <w:rsid w:val="007875D0"/>
    <w:rsid w:val="00787E84"/>
    <w:rsid w:val="00787EDD"/>
    <w:rsid w:val="00790A4F"/>
    <w:rsid w:val="00790BA6"/>
    <w:rsid w:val="00790F5D"/>
    <w:rsid w:val="0079111A"/>
    <w:rsid w:val="00791253"/>
    <w:rsid w:val="00793071"/>
    <w:rsid w:val="00793E99"/>
    <w:rsid w:val="00793FA5"/>
    <w:rsid w:val="00794D6F"/>
    <w:rsid w:val="00794EAA"/>
    <w:rsid w:val="007957F7"/>
    <w:rsid w:val="00795DD8"/>
    <w:rsid w:val="00795F81"/>
    <w:rsid w:val="0079608B"/>
    <w:rsid w:val="00796786"/>
    <w:rsid w:val="00796CF6"/>
    <w:rsid w:val="007979CC"/>
    <w:rsid w:val="007A0C41"/>
    <w:rsid w:val="007A175A"/>
    <w:rsid w:val="007A1D7A"/>
    <w:rsid w:val="007A1E13"/>
    <w:rsid w:val="007A21B4"/>
    <w:rsid w:val="007A24BC"/>
    <w:rsid w:val="007A28F0"/>
    <w:rsid w:val="007A292E"/>
    <w:rsid w:val="007A2B38"/>
    <w:rsid w:val="007A32B5"/>
    <w:rsid w:val="007A3826"/>
    <w:rsid w:val="007A3867"/>
    <w:rsid w:val="007A38E8"/>
    <w:rsid w:val="007A3BAE"/>
    <w:rsid w:val="007A3DAF"/>
    <w:rsid w:val="007A44F5"/>
    <w:rsid w:val="007A4703"/>
    <w:rsid w:val="007A4A81"/>
    <w:rsid w:val="007A4C46"/>
    <w:rsid w:val="007A502D"/>
    <w:rsid w:val="007A5C27"/>
    <w:rsid w:val="007A5D44"/>
    <w:rsid w:val="007A6FCA"/>
    <w:rsid w:val="007A750F"/>
    <w:rsid w:val="007A7D71"/>
    <w:rsid w:val="007A7F30"/>
    <w:rsid w:val="007B00F4"/>
    <w:rsid w:val="007B0703"/>
    <w:rsid w:val="007B09F7"/>
    <w:rsid w:val="007B1006"/>
    <w:rsid w:val="007B1C3B"/>
    <w:rsid w:val="007B2ABD"/>
    <w:rsid w:val="007B2E49"/>
    <w:rsid w:val="007B34C9"/>
    <w:rsid w:val="007B3E34"/>
    <w:rsid w:val="007B3FE0"/>
    <w:rsid w:val="007B4174"/>
    <w:rsid w:val="007B4555"/>
    <w:rsid w:val="007B5C7E"/>
    <w:rsid w:val="007B5D1D"/>
    <w:rsid w:val="007B67FA"/>
    <w:rsid w:val="007B7678"/>
    <w:rsid w:val="007B7681"/>
    <w:rsid w:val="007B76C4"/>
    <w:rsid w:val="007B7C1A"/>
    <w:rsid w:val="007C0539"/>
    <w:rsid w:val="007C1582"/>
    <w:rsid w:val="007C1646"/>
    <w:rsid w:val="007C19A2"/>
    <w:rsid w:val="007C1AC2"/>
    <w:rsid w:val="007C1BEF"/>
    <w:rsid w:val="007C1D2B"/>
    <w:rsid w:val="007C425B"/>
    <w:rsid w:val="007C465D"/>
    <w:rsid w:val="007C590A"/>
    <w:rsid w:val="007C5912"/>
    <w:rsid w:val="007C6623"/>
    <w:rsid w:val="007C6C76"/>
    <w:rsid w:val="007C7299"/>
    <w:rsid w:val="007D083E"/>
    <w:rsid w:val="007D0CF5"/>
    <w:rsid w:val="007D0D19"/>
    <w:rsid w:val="007D0D2B"/>
    <w:rsid w:val="007D0FE5"/>
    <w:rsid w:val="007D12EB"/>
    <w:rsid w:val="007D148E"/>
    <w:rsid w:val="007D14FB"/>
    <w:rsid w:val="007D1592"/>
    <w:rsid w:val="007D1835"/>
    <w:rsid w:val="007D1C9C"/>
    <w:rsid w:val="007D200E"/>
    <w:rsid w:val="007D2B25"/>
    <w:rsid w:val="007D2F0E"/>
    <w:rsid w:val="007D36DF"/>
    <w:rsid w:val="007D4F04"/>
    <w:rsid w:val="007D4F8C"/>
    <w:rsid w:val="007D5A35"/>
    <w:rsid w:val="007D5F90"/>
    <w:rsid w:val="007D7600"/>
    <w:rsid w:val="007D7BC7"/>
    <w:rsid w:val="007D7D0B"/>
    <w:rsid w:val="007E10E8"/>
    <w:rsid w:val="007E12CD"/>
    <w:rsid w:val="007E1A6E"/>
    <w:rsid w:val="007E1E5A"/>
    <w:rsid w:val="007E23D0"/>
    <w:rsid w:val="007E2B36"/>
    <w:rsid w:val="007E45A7"/>
    <w:rsid w:val="007E4C5F"/>
    <w:rsid w:val="007E5645"/>
    <w:rsid w:val="007E5794"/>
    <w:rsid w:val="007E5AFF"/>
    <w:rsid w:val="007E68FB"/>
    <w:rsid w:val="007E6979"/>
    <w:rsid w:val="007E732B"/>
    <w:rsid w:val="007E75F3"/>
    <w:rsid w:val="007E7BA9"/>
    <w:rsid w:val="007E7CA8"/>
    <w:rsid w:val="007E7F0F"/>
    <w:rsid w:val="007F0C97"/>
    <w:rsid w:val="007F11BD"/>
    <w:rsid w:val="007F11C7"/>
    <w:rsid w:val="007F1256"/>
    <w:rsid w:val="007F1589"/>
    <w:rsid w:val="007F17DE"/>
    <w:rsid w:val="007F187F"/>
    <w:rsid w:val="007F18A6"/>
    <w:rsid w:val="007F1907"/>
    <w:rsid w:val="007F1935"/>
    <w:rsid w:val="007F1D59"/>
    <w:rsid w:val="007F233B"/>
    <w:rsid w:val="007F284C"/>
    <w:rsid w:val="007F37DE"/>
    <w:rsid w:val="007F46BA"/>
    <w:rsid w:val="007F4BBF"/>
    <w:rsid w:val="007F54A3"/>
    <w:rsid w:val="007F587C"/>
    <w:rsid w:val="007F5A47"/>
    <w:rsid w:val="007F5C49"/>
    <w:rsid w:val="007F6B01"/>
    <w:rsid w:val="007F733C"/>
    <w:rsid w:val="007F7591"/>
    <w:rsid w:val="007F771C"/>
    <w:rsid w:val="007F7813"/>
    <w:rsid w:val="007F7A35"/>
    <w:rsid w:val="007F7FBF"/>
    <w:rsid w:val="00800C2F"/>
    <w:rsid w:val="00800E5C"/>
    <w:rsid w:val="00800EC9"/>
    <w:rsid w:val="0080104A"/>
    <w:rsid w:val="008016E3"/>
    <w:rsid w:val="00801BF0"/>
    <w:rsid w:val="00802A88"/>
    <w:rsid w:val="00802E54"/>
    <w:rsid w:val="00802EE6"/>
    <w:rsid w:val="00803CBB"/>
    <w:rsid w:val="008042E6"/>
    <w:rsid w:val="008043C2"/>
    <w:rsid w:val="00804601"/>
    <w:rsid w:val="0080490C"/>
    <w:rsid w:val="008050E1"/>
    <w:rsid w:val="008054B3"/>
    <w:rsid w:val="008060BD"/>
    <w:rsid w:val="008060FD"/>
    <w:rsid w:val="008070DB"/>
    <w:rsid w:val="00807300"/>
    <w:rsid w:val="008073B3"/>
    <w:rsid w:val="00807460"/>
    <w:rsid w:val="0080780E"/>
    <w:rsid w:val="00807B0A"/>
    <w:rsid w:val="008102CC"/>
    <w:rsid w:val="00810757"/>
    <w:rsid w:val="00810BC7"/>
    <w:rsid w:val="00810C91"/>
    <w:rsid w:val="00810E9A"/>
    <w:rsid w:val="0081189E"/>
    <w:rsid w:val="00811CF2"/>
    <w:rsid w:val="00811FB8"/>
    <w:rsid w:val="008126C2"/>
    <w:rsid w:val="00812C88"/>
    <w:rsid w:val="008132D6"/>
    <w:rsid w:val="00813616"/>
    <w:rsid w:val="00813B2A"/>
    <w:rsid w:val="00813C21"/>
    <w:rsid w:val="00813FF9"/>
    <w:rsid w:val="00814F8E"/>
    <w:rsid w:val="0081698E"/>
    <w:rsid w:val="008170EF"/>
    <w:rsid w:val="00817323"/>
    <w:rsid w:val="00817B9A"/>
    <w:rsid w:val="00817CC3"/>
    <w:rsid w:val="008212AA"/>
    <w:rsid w:val="00821353"/>
    <w:rsid w:val="00821934"/>
    <w:rsid w:val="00821CF8"/>
    <w:rsid w:val="00822315"/>
    <w:rsid w:val="00822A89"/>
    <w:rsid w:val="00823DE5"/>
    <w:rsid w:val="0082494E"/>
    <w:rsid w:val="00824967"/>
    <w:rsid w:val="00824E76"/>
    <w:rsid w:val="00825AA1"/>
    <w:rsid w:val="00825D89"/>
    <w:rsid w:val="008265BE"/>
    <w:rsid w:val="00826666"/>
    <w:rsid w:val="00827296"/>
    <w:rsid w:val="00827625"/>
    <w:rsid w:val="00827F52"/>
    <w:rsid w:val="00830161"/>
    <w:rsid w:val="008309AC"/>
    <w:rsid w:val="00830C9A"/>
    <w:rsid w:val="00830DCD"/>
    <w:rsid w:val="00830FA7"/>
    <w:rsid w:val="008311FF"/>
    <w:rsid w:val="0083130E"/>
    <w:rsid w:val="008315C3"/>
    <w:rsid w:val="00831CB4"/>
    <w:rsid w:val="008324FF"/>
    <w:rsid w:val="00832B27"/>
    <w:rsid w:val="00832F1B"/>
    <w:rsid w:val="008330C3"/>
    <w:rsid w:val="00833242"/>
    <w:rsid w:val="00833FCE"/>
    <w:rsid w:val="00834025"/>
    <w:rsid w:val="008358DF"/>
    <w:rsid w:val="00835DC2"/>
    <w:rsid w:val="00836BB3"/>
    <w:rsid w:val="00837609"/>
    <w:rsid w:val="00837D29"/>
    <w:rsid w:val="0084026A"/>
    <w:rsid w:val="00840908"/>
    <w:rsid w:val="008412B6"/>
    <w:rsid w:val="008412D2"/>
    <w:rsid w:val="008412E9"/>
    <w:rsid w:val="008414A0"/>
    <w:rsid w:val="00842FC7"/>
    <w:rsid w:val="008437F7"/>
    <w:rsid w:val="00844068"/>
    <w:rsid w:val="00844260"/>
    <w:rsid w:val="0084438C"/>
    <w:rsid w:val="00844F4D"/>
    <w:rsid w:val="00845D81"/>
    <w:rsid w:val="008465C7"/>
    <w:rsid w:val="008469A7"/>
    <w:rsid w:val="008469B2"/>
    <w:rsid w:val="00846B09"/>
    <w:rsid w:val="0085094F"/>
    <w:rsid w:val="00850987"/>
    <w:rsid w:val="00850FA9"/>
    <w:rsid w:val="008518D4"/>
    <w:rsid w:val="0085194A"/>
    <w:rsid w:val="00852AD0"/>
    <w:rsid w:val="00853F96"/>
    <w:rsid w:val="00854D8C"/>
    <w:rsid w:val="0085525B"/>
    <w:rsid w:val="00855551"/>
    <w:rsid w:val="00855612"/>
    <w:rsid w:val="008600CD"/>
    <w:rsid w:val="00860C14"/>
    <w:rsid w:val="0086128E"/>
    <w:rsid w:val="008613F6"/>
    <w:rsid w:val="008614E2"/>
    <w:rsid w:val="008625DF"/>
    <w:rsid w:val="00862882"/>
    <w:rsid w:val="00862936"/>
    <w:rsid w:val="00863306"/>
    <w:rsid w:val="0086354C"/>
    <w:rsid w:val="00863768"/>
    <w:rsid w:val="00864DEE"/>
    <w:rsid w:val="00865915"/>
    <w:rsid w:val="00866224"/>
    <w:rsid w:val="00866BCC"/>
    <w:rsid w:val="00867537"/>
    <w:rsid w:val="008700B5"/>
    <w:rsid w:val="00871561"/>
    <w:rsid w:val="00871562"/>
    <w:rsid w:val="00871B98"/>
    <w:rsid w:val="00871DCF"/>
    <w:rsid w:val="00871F7B"/>
    <w:rsid w:val="00872A71"/>
    <w:rsid w:val="00872B0E"/>
    <w:rsid w:val="008730BD"/>
    <w:rsid w:val="00873E8A"/>
    <w:rsid w:val="0087421E"/>
    <w:rsid w:val="008745BF"/>
    <w:rsid w:val="00874678"/>
    <w:rsid w:val="0087616E"/>
    <w:rsid w:val="0087621D"/>
    <w:rsid w:val="00876B64"/>
    <w:rsid w:val="00876E74"/>
    <w:rsid w:val="008779BA"/>
    <w:rsid w:val="008802F6"/>
    <w:rsid w:val="00880961"/>
    <w:rsid w:val="00880BB3"/>
    <w:rsid w:val="00881121"/>
    <w:rsid w:val="00881A5A"/>
    <w:rsid w:val="00881C39"/>
    <w:rsid w:val="00881F8F"/>
    <w:rsid w:val="008822DE"/>
    <w:rsid w:val="00882B39"/>
    <w:rsid w:val="00882D4C"/>
    <w:rsid w:val="00882ED2"/>
    <w:rsid w:val="00883608"/>
    <w:rsid w:val="00884F9F"/>
    <w:rsid w:val="0088509D"/>
    <w:rsid w:val="00885608"/>
    <w:rsid w:val="00886061"/>
    <w:rsid w:val="00886FFC"/>
    <w:rsid w:val="00887799"/>
    <w:rsid w:val="008905EE"/>
    <w:rsid w:val="0089063A"/>
    <w:rsid w:val="00890CDA"/>
    <w:rsid w:val="00892439"/>
    <w:rsid w:val="00893407"/>
    <w:rsid w:val="008936E5"/>
    <w:rsid w:val="0089373F"/>
    <w:rsid w:val="0089407B"/>
    <w:rsid w:val="00895DD1"/>
    <w:rsid w:val="00895E95"/>
    <w:rsid w:val="00895F4C"/>
    <w:rsid w:val="00896288"/>
    <w:rsid w:val="00897087"/>
    <w:rsid w:val="00897AE2"/>
    <w:rsid w:val="00897AE6"/>
    <w:rsid w:val="008A04CE"/>
    <w:rsid w:val="008A0C73"/>
    <w:rsid w:val="008A0E4F"/>
    <w:rsid w:val="008A0FB3"/>
    <w:rsid w:val="008A2217"/>
    <w:rsid w:val="008A27E9"/>
    <w:rsid w:val="008A3091"/>
    <w:rsid w:val="008A361A"/>
    <w:rsid w:val="008A38C1"/>
    <w:rsid w:val="008A397F"/>
    <w:rsid w:val="008A3B5A"/>
    <w:rsid w:val="008A3C70"/>
    <w:rsid w:val="008A4195"/>
    <w:rsid w:val="008A41D0"/>
    <w:rsid w:val="008A5402"/>
    <w:rsid w:val="008A55A8"/>
    <w:rsid w:val="008A58E6"/>
    <w:rsid w:val="008A5B45"/>
    <w:rsid w:val="008A6151"/>
    <w:rsid w:val="008A61F6"/>
    <w:rsid w:val="008A77B7"/>
    <w:rsid w:val="008A78B4"/>
    <w:rsid w:val="008A7D49"/>
    <w:rsid w:val="008B0598"/>
    <w:rsid w:val="008B06FC"/>
    <w:rsid w:val="008B135A"/>
    <w:rsid w:val="008B1DAB"/>
    <w:rsid w:val="008B20D9"/>
    <w:rsid w:val="008B260F"/>
    <w:rsid w:val="008B2A44"/>
    <w:rsid w:val="008B3409"/>
    <w:rsid w:val="008B4295"/>
    <w:rsid w:val="008B433D"/>
    <w:rsid w:val="008B501D"/>
    <w:rsid w:val="008B50BC"/>
    <w:rsid w:val="008B5452"/>
    <w:rsid w:val="008B6E1F"/>
    <w:rsid w:val="008B6F7F"/>
    <w:rsid w:val="008B7773"/>
    <w:rsid w:val="008B782B"/>
    <w:rsid w:val="008C1330"/>
    <w:rsid w:val="008C1825"/>
    <w:rsid w:val="008C1BEE"/>
    <w:rsid w:val="008C2235"/>
    <w:rsid w:val="008C2887"/>
    <w:rsid w:val="008C2955"/>
    <w:rsid w:val="008C2F09"/>
    <w:rsid w:val="008C379A"/>
    <w:rsid w:val="008C3B85"/>
    <w:rsid w:val="008C5417"/>
    <w:rsid w:val="008C7264"/>
    <w:rsid w:val="008C7D1B"/>
    <w:rsid w:val="008D0131"/>
    <w:rsid w:val="008D05FE"/>
    <w:rsid w:val="008D0B12"/>
    <w:rsid w:val="008D15C6"/>
    <w:rsid w:val="008D1962"/>
    <w:rsid w:val="008D2495"/>
    <w:rsid w:val="008D26D2"/>
    <w:rsid w:val="008D2881"/>
    <w:rsid w:val="008D3452"/>
    <w:rsid w:val="008D4182"/>
    <w:rsid w:val="008D42A9"/>
    <w:rsid w:val="008D4B74"/>
    <w:rsid w:val="008D5619"/>
    <w:rsid w:val="008D5A3F"/>
    <w:rsid w:val="008D6196"/>
    <w:rsid w:val="008D683F"/>
    <w:rsid w:val="008D6E38"/>
    <w:rsid w:val="008D7345"/>
    <w:rsid w:val="008D745B"/>
    <w:rsid w:val="008D7A8E"/>
    <w:rsid w:val="008D7E0F"/>
    <w:rsid w:val="008E1227"/>
    <w:rsid w:val="008E1460"/>
    <w:rsid w:val="008E1951"/>
    <w:rsid w:val="008E1D49"/>
    <w:rsid w:val="008E21D0"/>
    <w:rsid w:val="008E22D6"/>
    <w:rsid w:val="008E2990"/>
    <w:rsid w:val="008E2997"/>
    <w:rsid w:val="008E3479"/>
    <w:rsid w:val="008E3B35"/>
    <w:rsid w:val="008E45F9"/>
    <w:rsid w:val="008E4D54"/>
    <w:rsid w:val="008E50AF"/>
    <w:rsid w:val="008E51FC"/>
    <w:rsid w:val="008E6D45"/>
    <w:rsid w:val="008E7B01"/>
    <w:rsid w:val="008F02EA"/>
    <w:rsid w:val="008F2D7F"/>
    <w:rsid w:val="008F36DD"/>
    <w:rsid w:val="008F39C2"/>
    <w:rsid w:val="008F46D5"/>
    <w:rsid w:val="008F4A66"/>
    <w:rsid w:val="008F4B96"/>
    <w:rsid w:val="008F5A4D"/>
    <w:rsid w:val="008F5D2F"/>
    <w:rsid w:val="008F6B49"/>
    <w:rsid w:val="008F7EEF"/>
    <w:rsid w:val="00900578"/>
    <w:rsid w:val="0090198B"/>
    <w:rsid w:val="009024D8"/>
    <w:rsid w:val="009025DC"/>
    <w:rsid w:val="00902CCC"/>
    <w:rsid w:val="00903368"/>
    <w:rsid w:val="00903B3B"/>
    <w:rsid w:val="00904037"/>
    <w:rsid w:val="009048BF"/>
    <w:rsid w:val="00904B34"/>
    <w:rsid w:val="00904E80"/>
    <w:rsid w:val="009056F9"/>
    <w:rsid w:val="009061B2"/>
    <w:rsid w:val="009068D4"/>
    <w:rsid w:val="00906A23"/>
    <w:rsid w:val="00906DE3"/>
    <w:rsid w:val="00907B59"/>
    <w:rsid w:val="00907C1F"/>
    <w:rsid w:val="00910505"/>
    <w:rsid w:val="0091088B"/>
    <w:rsid w:val="00910ADB"/>
    <w:rsid w:val="0091124D"/>
    <w:rsid w:val="00911D51"/>
    <w:rsid w:val="00911D82"/>
    <w:rsid w:val="009124E4"/>
    <w:rsid w:val="009129C4"/>
    <w:rsid w:val="00912AB3"/>
    <w:rsid w:val="009146C0"/>
    <w:rsid w:val="0091503E"/>
    <w:rsid w:val="009155B3"/>
    <w:rsid w:val="0091611D"/>
    <w:rsid w:val="00916155"/>
    <w:rsid w:val="0091643B"/>
    <w:rsid w:val="00916CC3"/>
    <w:rsid w:val="009202BF"/>
    <w:rsid w:val="009203E8"/>
    <w:rsid w:val="00920722"/>
    <w:rsid w:val="00920E58"/>
    <w:rsid w:val="0092118E"/>
    <w:rsid w:val="00921792"/>
    <w:rsid w:val="0092208F"/>
    <w:rsid w:val="009221B2"/>
    <w:rsid w:val="00922C9C"/>
    <w:rsid w:val="009231EA"/>
    <w:rsid w:val="00923BFD"/>
    <w:rsid w:val="009255F9"/>
    <w:rsid w:val="009257F3"/>
    <w:rsid w:val="00925B38"/>
    <w:rsid w:val="0092639D"/>
    <w:rsid w:val="00927ED0"/>
    <w:rsid w:val="009303DE"/>
    <w:rsid w:val="00930730"/>
    <w:rsid w:val="00930BF9"/>
    <w:rsid w:val="00931034"/>
    <w:rsid w:val="0093129A"/>
    <w:rsid w:val="0093156C"/>
    <w:rsid w:val="009315E8"/>
    <w:rsid w:val="0093192E"/>
    <w:rsid w:val="00932093"/>
    <w:rsid w:val="00933A8C"/>
    <w:rsid w:val="00933C9B"/>
    <w:rsid w:val="00934A37"/>
    <w:rsid w:val="00934C39"/>
    <w:rsid w:val="00934E5A"/>
    <w:rsid w:val="00934F40"/>
    <w:rsid w:val="00935646"/>
    <w:rsid w:val="00935E9D"/>
    <w:rsid w:val="009366B5"/>
    <w:rsid w:val="00936E7B"/>
    <w:rsid w:val="009375AF"/>
    <w:rsid w:val="00940153"/>
    <w:rsid w:val="00940AA1"/>
    <w:rsid w:val="00941AC9"/>
    <w:rsid w:val="0094210D"/>
    <w:rsid w:val="009427D3"/>
    <w:rsid w:val="00942C18"/>
    <w:rsid w:val="00943B60"/>
    <w:rsid w:val="00943FAC"/>
    <w:rsid w:val="009444A7"/>
    <w:rsid w:val="009444CF"/>
    <w:rsid w:val="00944994"/>
    <w:rsid w:val="00946FE1"/>
    <w:rsid w:val="00947865"/>
    <w:rsid w:val="009479E7"/>
    <w:rsid w:val="00947F56"/>
    <w:rsid w:val="00950052"/>
    <w:rsid w:val="0095049B"/>
    <w:rsid w:val="00952B21"/>
    <w:rsid w:val="00954CB2"/>
    <w:rsid w:val="00954F69"/>
    <w:rsid w:val="00955448"/>
    <w:rsid w:val="00955891"/>
    <w:rsid w:val="00955C01"/>
    <w:rsid w:val="00955EAB"/>
    <w:rsid w:val="00956047"/>
    <w:rsid w:val="009565E3"/>
    <w:rsid w:val="00957746"/>
    <w:rsid w:val="00957CD2"/>
    <w:rsid w:val="00957E4C"/>
    <w:rsid w:val="00960CC1"/>
    <w:rsid w:val="00960E14"/>
    <w:rsid w:val="009614AB"/>
    <w:rsid w:val="009616A0"/>
    <w:rsid w:val="009622C8"/>
    <w:rsid w:val="00962A6F"/>
    <w:rsid w:val="00962DE5"/>
    <w:rsid w:val="0096391A"/>
    <w:rsid w:val="00964440"/>
    <w:rsid w:val="0096466A"/>
    <w:rsid w:val="00965415"/>
    <w:rsid w:val="009654C1"/>
    <w:rsid w:val="00967754"/>
    <w:rsid w:val="009679B2"/>
    <w:rsid w:val="00967CF0"/>
    <w:rsid w:val="00970DC9"/>
    <w:rsid w:val="00971422"/>
    <w:rsid w:val="0097153B"/>
    <w:rsid w:val="00971E8F"/>
    <w:rsid w:val="009737A6"/>
    <w:rsid w:val="00975448"/>
    <w:rsid w:val="009762C5"/>
    <w:rsid w:val="009762E7"/>
    <w:rsid w:val="009764CA"/>
    <w:rsid w:val="009766C4"/>
    <w:rsid w:val="00976975"/>
    <w:rsid w:val="00976ACA"/>
    <w:rsid w:val="0098014E"/>
    <w:rsid w:val="009803B4"/>
    <w:rsid w:val="009815C9"/>
    <w:rsid w:val="00981691"/>
    <w:rsid w:val="00982898"/>
    <w:rsid w:val="00982DC9"/>
    <w:rsid w:val="00983FAE"/>
    <w:rsid w:val="00984600"/>
    <w:rsid w:val="0098487D"/>
    <w:rsid w:val="00984C4B"/>
    <w:rsid w:val="00985AE8"/>
    <w:rsid w:val="00985DB3"/>
    <w:rsid w:val="0098605F"/>
    <w:rsid w:val="00986376"/>
    <w:rsid w:val="009869F1"/>
    <w:rsid w:val="00986FDC"/>
    <w:rsid w:val="009872B9"/>
    <w:rsid w:val="00987853"/>
    <w:rsid w:val="0098795B"/>
    <w:rsid w:val="00987E66"/>
    <w:rsid w:val="00990F75"/>
    <w:rsid w:val="00991128"/>
    <w:rsid w:val="0099152C"/>
    <w:rsid w:val="009922E3"/>
    <w:rsid w:val="00992768"/>
    <w:rsid w:val="00993CA8"/>
    <w:rsid w:val="00993F6B"/>
    <w:rsid w:val="0099409A"/>
    <w:rsid w:val="00994CC6"/>
    <w:rsid w:val="00995BC6"/>
    <w:rsid w:val="009962F8"/>
    <w:rsid w:val="009967FD"/>
    <w:rsid w:val="00996B9F"/>
    <w:rsid w:val="00996BEE"/>
    <w:rsid w:val="0099798A"/>
    <w:rsid w:val="009A06C0"/>
    <w:rsid w:val="009A1267"/>
    <w:rsid w:val="009A1280"/>
    <w:rsid w:val="009A15D6"/>
    <w:rsid w:val="009A199A"/>
    <w:rsid w:val="009A2524"/>
    <w:rsid w:val="009A2AEE"/>
    <w:rsid w:val="009A359E"/>
    <w:rsid w:val="009A36CB"/>
    <w:rsid w:val="009A3943"/>
    <w:rsid w:val="009A3D3E"/>
    <w:rsid w:val="009A467B"/>
    <w:rsid w:val="009A47BE"/>
    <w:rsid w:val="009A600B"/>
    <w:rsid w:val="009A7054"/>
    <w:rsid w:val="009A775F"/>
    <w:rsid w:val="009A7854"/>
    <w:rsid w:val="009A7C44"/>
    <w:rsid w:val="009A7FE5"/>
    <w:rsid w:val="009B00FC"/>
    <w:rsid w:val="009B088F"/>
    <w:rsid w:val="009B08A7"/>
    <w:rsid w:val="009B1AF8"/>
    <w:rsid w:val="009B1EA4"/>
    <w:rsid w:val="009B21F2"/>
    <w:rsid w:val="009B26F9"/>
    <w:rsid w:val="009B2DF6"/>
    <w:rsid w:val="009B32C3"/>
    <w:rsid w:val="009B36CE"/>
    <w:rsid w:val="009B37E4"/>
    <w:rsid w:val="009B38B2"/>
    <w:rsid w:val="009B3B39"/>
    <w:rsid w:val="009B3CAF"/>
    <w:rsid w:val="009B48F3"/>
    <w:rsid w:val="009B4AA1"/>
    <w:rsid w:val="009B5C4F"/>
    <w:rsid w:val="009B6826"/>
    <w:rsid w:val="009B78BA"/>
    <w:rsid w:val="009B79F5"/>
    <w:rsid w:val="009B7F18"/>
    <w:rsid w:val="009C00FD"/>
    <w:rsid w:val="009C024C"/>
    <w:rsid w:val="009C03BB"/>
    <w:rsid w:val="009C067C"/>
    <w:rsid w:val="009C06D6"/>
    <w:rsid w:val="009C1934"/>
    <w:rsid w:val="009C1E34"/>
    <w:rsid w:val="009C20F5"/>
    <w:rsid w:val="009C21E4"/>
    <w:rsid w:val="009C25C5"/>
    <w:rsid w:val="009C26D2"/>
    <w:rsid w:val="009C370D"/>
    <w:rsid w:val="009C409D"/>
    <w:rsid w:val="009C421A"/>
    <w:rsid w:val="009C4A33"/>
    <w:rsid w:val="009C4F87"/>
    <w:rsid w:val="009C54CB"/>
    <w:rsid w:val="009C57AF"/>
    <w:rsid w:val="009C5DDE"/>
    <w:rsid w:val="009C6666"/>
    <w:rsid w:val="009C6A23"/>
    <w:rsid w:val="009C7BD0"/>
    <w:rsid w:val="009C7C01"/>
    <w:rsid w:val="009D0B1F"/>
    <w:rsid w:val="009D0C26"/>
    <w:rsid w:val="009D0D75"/>
    <w:rsid w:val="009D213D"/>
    <w:rsid w:val="009D23EF"/>
    <w:rsid w:val="009D27B4"/>
    <w:rsid w:val="009D3316"/>
    <w:rsid w:val="009D3587"/>
    <w:rsid w:val="009D3A6F"/>
    <w:rsid w:val="009D4306"/>
    <w:rsid w:val="009D4E5C"/>
    <w:rsid w:val="009D50AE"/>
    <w:rsid w:val="009D523E"/>
    <w:rsid w:val="009D597A"/>
    <w:rsid w:val="009D5AD9"/>
    <w:rsid w:val="009D64CC"/>
    <w:rsid w:val="009D6685"/>
    <w:rsid w:val="009D73E7"/>
    <w:rsid w:val="009D752D"/>
    <w:rsid w:val="009D757A"/>
    <w:rsid w:val="009D7A67"/>
    <w:rsid w:val="009E02FC"/>
    <w:rsid w:val="009E042F"/>
    <w:rsid w:val="009E1327"/>
    <w:rsid w:val="009E256C"/>
    <w:rsid w:val="009E2DEF"/>
    <w:rsid w:val="009E31FC"/>
    <w:rsid w:val="009E3C10"/>
    <w:rsid w:val="009E42D7"/>
    <w:rsid w:val="009E4BAF"/>
    <w:rsid w:val="009E4F54"/>
    <w:rsid w:val="009E531E"/>
    <w:rsid w:val="009E58B9"/>
    <w:rsid w:val="009E5ADB"/>
    <w:rsid w:val="009E5EC6"/>
    <w:rsid w:val="009E6AE6"/>
    <w:rsid w:val="009F0304"/>
    <w:rsid w:val="009F0605"/>
    <w:rsid w:val="009F0E55"/>
    <w:rsid w:val="009F1074"/>
    <w:rsid w:val="009F1F48"/>
    <w:rsid w:val="009F3D93"/>
    <w:rsid w:val="009F4108"/>
    <w:rsid w:val="009F48C9"/>
    <w:rsid w:val="009F55BD"/>
    <w:rsid w:val="009F5ABE"/>
    <w:rsid w:val="009F6682"/>
    <w:rsid w:val="009F66AE"/>
    <w:rsid w:val="009F76F9"/>
    <w:rsid w:val="00A000DF"/>
    <w:rsid w:val="00A00299"/>
    <w:rsid w:val="00A008A0"/>
    <w:rsid w:val="00A01226"/>
    <w:rsid w:val="00A01C24"/>
    <w:rsid w:val="00A02319"/>
    <w:rsid w:val="00A02683"/>
    <w:rsid w:val="00A03A45"/>
    <w:rsid w:val="00A03B3B"/>
    <w:rsid w:val="00A047D4"/>
    <w:rsid w:val="00A04C1A"/>
    <w:rsid w:val="00A05CE8"/>
    <w:rsid w:val="00A07961"/>
    <w:rsid w:val="00A10399"/>
    <w:rsid w:val="00A1103A"/>
    <w:rsid w:val="00A11309"/>
    <w:rsid w:val="00A11D96"/>
    <w:rsid w:val="00A13AE4"/>
    <w:rsid w:val="00A13FB5"/>
    <w:rsid w:val="00A14834"/>
    <w:rsid w:val="00A15B8A"/>
    <w:rsid w:val="00A165D8"/>
    <w:rsid w:val="00A167AA"/>
    <w:rsid w:val="00A16D63"/>
    <w:rsid w:val="00A2001A"/>
    <w:rsid w:val="00A2045D"/>
    <w:rsid w:val="00A20BA6"/>
    <w:rsid w:val="00A21968"/>
    <w:rsid w:val="00A224E0"/>
    <w:rsid w:val="00A22D2F"/>
    <w:rsid w:val="00A23C89"/>
    <w:rsid w:val="00A23E6C"/>
    <w:rsid w:val="00A248F6"/>
    <w:rsid w:val="00A24BBC"/>
    <w:rsid w:val="00A24E60"/>
    <w:rsid w:val="00A25014"/>
    <w:rsid w:val="00A2536E"/>
    <w:rsid w:val="00A25D12"/>
    <w:rsid w:val="00A26B23"/>
    <w:rsid w:val="00A26B2C"/>
    <w:rsid w:val="00A26BE0"/>
    <w:rsid w:val="00A26FCB"/>
    <w:rsid w:val="00A27172"/>
    <w:rsid w:val="00A27DE8"/>
    <w:rsid w:val="00A304F9"/>
    <w:rsid w:val="00A3111E"/>
    <w:rsid w:val="00A31355"/>
    <w:rsid w:val="00A33156"/>
    <w:rsid w:val="00A339FF"/>
    <w:rsid w:val="00A33E46"/>
    <w:rsid w:val="00A34016"/>
    <w:rsid w:val="00A34022"/>
    <w:rsid w:val="00A340C2"/>
    <w:rsid w:val="00A34215"/>
    <w:rsid w:val="00A34790"/>
    <w:rsid w:val="00A34A14"/>
    <w:rsid w:val="00A3623B"/>
    <w:rsid w:val="00A366FD"/>
    <w:rsid w:val="00A36B31"/>
    <w:rsid w:val="00A36D36"/>
    <w:rsid w:val="00A374AB"/>
    <w:rsid w:val="00A37D49"/>
    <w:rsid w:val="00A37D5B"/>
    <w:rsid w:val="00A405F3"/>
    <w:rsid w:val="00A407D9"/>
    <w:rsid w:val="00A40DAE"/>
    <w:rsid w:val="00A40DF2"/>
    <w:rsid w:val="00A41E34"/>
    <w:rsid w:val="00A4257C"/>
    <w:rsid w:val="00A42C30"/>
    <w:rsid w:val="00A42FD8"/>
    <w:rsid w:val="00A4393B"/>
    <w:rsid w:val="00A43C5F"/>
    <w:rsid w:val="00A44ECB"/>
    <w:rsid w:val="00A458DB"/>
    <w:rsid w:val="00A45948"/>
    <w:rsid w:val="00A45DB8"/>
    <w:rsid w:val="00A4674A"/>
    <w:rsid w:val="00A46A85"/>
    <w:rsid w:val="00A46F07"/>
    <w:rsid w:val="00A4705F"/>
    <w:rsid w:val="00A47104"/>
    <w:rsid w:val="00A50068"/>
    <w:rsid w:val="00A50838"/>
    <w:rsid w:val="00A50934"/>
    <w:rsid w:val="00A51CBF"/>
    <w:rsid w:val="00A5235C"/>
    <w:rsid w:val="00A528E1"/>
    <w:rsid w:val="00A531EB"/>
    <w:rsid w:val="00A531FE"/>
    <w:rsid w:val="00A5325F"/>
    <w:rsid w:val="00A53332"/>
    <w:rsid w:val="00A533C8"/>
    <w:rsid w:val="00A539FF"/>
    <w:rsid w:val="00A53B85"/>
    <w:rsid w:val="00A545CF"/>
    <w:rsid w:val="00A5533A"/>
    <w:rsid w:val="00A554CA"/>
    <w:rsid w:val="00A556A6"/>
    <w:rsid w:val="00A55AC8"/>
    <w:rsid w:val="00A55AF1"/>
    <w:rsid w:val="00A55C9D"/>
    <w:rsid w:val="00A56884"/>
    <w:rsid w:val="00A569B3"/>
    <w:rsid w:val="00A56F80"/>
    <w:rsid w:val="00A570A2"/>
    <w:rsid w:val="00A573E0"/>
    <w:rsid w:val="00A579A7"/>
    <w:rsid w:val="00A57B02"/>
    <w:rsid w:val="00A57B41"/>
    <w:rsid w:val="00A60C6C"/>
    <w:rsid w:val="00A60D59"/>
    <w:rsid w:val="00A61D64"/>
    <w:rsid w:val="00A62340"/>
    <w:rsid w:val="00A62B60"/>
    <w:rsid w:val="00A631EB"/>
    <w:rsid w:val="00A646F7"/>
    <w:rsid w:val="00A64EC3"/>
    <w:rsid w:val="00A662BE"/>
    <w:rsid w:val="00A66A8E"/>
    <w:rsid w:val="00A67668"/>
    <w:rsid w:val="00A6785D"/>
    <w:rsid w:val="00A67EC4"/>
    <w:rsid w:val="00A702D4"/>
    <w:rsid w:val="00A70468"/>
    <w:rsid w:val="00A70998"/>
    <w:rsid w:val="00A71E25"/>
    <w:rsid w:val="00A7251A"/>
    <w:rsid w:val="00A73180"/>
    <w:rsid w:val="00A739D5"/>
    <w:rsid w:val="00A741DD"/>
    <w:rsid w:val="00A74B6B"/>
    <w:rsid w:val="00A74F05"/>
    <w:rsid w:val="00A753DE"/>
    <w:rsid w:val="00A755BA"/>
    <w:rsid w:val="00A76CD9"/>
    <w:rsid w:val="00A77E42"/>
    <w:rsid w:val="00A77F3E"/>
    <w:rsid w:val="00A80348"/>
    <w:rsid w:val="00A80B8D"/>
    <w:rsid w:val="00A81B0C"/>
    <w:rsid w:val="00A81D39"/>
    <w:rsid w:val="00A82011"/>
    <w:rsid w:val="00A82513"/>
    <w:rsid w:val="00A83CC2"/>
    <w:rsid w:val="00A83D29"/>
    <w:rsid w:val="00A851C0"/>
    <w:rsid w:val="00A85446"/>
    <w:rsid w:val="00A85464"/>
    <w:rsid w:val="00A85ED1"/>
    <w:rsid w:val="00A862B3"/>
    <w:rsid w:val="00A868AA"/>
    <w:rsid w:val="00A86D9B"/>
    <w:rsid w:val="00A87209"/>
    <w:rsid w:val="00A90CE5"/>
    <w:rsid w:val="00A90D10"/>
    <w:rsid w:val="00A90E4C"/>
    <w:rsid w:val="00A91519"/>
    <w:rsid w:val="00A92BA2"/>
    <w:rsid w:val="00A93094"/>
    <w:rsid w:val="00A93128"/>
    <w:rsid w:val="00A939BE"/>
    <w:rsid w:val="00A93B22"/>
    <w:rsid w:val="00A96050"/>
    <w:rsid w:val="00A97C2D"/>
    <w:rsid w:val="00A97DCC"/>
    <w:rsid w:val="00AA0165"/>
    <w:rsid w:val="00AA043D"/>
    <w:rsid w:val="00AA04A2"/>
    <w:rsid w:val="00AA087B"/>
    <w:rsid w:val="00AA1949"/>
    <w:rsid w:val="00AA1FA3"/>
    <w:rsid w:val="00AA2DA5"/>
    <w:rsid w:val="00AA2FAF"/>
    <w:rsid w:val="00AA30E0"/>
    <w:rsid w:val="00AA3AAF"/>
    <w:rsid w:val="00AA4A07"/>
    <w:rsid w:val="00AA4F9C"/>
    <w:rsid w:val="00AA522F"/>
    <w:rsid w:val="00AA576B"/>
    <w:rsid w:val="00AA597C"/>
    <w:rsid w:val="00AA5EFD"/>
    <w:rsid w:val="00AA630C"/>
    <w:rsid w:val="00AA7581"/>
    <w:rsid w:val="00AA763D"/>
    <w:rsid w:val="00AA7B0D"/>
    <w:rsid w:val="00AA7DAD"/>
    <w:rsid w:val="00AB020B"/>
    <w:rsid w:val="00AB0E97"/>
    <w:rsid w:val="00AB1FD6"/>
    <w:rsid w:val="00AB2159"/>
    <w:rsid w:val="00AB26E7"/>
    <w:rsid w:val="00AB3034"/>
    <w:rsid w:val="00AB3BA9"/>
    <w:rsid w:val="00AB3F91"/>
    <w:rsid w:val="00AB4090"/>
    <w:rsid w:val="00AB459E"/>
    <w:rsid w:val="00AB4BEA"/>
    <w:rsid w:val="00AB4F68"/>
    <w:rsid w:val="00AB56AE"/>
    <w:rsid w:val="00AB667A"/>
    <w:rsid w:val="00AB6EF6"/>
    <w:rsid w:val="00AB762F"/>
    <w:rsid w:val="00AB79D3"/>
    <w:rsid w:val="00AC00F7"/>
    <w:rsid w:val="00AC01CC"/>
    <w:rsid w:val="00AC067D"/>
    <w:rsid w:val="00AC0DCA"/>
    <w:rsid w:val="00AC10FE"/>
    <w:rsid w:val="00AC1485"/>
    <w:rsid w:val="00AC1C03"/>
    <w:rsid w:val="00AC1C10"/>
    <w:rsid w:val="00AC1F79"/>
    <w:rsid w:val="00AC272E"/>
    <w:rsid w:val="00AC27B3"/>
    <w:rsid w:val="00AC2F4F"/>
    <w:rsid w:val="00AC35B3"/>
    <w:rsid w:val="00AC37E5"/>
    <w:rsid w:val="00AC3BFF"/>
    <w:rsid w:val="00AC421D"/>
    <w:rsid w:val="00AC4DE3"/>
    <w:rsid w:val="00AC5156"/>
    <w:rsid w:val="00AC518D"/>
    <w:rsid w:val="00AC51BB"/>
    <w:rsid w:val="00AC51CC"/>
    <w:rsid w:val="00AC54ED"/>
    <w:rsid w:val="00AC5724"/>
    <w:rsid w:val="00AC5983"/>
    <w:rsid w:val="00AC5B52"/>
    <w:rsid w:val="00AC61E2"/>
    <w:rsid w:val="00AC689F"/>
    <w:rsid w:val="00AC76E0"/>
    <w:rsid w:val="00AC77B5"/>
    <w:rsid w:val="00AD137A"/>
    <w:rsid w:val="00AD1855"/>
    <w:rsid w:val="00AD1930"/>
    <w:rsid w:val="00AD299E"/>
    <w:rsid w:val="00AD2F52"/>
    <w:rsid w:val="00AD2F84"/>
    <w:rsid w:val="00AD3048"/>
    <w:rsid w:val="00AD34F1"/>
    <w:rsid w:val="00AD478A"/>
    <w:rsid w:val="00AD4A0C"/>
    <w:rsid w:val="00AD57AF"/>
    <w:rsid w:val="00AD58E1"/>
    <w:rsid w:val="00AD5A52"/>
    <w:rsid w:val="00AD66A2"/>
    <w:rsid w:val="00AD6B65"/>
    <w:rsid w:val="00AD7130"/>
    <w:rsid w:val="00AE066F"/>
    <w:rsid w:val="00AE0DA7"/>
    <w:rsid w:val="00AE123E"/>
    <w:rsid w:val="00AE172B"/>
    <w:rsid w:val="00AE19A1"/>
    <w:rsid w:val="00AE243D"/>
    <w:rsid w:val="00AE34AA"/>
    <w:rsid w:val="00AE3E24"/>
    <w:rsid w:val="00AE3FD3"/>
    <w:rsid w:val="00AE412F"/>
    <w:rsid w:val="00AE6562"/>
    <w:rsid w:val="00AE6A96"/>
    <w:rsid w:val="00AE7C42"/>
    <w:rsid w:val="00AF0292"/>
    <w:rsid w:val="00AF0385"/>
    <w:rsid w:val="00AF1666"/>
    <w:rsid w:val="00AF1A7D"/>
    <w:rsid w:val="00AF3453"/>
    <w:rsid w:val="00AF370C"/>
    <w:rsid w:val="00AF3BF4"/>
    <w:rsid w:val="00AF3BFA"/>
    <w:rsid w:val="00AF4CCC"/>
    <w:rsid w:val="00AF5294"/>
    <w:rsid w:val="00AF53B7"/>
    <w:rsid w:val="00AF5EAA"/>
    <w:rsid w:val="00AF7A18"/>
    <w:rsid w:val="00AF7D6A"/>
    <w:rsid w:val="00B00319"/>
    <w:rsid w:val="00B00FF9"/>
    <w:rsid w:val="00B01264"/>
    <w:rsid w:val="00B012BE"/>
    <w:rsid w:val="00B02A3C"/>
    <w:rsid w:val="00B02A6D"/>
    <w:rsid w:val="00B02C15"/>
    <w:rsid w:val="00B02E99"/>
    <w:rsid w:val="00B03532"/>
    <w:rsid w:val="00B03C11"/>
    <w:rsid w:val="00B03FA0"/>
    <w:rsid w:val="00B048E9"/>
    <w:rsid w:val="00B04BB0"/>
    <w:rsid w:val="00B04C84"/>
    <w:rsid w:val="00B05211"/>
    <w:rsid w:val="00B052CF"/>
    <w:rsid w:val="00B0544C"/>
    <w:rsid w:val="00B059E7"/>
    <w:rsid w:val="00B05B68"/>
    <w:rsid w:val="00B064A2"/>
    <w:rsid w:val="00B076A7"/>
    <w:rsid w:val="00B10259"/>
    <w:rsid w:val="00B1035E"/>
    <w:rsid w:val="00B103CF"/>
    <w:rsid w:val="00B10492"/>
    <w:rsid w:val="00B10C87"/>
    <w:rsid w:val="00B11A15"/>
    <w:rsid w:val="00B11C0A"/>
    <w:rsid w:val="00B11DF2"/>
    <w:rsid w:val="00B11DFC"/>
    <w:rsid w:val="00B120EC"/>
    <w:rsid w:val="00B12247"/>
    <w:rsid w:val="00B12855"/>
    <w:rsid w:val="00B128D0"/>
    <w:rsid w:val="00B133AB"/>
    <w:rsid w:val="00B13A7C"/>
    <w:rsid w:val="00B13CD7"/>
    <w:rsid w:val="00B14B5B"/>
    <w:rsid w:val="00B1559B"/>
    <w:rsid w:val="00B15918"/>
    <w:rsid w:val="00B15B0B"/>
    <w:rsid w:val="00B160C8"/>
    <w:rsid w:val="00B16537"/>
    <w:rsid w:val="00B16561"/>
    <w:rsid w:val="00B1668D"/>
    <w:rsid w:val="00B166DF"/>
    <w:rsid w:val="00B169BC"/>
    <w:rsid w:val="00B16A3B"/>
    <w:rsid w:val="00B17CF8"/>
    <w:rsid w:val="00B2045C"/>
    <w:rsid w:val="00B20875"/>
    <w:rsid w:val="00B20CFE"/>
    <w:rsid w:val="00B21291"/>
    <w:rsid w:val="00B22181"/>
    <w:rsid w:val="00B22837"/>
    <w:rsid w:val="00B22869"/>
    <w:rsid w:val="00B238DC"/>
    <w:rsid w:val="00B23CFF"/>
    <w:rsid w:val="00B24192"/>
    <w:rsid w:val="00B243FC"/>
    <w:rsid w:val="00B248D8"/>
    <w:rsid w:val="00B2515F"/>
    <w:rsid w:val="00B25673"/>
    <w:rsid w:val="00B25915"/>
    <w:rsid w:val="00B25FA3"/>
    <w:rsid w:val="00B26070"/>
    <w:rsid w:val="00B263D0"/>
    <w:rsid w:val="00B26567"/>
    <w:rsid w:val="00B26931"/>
    <w:rsid w:val="00B26EC0"/>
    <w:rsid w:val="00B27748"/>
    <w:rsid w:val="00B27DF2"/>
    <w:rsid w:val="00B27E57"/>
    <w:rsid w:val="00B305DA"/>
    <w:rsid w:val="00B30F35"/>
    <w:rsid w:val="00B31361"/>
    <w:rsid w:val="00B32136"/>
    <w:rsid w:val="00B3230F"/>
    <w:rsid w:val="00B3245E"/>
    <w:rsid w:val="00B32D91"/>
    <w:rsid w:val="00B32F6D"/>
    <w:rsid w:val="00B3349A"/>
    <w:rsid w:val="00B34BDB"/>
    <w:rsid w:val="00B362EC"/>
    <w:rsid w:val="00B3687D"/>
    <w:rsid w:val="00B36D9D"/>
    <w:rsid w:val="00B37977"/>
    <w:rsid w:val="00B37D6F"/>
    <w:rsid w:val="00B40838"/>
    <w:rsid w:val="00B40897"/>
    <w:rsid w:val="00B40A93"/>
    <w:rsid w:val="00B40BCA"/>
    <w:rsid w:val="00B40ED8"/>
    <w:rsid w:val="00B40F39"/>
    <w:rsid w:val="00B4128D"/>
    <w:rsid w:val="00B4152E"/>
    <w:rsid w:val="00B41D91"/>
    <w:rsid w:val="00B42485"/>
    <w:rsid w:val="00B42899"/>
    <w:rsid w:val="00B4295E"/>
    <w:rsid w:val="00B43063"/>
    <w:rsid w:val="00B438E8"/>
    <w:rsid w:val="00B44489"/>
    <w:rsid w:val="00B44B1C"/>
    <w:rsid w:val="00B44C7C"/>
    <w:rsid w:val="00B450DC"/>
    <w:rsid w:val="00B45C59"/>
    <w:rsid w:val="00B46C61"/>
    <w:rsid w:val="00B472EB"/>
    <w:rsid w:val="00B47DE3"/>
    <w:rsid w:val="00B50063"/>
    <w:rsid w:val="00B507D4"/>
    <w:rsid w:val="00B5092A"/>
    <w:rsid w:val="00B50B61"/>
    <w:rsid w:val="00B513E7"/>
    <w:rsid w:val="00B51584"/>
    <w:rsid w:val="00B5212C"/>
    <w:rsid w:val="00B52835"/>
    <w:rsid w:val="00B52D8C"/>
    <w:rsid w:val="00B53039"/>
    <w:rsid w:val="00B53640"/>
    <w:rsid w:val="00B53B81"/>
    <w:rsid w:val="00B53E81"/>
    <w:rsid w:val="00B547C9"/>
    <w:rsid w:val="00B548FA"/>
    <w:rsid w:val="00B5493D"/>
    <w:rsid w:val="00B54ECA"/>
    <w:rsid w:val="00B553EC"/>
    <w:rsid w:val="00B556B0"/>
    <w:rsid w:val="00B57308"/>
    <w:rsid w:val="00B607CE"/>
    <w:rsid w:val="00B6136E"/>
    <w:rsid w:val="00B613C7"/>
    <w:rsid w:val="00B61EA8"/>
    <w:rsid w:val="00B62CD8"/>
    <w:rsid w:val="00B638D9"/>
    <w:rsid w:val="00B6410D"/>
    <w:rsid w:val="00B645F3"/>
    <w:rsid w:val="00B656FC"/>
    <w:rsid w:val="00B65842"/>
    <w:rsid w:val="00B65F01"/>
    <w:rsid w:val="00B671F1"/>
    <w:rsid w:val="00B70155"/>
    <w:rsid w:val="00B70715"/>
    <w:rsid w:val="00B70970"/>
    <w:rsid w:val="00B71207"/>
    <w:rsid w:val="00B73197"/>
    <w:rsid w:val="00B7352E"/>
    <w:rsid w:val="00B740E4"/>
    <w:rsid w:val="00B748CD"/>
    <w:rsid w:val="00B751E2"/>
    <w:rsid w:val="00B7632B"/>
    <w:rsid w:val="00B76EF4"/>
    <w:rsid w:val="00B773DE"/>
    <w:rsid w:val="00B779DE"/>
    <w:rsid w:val="00B77B95"/>
    <w:rsid w:val="00B77DDF"/>
    <w:rsid w:val="00B77E9E"/>
    <w:rsid w:val="00B80250"/>
    <w:rsid w:val="00B809BD"/>
    <w:rsid w:val="00B80E26"/>
    <w:rsid w:val="00B81250"/>
    <w:rsid w:val="00B819DA"/>
    <w:rsid w:val="00B81CD7"/>
    <w:rsid w:val="00B8276A"/>
    <w:rsid w:val="00B82E8F"/>
    <w:rsid w:val="00B83140"/>
    <w:rsid w:val="00B836BC"/>
    <w:rsid w:val="00B836FD"/>
    <w:rsid w:val="00B8412A"/>
    <w:rsid w:val="00B843DE"/>
    <w:rsid w:val="00B84F7A"/>
    <w:rsid w:val="00B8538E"/>
    <w:rsid w:val="00B8572E"/>
    <w:rsid w:val="00B85833"/>
    <w:rsid w:val="00B85A6B"/>
    <w:rsid w:val="00B85CA2"/>
    <w:rsid w:val="00B85CFE"/>
    <w:rsid w:val="00B86C05"/>
    <w:rsid w:val="00B8705D"/>
    <w:rsid w:val="00B871E2"/>
    <w:rsid w:val="00B87F26"/>
    <w:rsid w:val="00B9019D"/>
    <w:rsid w:val="00B90292"/>
    <w:rsid w:val="00B909DB"/>
    <w:rsid w:val="00B91003"/>
    <w:rsid w:val="00B91090"/>
    <w:rsid w:val="00B912C5"/>
    <w:rsid w:val="00B91412"/>
    <w:rsid w:val="00B9177F"/>
    <w:rsid w:val="00B9217B"/>
    <w:rsid w:val="00B92598"/>
    <w:rsid w:val="00B92C24"/>
    <w:rsid w:val="00B92D1D"/>
    <w:rsid w:val="00B933B3"/>
    <w:rsid w:val="00B936CD"/>
    <w:rsid w:val="00B94473"/>
    <w:rsid w:val="00B94E46"/>
    <w:rsid w:val="00B9582F"/>
    <w:rsid w:val="00B962D2"/>
    <w:rsid w:val="00B963D0"/>
    <w:rsid w:val="00B96C4E"/>
    <w:rsid w:val="00B97320"/>
    <w:rsid w:val="00B9765A"/>
    <w:rsid w:val="00B97C29"/>
    <w:rsid w:val="00BA002E"/>
    <w:rsid w:val="00BA023E"/>
    <w:rsid w:val="00BA09B3"/>
    <w:rsid w:val="00BA127E"/>
    <w:rsid w:val="00BA12FA"/>
    <w:rsid w:val="00BA2475"/>
    <w:rsid w:val="00BA2594"/>
    <w:rsid w:val="00BA2965"/>
    <w:rsid w:val="00BA29B3"/>
    <w:rsid w:val="00BA2A29"/>
    <w:rsid w:val="00BA30EF"/>
    <w:rsid w:val="00BA3119"/>
    <w:rsid w:val="00BA4827"/>
    <w:rsid w:val="00BA4A41"/>
    <w:rsid w:val="00BA5388"/>
    <w:rsid w:val="00BA583B"/>
    <w:rsid w:val="00BA5962"/>
    <w:rsid w:val="00BA6373"/>
    <w:rsid w:val="00BA7A01"/>
    <w:rsid w:val="00BB073B"/>
    <w:rsid w:val="00BB0A87"/>
    <w:rsid w:val="00BB0DF0"/>
    <w:rsid w:val="00BB1588"/>
    <w:rsid w:val="00BB184C"/>
    <w:rsid w:val="00BB2E83"/>
    <w:rsid w:val="00BB3AA8"/>
    <w:rsid w:val="00BB3BDE"/>
    <w:rsid w:val="00BB40AA"/>
    <w:rsid w:val="00BB42B5"/>
    <w:rsid w:val="00BB4AC0"/>
    <w:rsid w:val="00BB61CD"/>
    <w:rsid w:val="00BB6ED0"/>
    <w:rsid w:val="00BB7664"/>
    <w:rsid w:val="00BB7A4B"/>
    <w:rsid w:val="00BC091C"/>
    <w:rsid w:val="00BC1562"/>
    <w:rsid w:val="00BC1FB1"/>
    <w:rsid w:val="00BC31BD"/>
    <w:rsid w:val="00BC3214"/>
    <w:rsid w:val="00BC34C3"/>
    <w:rsid w:val="00BC3A41"/>
    <w:rsid w:val="00BC46BC"/>
    <w:rsid w:val="00BC5290"/>
    <w:rsid w:val="00BC6641"/>
    <w:rsid w:val="00BC7067"/>
    <w:rsid w:val="00BC767A"/>
    <w:rsid w:val="00BC7787"/>
    <w:rsid w:val="00BC7A05"/>
    <w:rsid w:val="00BD0E42"/>
    <w:rsid w:val="00BD1485"/>
    <w:rsid w:val="00BD292C"/>
    <w:rsid w:val="00BD2B88"/>
    <w:rsid w:val="00BD30CE"/>
    <w:rsid w:val="00BD34FD"/>
    <w:rsid w:val="00BD3848"/>
    <w:rsid w:val="00BD3EB0"/>
    <w:rsid w:val="00BD4910"/>
    <w:rsid w:val="00BD4DAA"/>
    <w:rsid w:val="00BD6414"/>
    <w:rsid w:val="00BD6610"/>
    <w:rsid w:val="00BD68A1"/>
    <w:rsid w:val="00BD7A6F"/>
    <w:rsid w:val="00BE00CE"/>
    <w:rsid w:val="00BE1455"/>
    <w:rsid w:val="00BE1709"/>
    <w:rsid w:val="00BE2CAC"/>
    <w:rsid w:val="00BE3EE6"/>
    <w:rsid w:val="00BE41A7"/>
    <w:rsid w:val="00BE4330"/>
    <w:rsid w:val="00BE43E2"/>
    <w:rsid w:val="00BE4644"/>
    <w:rsid w:val="00BE4AC9"/>
    <w:rsid w:val="00BE5D78"/>
    <w:rsid w:val="00BE616C"/>
    <w:rsid w:val="00BE757B"/>
    <w:rsid w:val="00BE7857"/>
    <w:rsid w:val="00BE7E8D"/>
    <w:rsid w:val="00BF01A2"/>
    <w:rsid w:val="00BF1A31"/>
    <w:rsid w:val="00BF1C0B"/>
    <w:rsid w:val="00BF2AAB"/>
    <w:rsid w:val="00BF2D68"/>
    <w:rsid w:val="00BF33B7"/>
    <w:rsid w:val="00BF395A"/>
    <w:rsid w:val="00BF53D9"/>
    <w:rsid w:val="00BF5A8D"/>
    <w:rsid w:val="00BF5F8A"/>
    <w:rsid w:val="00BF63C0"/>
    <w:rsid w:val="00BF665D"/>
    <w:rsid w:val="00BF750F"/>
    <w:rsid w:val="00C003AD"/>
    <w:rsid w:val="00C00482"/>
    <w:rsid w:val="00C006FC"/>
    <w:rsid w:val="00C00C45"/>
    <w:rsid w:val="00C017DC"/>
    <w:rsid w:val="00C02AD5"/>
    <w:rsid w:val="00C02E2E"/>
    <w:rsid w:val="00C04A90"/>
    <w:rsid w:val="00C05167"/>
    <w:rsid w:val="00C05956"/>
    <w:rsid w:val="00C05BF5"/>
    <w:rsid w:val="00C062D8"/>
    <w:rsid w:val="00C0677C"/>
    <w:rsid w:val="00C06D79"/>
    <w:rsid w:val="00C06F71"/>
    <w:rsid w:val="00C06F89"/>
    <w:rsid w:val="00C07F2E"/>
    <w:rsid w:val="00C10249"/>
    <w:rsid w:val="00C1042B"/>
    <w:rsid w:val="00C104C1"/>
    <w:rsid w:val="00C1093A"/>
    <w:rsid w:val="00C10DCA"/>
    <w:rsid w:val="00C10E3D"/>
    <w:rsid w:val="00C11EA1"/>
    <w:rsid w:val="00C129D9"/>
    <w:rsid w:val="00C12C78"/>
    <w:rsid w:val="00C1309E"/>
    <w:rsid w:val="00C13C0A"/>
    <w:rsid w:val="00C13C6E"/>
    <w:rsid w:val="00C14023"/>
    <w:rsid w:val="00C141EC"/>
    <w:rsid w:val="00C14638"/>
    <w:rsid w:val="00C146CF"/>
    <w:rsid w:val="00C14CE9"/>
    <w:rsid w:val="00C16022"/>
    <w:rsid w:val="00C161CB"/>
    <w:rsid w:val="00C16B1F"/>
    <w:rsid w:val="00C170C3"/>
    <w:rsid w:val="00C17702"/>
    <w:rsid w:val="00C177F4"/>
    <w:rsid w:val="00C17BA7"/>
    <w:rsid w:val="00C17F58"/>
    <w:rsid w:val="00C20B6E"/>
    <w:rsid w:val="00C20F7A"/>
    <w:rsid w:val="00C21A3A"/>
    <w:rsid w:val="00C2235D"/>
    <w:rsid w:val="00C229FA"/>
    <w:rsid w:val="00C22A4F"/>
    <w:rsid w:val="00C2334F"/>
    <w:rsid w:val="00C23796"/>
    <w:rsid w:val="00C23863"/>
    <w:rsid w:val="00C2387A"/>
    <w:rsid w:val="00C23E25"/>
    <w:rsid w:val="00C23FDA"/>
    <w:rsid w:val="00C24024"/>
    <w:rsid w:val="00C2477C"/>
    <w:rsid w:val="00C24973"/>
    <w:rsid w:val="00C249B7"/>
    <w:rsid w:val="00C24CE2"/>
    <w:rsid w:val="00C24EB9"/>
    <w:rsid w:val="00C25004"/>
    <w:rsid w:val="00C25018"/>
    <w:rsid w:val="00C255E8"/>
    <w:rsid w:val="00C25911"/>
    <w:rsid w:val="00C25EB9"/>
    <w:rsid w:val="00C26058"/>
    <w:rsid w:val="00C26B5E"/>
    <w:rsid w:val="00C270F4"/>
    <w:rsid w:val="00C27528"/>
    <w:rsid w:val="00C27780"/>
    <w:rsid w:val="00C2778F"/>
    <w:rsid w:val="00C27B79"/>
    <w:rsid w:val="00C30B8F"/>
    <w:rsid w:val="00C31DC3"/>
    <w:rsid w:val="00C321C8"/>
    <w:rsid w:val="00C325F0"/>
    <w:rsid w:val="00C32CD7"/>
    <w:rsid w:val="00C32EB1"/>
    <w:rsid w:val="00C33271"/>
    <w:rsid w:val="00C33D4F"/>
    <w:rsid w:val="00C351D0"/>
    <w:rsid w:val="00C35543"/>
    <w:rsid w:val="00C3605C"/>
    <w:rsid w:val="00C36E40"/>
    <w:rsid w:val="00C37183"/>
    <w:rsid w:val="00C37194"/>
    <w:rsid w:val="00C40751"/>
    <w:rsid w:val="00C40CD4"/>
    <w:rsid w:val="00C40ECA"/>
    <w:rsid w:val="00C413A5"/>
    <w:rsid w:val="00C426A0"/>
    <w:rsid w:val="00C43666"/>
    <w:rsid w:val="00C43CDB"/>
    <w:rsid w:val="00C43F9A"/>
    <w:rsid w:val="00C4401B"/>
    <w:rsid w:val="00C4473D"/>
    <w:rsid w:val="00C45919"/>
    <w:rsid w:val="00C45B6E"/>
    <w:rsid w:val="00C45ECD"/>
    <w:rsid w:val="00C468AA"/>
    <w:rsid w:val="00C50663"/>
    <w:rsid w:val="00C5085A"/>
    <w:rsid w:val="00C5090A"/>
    <w:rsid w:val="00C50C52"/>
    <w:rsid w:val="00C51109"/>
    <w:rsid w:val="00C515F3"/>
    <w:rsid w:val="00C516FD"/>
    <w:rsid w:val="00C51990"/>
    <w:rsid w:val="00C51AEF"/>
    <w:rsid w:val="00C52FD7"/>
    <w:rsid w:val="00C534C4"/>
    <w:rsid w:val="00C53A6B"/>
    <w:rsid w:val="00C53EE1"/>
    <w:rsid w:val="00C5461B"/>
    <w:rsid w:val="00C54989"/>
    <w:rsid w:val="00C551E9"/>
    <w:rsid w:val="00C5579F"/>
    <w:rsid w:val="00C55831"/>
    <w:rsid w:val="00C5661A"/>
    <w:rsid w:val="00C56DA3"/>
    <w:rsid w:val="00C57555"/>
    <w:rsid w:val="00C57AF1"/>
    <w:rsid w:val="00C6052E"/>
    <w:rsid w:val="00C60B2A"/>
    <w:rsid w:val="00C60C06"/>
    <w:rsid w:val="00C60E3B"/>
    <w:rsid w:val="00C617E7"/>
    <w:rsid w:val="00C61B23"/>
    <w:rsid w:val="00C62F86"/>
    <w:rsid w:val="00C63DF3"/>
    <w:rsid w:val="00C63F6B"/>
    <w:rsid w:val="00C6404F"/>
    <w:rsid w:val="00C643A9"/>
    <w:rsid w:val="00C64452"/>
    <w:rsid w:val="00C64453"/>
    <w:rsid w:val="00C646E8"/>
    <w:rsid w:val="00C64AF5"/>
    <w:rsid w:val="00C66160"/>
    <w:rsid w:val="00C66F61"/>
    <w:rsid w:val="00C67C27"/>
    <w:rsid w:val="00C70099"/>
    <w:rsid w:val="00C704C3"/>
    <w:rsid w:val="00C71011"/>
    <w:rsid w:val="00C71617"/>
    <w:rsid w:val="00C71741"/>
    <w:rsid w:val="00C7190A"/>
    <w:rsid w:val="00C71DB4"/>
    <w:rsid w:val="00C7224F"/>
    <w:rsid w:val="00C722A9"/>
    <w:rsid w:val="00C72C46"/>
    <w:rsid w:val="00C738C6"/>
    <w:rsid w:val="00C73BFC"/>
    <w:rsid w:val="00C7446F"/>
    <w:rsid w:val="00C75291"/>
    <w:rsid w:val="00C75506"/>
    <w:rsid w:val="00C76085"/>
    <w:rsid w:val="00C7675A"/>
    <w:rsid w:val="00C76E57"/>
    <w:rsid w:val="00C77D59"/>
    <w:rsid w:val="00C801F8"/>
    <w:rsid w:val="00C80A00"/>
    <w:rsid w:val="00C80AB1"/>
    <w:rsid w:val="00C80EEB"/>
    <w:rsid w:val="00C80FB6"/>
    <w:rsid w:val="00C82977"/>
    <w:rsid w:val="00C82A18"/>
    <w:rsid w:val="00C83377"/>
    <w:rsid w:val="00C8365C"/>
    <w:rsid w:val="00C83BED"/>
    <w:rsid w:val="00C8456E"/>
    <w:rsid w:val="00C84F5A"/>
    <w:rsid w:val="00C85085"/>
    <w:rsid w:val="00C856C1"/>
    <w:rsid w:val="00C85800"/>
    <w:rsid w:val="00C86728"/>
    <w:rsid w:val="00C87713"/>
    <w:rsid w:val="00C877FF"/>
    <w:rsid w:val="00C87F04"/>
    <w:rsid w:val="00C90122"/>
    <w:rsid w:val="00C9030E"/>
    <w:rsid w:val="00C90B72"/>
    <w:rsid w:val="00C90CAA"/>
    <w:rsid w:val="00C916A5"/>
    <w:rsid w:val="00C9183B"/>
    <w:rsid w:val="00C91AAC"/>
    <w:rsid w:val="00C9338B"/>
    <w:rsid w:val="00C93C20"/>
    <w:rsid w:val="00C94275"/>
    <w:rsid w:val="00C94732"/>
    <w:rsid w:val="00C94A75"/>
    <w:rsid w:val="00C94C34"/>
    <w:rsid w:val="00C95320"/>
    <w:rsid w:val="00C95D57"/>
    <w:rsid w:val="00CA27F3"/>
    <w:rsid w:val="00CA39E8"/>
    <w:rsid w:val="00CA491A"/>
    <w:rsid w:val="00CA4F5A"/>
    <w:rsid w:val="00CA55F6"/>
    <w:rsid w:val="00CA5C63"/>
    <w:rsid w:val="00CA5F3B"/>
    <w:rsid w:val="00CA6E51"/>
    <w:rsid w:val="00CA774C"/>
    <w:rsid w:val="00CA7B74"/>
    <w:rsid w:val="00CB05F9"/>
    <w:rsid w:val="00CB0B42"/>
    <w:rsid w:val="00CB0F06"/>
    <w:rsid w:val="00CB1628"/>
    <w:rsid w:val="00CB1E10"/>
    <w:rsid w:val="00CB2712"/>
    <w:rsid w:val="00CB348E"/>
    <w:rsid w:val="00CB37B5"/>
    <w:rsid w:val="00CB470A"/>
    <w:rsid w:val="00CB47C8"/>
    <w:rsid w:val="00CB5A51"/>
    <w:rsid w:val="00CB6278"/>
    <w:rsid w:val="00CB7C53"/>
    <w:rsid w:val="00CC143A"/>
    <w:rsid w:val="00CC1441"/>
    <w:rsid w:val="00CC1B81"/>
    <w:rsid w:val="00CC1CFD"/>
    <w:rsid w:val="00CC2278"/>
    <w:rsid w:val="00CC2656"/>
    <w:rsid w:val="00CC296E"/>
    <w:rsid w:val="00CC34A7"/>
    <w:rsid w:val="00CC3570"/>
    <w:rsid w:val="00CC3868"/>
    <w:rsid w:val="00CC40BC"/>
    <w:rsid w:val="00CC53B2"/>
    <w:rsid w:val="00CC5D67"/>
    <w:rsid w:val="00CC5FE6"/>
    <w:rsid w:val="00CC6150"/>
    <w:rsid w:val="00CC6419"/>
    <w:rsid w:val="00CC666E"/>
    <w:rsid w:val="00CC6A35"/>
    <w:rsid w:val="00CC6B88"/>
    <w:rsid w:val="00CC6D73"/>
    <w:rsid w:val="00CC7013"/>
    <w:rsid w:val="00CC753A"/>
    <w:rsid w:val="00CC7C3D"/>
    <w:rsid w:val="00CD0039"/>
    <w:rsid w:val="00CD0681"/>
    <w:rsid w:val="00CD2263"/>
    <w:rsid w:val="00CD29CE"/>
    <w:rsid w:val="00CD31DD"/>
    <w:rsid w:val="00CD4078"/>
    <w:rsid w:val="00CD4951"/>
    <w:rsid w:val="00CD50A0"/>
    <w:rsid w:val="00CD5264"/>
    <w:rsid w:val="00CD5496"/>
    <w:rsid w:val="00CD584E"/>
    <w:rsid w:val="00CD5F59"/>
    <w:rsid w:val="00CD6103"/>
    <w:rsid w:val="00CD61E5"/>
    <w:rsid w:val="00CD65BC"/>
    <w:rsid w:val="00CD66EA"/>
    <w:rsid w:val="00CD67D3"/>
    <w:rsid w:val="00CD6886"/>
    <w:rsid w:val="00CD68F8"/>
    <w:rsid w:val="00CD6BCA"/>
    <w:rsid w:val="00CD6F44"/>
    <w:rsid w:val="00CD71E4"/>
    <w:rsid w:val="00CD75F2"/>
    <w:rsid w:val="00CD7B1C"/>
    <w:rsid w:val="00CE1A0C"/>
    <w:rsid w:val="00CE1F62"/>
    <w:rsid w:val="00CE25EF"/>
    <w:rsid w:val="00CE2AB1"/>
    <w:rsid w:val="00CE3339"/>
    <w:rsid w:val="00CE3BAF"/>
    <w:rsid w:val="00CE3E56"/>
    <w:rsid w:val="00CE44AE"/>
    <w:rsid w:val="00CE4543"/>
    <w:rsid w:val="00CE4A2E"/>
    <w:rsid w:val="00CE4ADD"/>
    <w:rsid w:val="00CE4B84"/>
    <w:rsid w:val="00CE5419"/>
    <w:rsid w:val="00CE54B6"/>
    <w:rsid w:val="00CE6B5A"/>
    <w:rsid w:val="00CF0246"/>
    <w:rsid w:val="00CF057C"/>
    <w:rsid w:val="00CF0818"/>
    <w:rsid w:val="00CF0FAE"/>
    <w:rsid w:val="00CF1218"/>
    <w:rsid w:val="00CF1632"/>
    <w:rsid w:val="00CF3130"/>
    <w:rsid w:val="00CF318F"/>
    <w:rsid w:val="00CF365A"/>
    <w:rsid w:val="00CF5A60"/>
    <w:rsid w:val="00CF5D83"/>
    <w:rsid w:val="00CF6B9A"/>
    <w:rsid w:val="00CF6CFF"/>
    <w:rsid w:val="00CF7347"/>
    <w:rsid w:val="00CF7930"/>
    <w:rsid w:val="00CF7D76"/>
    <w:rsid w:val="00D00287"/>
    <w:rsid w:val="00D01196"/>
    <w:rsid w:val="00D01921"/>
    <w:rsid w:val="00D021B6"/>
    <w:rsid w:val="00D02A1C"/>
    <w:rsid w:val="00D0329C"/>
    <w:rsid w:val="00D03A07"/>
    <w:rsid w:val="00D03B0B"/>
    <w:rsid w:val="00D04516"/>
    <w:rsid w:val="00D04651"/>
    <w:rsid w:val="00D04D71"/>
    <w:rsid w:val="00D05259"/>
    <w:rsid w:val="00D05C0B"/>
    <w:rsid w:val="00D05E20"/>
    <w:rsid w:val="00D05E5B"/>
    <w:rsid w:val="00D060C5"/>
    <w:rsid w:val="00D0619B"/>
    <w:rsid w:val="00D062B0"/>
    <w:rsid w:val="00D06841"/>
    <w:rsid w:val="00D068A0"/>
    <w:rsid w:val="00D06C6C"/>
    <w:rsid w:val="00D07F97"/>
    <w:rsid w:val="00D07FCE"/>
    <w:rsid w:val="00D104BF"/>
    <w:rsid w:val="00D107A3"/>
    <w:rsid w:val="00D107BC"/>
    <w:rsid w:val="00D10E51"/>
    <w:rsid w:val="00D110C0"/>
    <w:rsid w:val="00D11F18"/>
    <w:rsid w:val="00D1270A"/>
    <w:rsid w:val="00D12C5E"/>
    <w:rsid w:val="00D1329C"/>
    <w:rsid w:val="00D14AF4"/>
    <w:rsid w:val="00D1597A"/>
    <w:rsid w:val="00D15CBF"/>
    <w:rsid w:val="00D16CE3"/>
    <w:rsid w:val="00D17DD0"/>
    <w:rsid w:val="00D20151"/>
    <w:rsid w:val="00D21600"/>
    <w:rsid w:val="00D21763"/>
    <w:rsid w:val="00D2219E"/>
    <w:rsid w:val="00D22F93"/>
    <w:rsid w:val="00D23AB1"/>
    <w:rsid w:val="00D23D7E"/>
    <w:rsid w:val="00D23E12"/>
    <w:rsid w:val="00D23EDD"/>
    <w:rsid w:val="00D2470A"/>
    <w:rsid w:val="00D25BB6"/>
    <w:rsid w:val="00D26378"/>
    <w:rsid w:val="00D26DEE"/>
    <w:rsid w:val="00D271FE"/>
    <w:rsid w:val="00D27B4E"/>
    <w:rsid w:val="00D301A7"/>
    <w:rsid w:val="00D30C38"/>
    <w:rsid w:val="00D3124B"/>
    <w:rsid w:val="00D32435"/>
    <w:rsid w:val="00D325DB"/>
    <w:rsid w:val="00D33309"/>
    <w:rsid w:val="00D33924"/>
    <w:rsid w:val="00D341C6"/>
    <w:rsid w:val="00D357A9"/>
    <w:rsid w:val="00D358D3"/>
    <w:rsid w:val="00D35FC9"/>
    <w:rsid w:val="00D367C7"/>
    <w:rsid w:val="00D3714D"/>
    <w:rsid w:val="00D37352"/>
    <w:rsid w:val="00D37EDD"/>
    <w:rsid w:val="00D403B2"/>
    <w:rsid w:val="00D40848"/>
    <w:rsid w:val="00D41795"/>
    <w:rsid w:val="00D41BA1"/>
    <w:rsid w:val="00D41C84"/>
    <w:rsid w:val="00D41E68"/>
    <w:rsid w:val="00D421A9"/>
    <w:rsid w:val="00D422FE"/>
    <w:rsid w:val="00D42411"/>
    <w:rsid w:val="00D429DE"/>
    <w:rsid w:val="00D42CB6"/>
    <w:rsid w:val="00D42CF0"/>
    <w:rsid w:val="00D43519"/>
    <w:rsid w:val="00D437B8"/>
    <w:rsid w:val="00D4403E"/>
    <w:rsid w:val="00D443DF"/>
    <w:rsid w:val="00D444D9"/>
    <w:rsid w:val="00D44D44"/>
    <w:rsid w:val="00D450AA"/>
    <w:rsid w:val="00D4520B"/>
    <w:rsid w:val="00D45A5A"/>
    <w:rsid w:val="00D45BE4"/>
    <w:rsid w:val="00D463E1"/>
    <w:rsid w:val="00D4650F"/>
    <w:rsid w:val="00D465EA"/>
    <w:rsid w:val="00D47A19"/>
    <w:rsid w:val="00D47B00"/>
    <w:rsid w:val="00D50213"/>
    <w:rsid w:val="00D5061C"/>
    <w:rsid w:val="00D50652"/>
    <w:rsid w:val="00D50B0C"/>
    <w:rsid w:val="00D50D5A"/>
    <w:rsid w:val="00D51254"/>
    <w:rsid w:val="00D51D7A"/>
    <w:rsid w:val="00D52302"/>
    <w:rsid w:val="00D5235A"/>
    <w:rsid w:val="00D52ABF"/>
    <w:rsid w:val="00D538DB"/>
    <w:rsid w:val="00D5428B"/>
    <w:rsid w:val="00D547C5"/>
    <w:rsid w:val="00D54FE5"/>
    <w:rsid w:val="00D554F8"/>
    <w:rsid w:val="00D55896"/>
    <w:rsid w:val="00D559B4"/>
    <w:rsid w:val="00D55CC5"/>
    <w:rsid w:val="00D55EBB"/>
    <w:rsid w:val="00D56958"/>
    <w:rsid w:val="00D57435"/>
    <w:rsid w:val="00D574D9"/>
    <w:rsid w:val="00D577A0"/>
    <w:rsid w:val="00D6056D"/>
    <w:rsid w:val="00D61268"/>
    <w:rsid w:val="00D61CBE"/>
    <w:rsid w:val="00D61CCF"/>
    <w:rsid w:val="00D61EF9"/>
    <w:rsid w:val="00D6227F"/>
    <w:rsid w:val="00D623E0"/>
    <w:rsid w:val="00D62775"/>
    <w:rsid w:val="00D62998"/>
    <w:rsid w:val="00D62DF5"/>
    <w:rsid w:val="00D632F7"/>
    <w:rsid w:val="00D63943"/>
    <w:rsid w:val="00D63FBD"/>
    <w:rsid w:val="00D651AA"/>
    <w:rsid w:val="00D654A8"/>
    <w:rsid w:val="00D6580F"/>
    <w:rsid w:val="00D664B3"/>
    <w:rsid w:val="00D67A58"/>
    <w:rsid w:val="00D70177"/>
    <w:rsid w:val="00D70BC3"/>
    <w:rsid w:val="00D70F2E"/>
    <w:rsid w:val="00D70F83"/>
    <w:rsid w:val="00D71411"/>
    <w:rsid w:val="00D71523"/>
    <w:rsid w:val="00D726CD"/>
    <w:rsid w:val="00D72D10"/>
    <w:rsid w:val="00D72E69"/>
    <w:rsid w:val="00D73734"/>
    <w:rsid w:val="00D73BE4"/>
    <w:rsid w:val="00D74438"/>
    <w:rsid w:val="00D74C6F"/>
    <w:rsid w:val="00D74EDB"/>
    <w:rsid w:val="00D756DD"/>
    <w:rsid w:val="00D75796"/>
    <w:rsid w:val="00D75E6D"/>
    <w:rsid w:val="00D77098"/>
    <w:rsid w:val="00D77DAD"/>
    <w:rsid w:val="00D800CF"/>
    <w:rsid w:val="00D80401"/>
    <w:rsid w:val="00D80DC2"/>
    <w:rsid w:val="00D825D5"/>
    <w:rsid w:val="00D82621"/>
    <w:rsid w:val="00D826FF"/>
    <w:rsid w:val="00D830F6"/>
    <w:rsid w:val="00D831B6"/>
    <w:rsid w:val="00D8391B"/>
    <w:rsid w:val="00D83A68"/>
    <w:rsid w:val="00D83D26"/>
    <w:rsid w:val="00D843E9"/>
    <w:rsid w:val="00D843EA"/>
    <w:rsid w:val="00D847A0"/>
    <w:rsid w:val="00D84DCB"/>
    <w:rsid w:val="00D84F44"/>
    <w:rsid w:val="00D852B4"/>
    <w:rsid w:val="00D86E47"/>
    <w:rsid w:val="00D872C9"/>
    <w:rsid w:val="00D9024A"/>
    <w:rsid w:val="00D91825"/>
    <w:rsid w:val="00D91CF2"/>
    <w:rsid w:val="00D9227F"/>
    <w:rsid w:val="00D92A87"/>
    <w:rsid w:val="00D92C19"/>
    <w:rsid w:val="00D93059"/>
    <w:rsid w:val="00D94992"/>
    <w:rsid w:val="00D94ADF"/>
    <w:rsid w:val="00D94C22"/>
    <w:rsid w:val="00D95A90"/>
    <w:rsid w:val="00D96644"/>
    <w:rsid w:val="00D96D4D"/>
    <w:rsid w:val="00D97225"/>
    <w:rsid w:val="00DA05C9"/>
    <w:rsid w:val="00DA065F"/>
    <w:rsid w:val="00DA089C"/>
    <w:rsid w:val="00DA0C6A"/>
    <w:rsid w:val="00DA136D"/>
    <w:rsid w:val="00DA1B10"/>
    <w:rsid w:val="00DA218F"/>
    <w:rsid w:val="00DA335D"/>
    <w:rsid w:val="00DA3E35"/>
    <w:rsid w:val="00DA4076"/>
    <w:rsid w:val="00DA47C8"/>
    <w:rsid w:val="00DA4A14"/>
    <w:rsid w:val="00DA6501"/>
    <w:rsid w:val="00DA6822"/>
    <w:rsid w:val="00DA7298"/>
    <w:rsid w:val="00DA7A89"/>
    <w:rsid w:val="00DA7F50"/>
    <w:rsid w:val="00DB062C"/>
    <w:rsid w:val="00DB06FA"/>
    <w:rsid w:val="00DB0B9E"/>
    <w:rsid w:val="00DB1176"/>
    <w:rsid w:val="00DB13E8"/>
    <w:rsid w:val="00DB1487"/>
    <w:rsid w:val="00DB1824"/>
    <w:rsid w:val="00DB1F26"/>
    <w:rsid w:val="00DB2137"/>
    <w:rsid w:val="00DB23CC"/>
    <w:rsid w:val="00DB29B4"/>
    <w:rsid w:val="00DB3128"/>
    <w:rsid w:val="00DB4004"/>
    <w:rsid w:val="00DB4063"/>
    <w:rsid w:val="00DB4265"/>
    <w:rsid w:val="00DB4741"/>
    <w:rsid w:val="00DB48AC"/>
    <w:rsid w:val="00DB4AF0"/>
    <w:rsid w:val="00DB508F"/>
    <w:rsid w:val="00DB5B3C"/>
    <w:rsid w:val="00DB5B5B"/>
    <w:rsid w:val="00DB5D5A"/>
    <w:rsid w:val="00DB6CE8"/>
    <w:rsid w:val="00DB75A7"/>
    <w:rsid w:val="00DB7D2E"/>
    <w:rsid w:val="00DB7F39"/>
    <w:rsid w:val="00DC0C5B"/>
    <w:rsid w:val="00DC123B"/>
    <w:rsid w:val="00DC176B"/>
    <w:rsid w:val="00DC17D5"/>
    <w:rsid w:val="00DC2ABD"/>
    <w:rsid w:val="00DC37C6"/>
    <w:rsid w:val="00DC383A"/>
    <w:rsid w:val="00DC3A22"/>
    <w:rsid w:val="00DC3EEC"/>
    <w:rsid w:val="00DC3FA8"/>
    <w:rsid w:val="00DC4529"/>
    <w:rsid w:val="00DC4738"/>
    <w:rsid w:val="00DC4B17"/>
    <w:rsid w:val="00DC4E14"/>
    <w:rsid w:val="00DC50C9"/>
    <w:rsid w:val="00DC56E0"/>
    <w:rsid w:val="00DC5A71"/>
    <w:rsid w:val="00DC5F1B"/>
    <w:rsid w:val="00DC64E8"/>
    <w:rsid w:val="00DC6E14"/>
    <w:rsid w:val="00DC7314"/>
    <w:rsid w:val="00DC776D"/>
    <w:rsid w:val="00DC77A6"/>
    <w:rsid w:val="00DD0A11"/>
    <w:rsid w:val="00DD10B4"/>
    <w:rsid w:val="00DD14D9"/>
    <w:rsid w:val="00DD1A27"/>
    <w:rsid w:val="00DD1A74"/>
    <w:rsid w:val="00DD1E72"/>
    <w:rsid w:val="00DD1F73"/>
    <w:rsid w:val="00DD22C5"/>
    <w:rsid w:val="00DD27B4"/>
    <w:rsid w:val="00DD405D"/>
    <w:rsid w:val="00DD40A3"/>
    <w:rsid w:val="00DD5744"/>
    <w:rsid w:val="00DD599F"/>
    <w:rsid w:val="00DD6369"/>
    <w:rsid w:val="00DD7144"/>
    <w:rsid w:val="00DE06CF"/>
    <w:rsid w:val="00DE117C"/>
    <w:rsid w:val="00DE1641"/>
    <w:rsid w:val="00DE17E4"/>
    <w:rsid w:val="00DE1BAD"/>
    <w:rsid w:val="00DE34E9"/>
    <w:rsid w:val="00DE3FF6"/>
    <w:rsid w:val="00DE4682"/>
    <w:rsid w:val="00DE5494"/>
    <w:rsid w:val="00DE5B7F"/>
    <w:rsid w:val="00DE5DAA"/>
    <w:rsid w:val="00DE5FF0"/>
    <w:rsid w:val="00DE6149"/>
    <w:rsid w:val="00DE6164"/>
    <w:rsid w:val="00DE6857"/>
    <w:rsid w:val="00DE782E"/>
    <w:rsid w:val="00DF04CB"/>
    <w:rsid w:val="00DF0D94"/>
    <w:rsid w:val="00DF0E6F"/>
    <w:rsid w:val="00DF0EFC"/>
    <w:rsid w:val="00DF0FBC"/>
    <w:rsid w:val="00DF121C"/>
    <w:rsid w:val="00DF160D"/>
    <w:rsid w:val="00DF1648"/>
    <w:rsid w:val="00DF1921"/>
    <w:rsid w:val="00DF2053"/>
    <w:rsid w:val="00DF2641"/>
    <w:rsid w:val="00DF284A"/>
    <w:rsid w:val="00DF3C47"/>
    <w:rsid w:val="00DF40FC"/>
    <w:rsid w:val="00DF41FA"/>
    <w:rsid w:val="00DF496B"/>
    <w:rsid w:val="00DF4BDF"/>
    <w:rsid w:val="00DF5E60"/>
    <w:rsid w:val="00DF61D8"/>
    <w:rsid w:val="00DF62DB"/>
    <w:rsid w:val="00E014DC"/>
    <w:rsid w:val="00E01B04"/>
    <w:rsid w:val="00E03FBB"/>
    <w:rsid w:val="00E041D3"/>
    <w:rsid w:val="00E046FE"/>
    <w:rsid w:val="00E04A54"/>
    <w:rsid w:val="00E06897"/>
    <w:rsid w:val="00E07166"/>
    <w:rsid w:val="00E10755"/>
    <w:rsid w:val="00E10E7F"/>
    <w:rsid w:val="00E11180"/>
    <w:rsid w:val="00E11EA8"/>
    <w:rsid w:val="00E1233F"/>
    <w:rsid w:val="00E12369"/>
    <w:rsid w:val="00E13849"/>
    <w:rsid w:val="00E13D4A"/>
    <w:rsid w:val="00E14BC4"/>
    <w:rsid w:val="00E14D60"/>
    <w:rsid w:val="00E159E2"/>
    <w:rsid w:val="00E15D91"/>
    <w:rsid w:val="00E1603F"/>
    <w:rsid w:val="00E163B2"/>
    <w:rsid w:val="00E1699E"/>
    <w:rsid w:val="00E16D0A"/>
    <w:rsid w:val="00E170BB"/>
    <w:rsid w:val="00E17510"/>
    <w:rsid w:val="00E17A3F"/>
    <w:rsid w:val="00E17A4D"/>
    <w:rsid w:val="00E17F2B"/>
    <w:rsid w:val="00E207E7"/>
    <w:rsid w:val="00E20836"/>
    <w:rsid w:val="00E208A4"/>
    <w:rsid w:val="00E2092E"/>
    <w:rsid w:val="00E209F3"/>
    <w:rsid w:val="00E21051"/>
    <w:rsid w:val="00E21191"/>
    <w:rsid w:val="00E21ABE"/>
    <w:rsid w:val="00E232A8"/>
    <w:rsid w:val="00E23583"/>
    <w:rsid w:val="00E24D9B"/>
    <w:rsid w:val="00E25070"/>
    <w:rsid w:val="00E25A89"/>
    <w:rsid w:val="00E25B26"/>
    <w:rsid w:val="00E27199"/>
    <w:rsid w:val="00E27615"/>
    <w:rsid w:val="00E27E0B"/>
    <w:rsid w:val="00E27FA3"/>
    <w:rsid w:val="00E309EA"/>
    <w:rsid w:val="00E30E5E"/>
    <w:rsid w:val="00E3129D"/>
    <w:rsid w:val="00E31E41"/>
    <w:rsid w:val="00E32D8A"/>
    <w:rsid w:val="00E32E26"/>
    <w:rsid w:val="00E337A2"/>
    <w:rsid w:val="00E33A62"/>
    <w:rsid w:val="00E33F03"/>
    <w:rsid w:val="00E340D4"/>
    <w:rsid w:val="00E34600"/>
    <w:rsid w:val="00E3486A"/>
    <w:rsid w:val="00E351B8"/>
    <w:rsid w:val="00E35653"/>
    <w:rsid w:val="00E366A8"/>
    <w:rsid w:val="00E36928"/>
    <w:rsid w:val="00E36D7A"/>
    <w:rsid w:val="00E370B1"/>
    <w:rsid w:val="00E37313"/>
    <w:rsid w:val="00E376FA"/>
    <w:rsid w:val="00E40525"/>
    <w:rsid w:val="00E40B9E"/>
    <w:rsid w:val="00E40EF6"/>
    <w:rsid w:val="00E411B4"/>
    <w:rsid w:val="00E424A4"/>
    <w:rsid w:val="00E428F1"/>
    <w:rsid w:val="00E42954"/>
    <w:rsid w:val="00E43DF8"/>
    <w:rsid w:val="00E44D5F"/>
    <w:rsid w:val="00E4533E"/>
    <w:rsid w:val="00E45B48"/>
    <w:rsid w:val="00E45BE9"/>
    <w:rsid w:val="00E460D1"/>
    <w:rsid w:val="00E46140"/>
    <w:rsid w:val="00E46289"/>
    <w:rsid w:val="00E4637D"/>
    <w:rsid w:val="00E466DF"/>
    <w:rsid w:val="00E46B2B"/>
    <w:rsid w:val="00E47231"/>
    <w:rsid w:val="00E47713"/>
    <w:rsid w:val="00E50775"/>
    <w:rsid w:val="00E50AD4"/>
    <w:rsid w:val="00E5171A"/>
    <w:rsid w:val="00E52F84"/>
    <w:rsid w:val="00E531DE"/>
    <w:rsid w:val="00E54059"/>
    <w:rsid w:val="00E54375"/>
    <w:rsid w:val="00E54991"/>
    <w:rsid w:val="00E54CD3"/>
    <w:rsid w:val="00E54FFB"/>
    <w:rsid w:val="00E55160"/>
    <w:rsid w:val="00E5556E"/>
    <w:rsid w:val="00E55919"/>
    <w:rsid w:val="00E562B8"/>
    <w:rsid w:val="00E567CC"/>
    <w:rsid w:val="00E577D1"/>
    <w:rsid w:val="00E60595"/>
    <w:rsid w:val="00E605BA"/>
    <w:rsid w:val="00E607B9"/>
    <w:rsid w:val="00E60ACF"/>
    <w:rsid w:val="00E60D77"/>
    <w:rsid w:val="00E60F5E"/>
    <w:rsid w:val="00E61E4C"/>
    <w:rsid w:val="00E62A4F"/>
    <w:rsid w:val="00E62E5F"/>
    <w:rsid w:val="00E62F82"/>
    <w:rsid w:val="00E6359C"/>
    <w:rsid w:val="00E6497F"/>
    <w:rsid w:val="00E64DC3"/>
    <w:rsid w:val="00E64DE5"/>
    <w:rsid w:val="00E65ACC"/>
    <w:rsid w:val="00E65BB5"/>
    <w:rsid w:val="00E65D96"/>
    <w:rsid w:val="00E65ED4"/>
    <w:rsid w:val="00E66003"/>
    <w:rsid w:val="00E665C4"/>
    <w:rsid w:val="00E66EDA"/>
    <w:rsid w:val="00E672F4"/>
    <w:rsid w:val="00E67C54"/>
    <w:rsid w:val="00E67C77"/>
    <w:rsid w:val="00E70BFD"/>
    <w:rsid w:val="00E7171E"/>
    <w:rsid w:val="00E717A1"/>
    <w:rsid w:val="00E718EF"/>
    <w:rsid w:val="00E71933"/>
    <w:rsid w:val="00E7238A"/>
    <w:rsid w:val="00E728E1"/>
    <w:rsid w:val="00E7385E"/>
    <w:rsid w:val="00E741EA"/>
    <w:rsid w:val="00E744A1"/>
    <w:rsid w:val="00E74B5D"/>
    <w:rsid w:val="00E74F0A"/>
    <w:rsid w:val="00E75D5E"/>
    <w:rsid w:val="00E765DF"/>
    <w:rsid w:val="00E76CFE"/>
    <w:rsid w:val="00E802C2"/>
    <w:rsid w:val="00E80BF4"/>
    <w:rsid w:val="00E80CC6"/>
    <w:rsid w:val="00E80FDB"/>
    <w:rsid w:val="00E815D5"/>
    <w:rsid w:val="00E820E3"/>
    <w:rsid w:val="00E82741"/>
    <w:rsid w:val="00E82E5A"/>
    <w:rsid w:val="00E83CD7"/>
    <w:rsid w:val="00E842D9"/>
    <w:rsid w:val="00E8438E"/>
    <w:rsid w:val="00E85C97"/>
    <w:rsid w:val="00E86DDD"/>
    <w:rsid w:val="00E874E7"/>
    <w:rsid w:val="00E876B1"/>
    <w:rsid w:val="00E87A0E"/>
    <w:rsid w:val="00E90060"/>
    <w:rsid w:val="00E902FA"/>
    <w:rsid w:val="00E903BB"/>
    <w:rsid w:val="00E90D95"/>
    <w:rsid w:val="00E90F03"/>
    <w:rsid w:val="00E91696"/>
    <w:rsid w:val="00E919FC"/>
    <w:rsid w:val="00E91EEB"/>
    <w:rsid w:val="00E92294"/>
    <w:rsid w:val="00E934B7"/>
    <w:rsid w:val="00E93901"/>
    <w:rsid w:val="00E93EEE"/>
    <w:rsid w:val="00E9466E"/>
    <w:rsid w:val="00E94804"/>
    <w:rsid w:val="00E94C9E"/>
    <w:rsid w:val="00E962EE"/>
    <w:rsid w:val="00E96642"/>
    <w:rsid w:val="00E97488"/>
    <w:rsid w:val="00E97C41"/>
    <w:rsid w:val="00EA0643"/>
    <w:rsid w:val="00EA0979"/>
    <w:rsid w:val="00EA0E66"/>
    <w:rsid w:val="00EA11CC"/>
    <w:rsid w:val="00EA1828"/>
    <w:rsid w:val="00EA18FB"/>
    <w:rsid w:val="00EA23E8"/>
    <w:rsid w:val="00EA299B"/>
    <w:rsid w:val="00EA3B53"/>
    <w:rsid w:val="00EA3F31"/>
    <w:rsid w:val="00EA54A5"/>
    <w:rsid w:val="00EA574A"/>
    <w:rsid w:val="00EA69D6"/>
    <w:rsid w:val="00EA7348"/>
    <w:rsid w:val="00EA7968"/>
    <w:rsid w:val="00EA7C56"/>
    <w:rsid w:val="00EA7E5A"/>
    <w:rsid w:val="00EB1325"/>
    <w:rsid w:val="00EB1853"/>
    <w:rsid w:val="00EB1FD0"/>
    <w:rsid w:val="00EB2385"/>
    <w:rsid w:val="00EB3BC9"/>
    <w:rsid w:val="00EB4252"/>
    <w:rsid w:val="00EB4B05"/>
    <w:rsid w:val="00EB4CE3"/>
    <w:rsid w:val="00EB4E4E"/>
    <w:rsid w:val="00EB775C"/>
    <w:rsid w:val="00EB7D26"/>
    <w:rsid w:val="00EC0C1D"/>
    <w:rsid w:val="00EC0FF5"/>
    <w:rsid w:val="00EC1445"/>
    <w:rsid w:val="00EC1B3F"/>
    <w:rsid w:val="00EC2506"/>
    <w:rsid w:val="00EC3736"/>
    <w:rsid w:val="00EC37D8"/>
    <w:rsid w:val="00EC3B28"/>
    <w:rsid w:val="00EC4360"/>
    <w:rsid w:val="00EC5F81"/>
    <w:rsid w:val="00EC6986"/>
    <w:rsid w:val="00EC7469"/>
    <w:rsid w:val="00EC751C"/>
    <w:rsid w:val="00EC7F24"/>
    <w:rsid w:val="00ED0F31"/>
    <w:rsid w:val="00ED12E2"/>
    <w:rsid w:val="00ED142A"/>
    <w:rsid w:val="00ED1B99"/>
    <w:rsid w:val="00ED2071"/>
    <w:rsid w:val="00ED2434"/>
    <w:rsid w:val="00ED34A4"/>
    <w:rsid w:val="00ED3A91"/>
    <w:rsid w:val="00ED3C61"/>
    <w:rsid w:val="00ED403F"/>
    <w:rsid w:val="00ED454D"/>
    <w:rsid w:val="00ED4687"/>
    <w:rsid w:val="00ED47B3"/>
    <w:rsid w:val="00ED4C2D"/>
    <w:rsid w:val="00ED50C8"/>
    <w:rsid w:val="00ED5137"/>
    <w:rsid w:val="00ED51BE"/>
    <w:rsid w:val="00ED5257"/>
    <w:rsid w:val="00ED59EB"/>
    <w:rsid w:val="00ED664D"/>
    <w:rsid w:val="00ED6E94"/>
    <w:rsid w:val="00ED73A1"/>
    <w:rsid w:val="00EE06C4"/>
    <w:rsid w:val="00EE0B75"/>
    <w:rsid w:val="00EE0BD4"/>
    <w:rsid w:val="00EE0E7D"/>
    <w:rsid w:val="00EE17C3"/>
    <w:rsid w:val="00EE1BB2"/>
    <w:rsid w:val="00EE1FB2"/>
    <w:rsid w:val="00EE2789"/>
    <w:rsid w:val="00EE56F3"/>
    <w:rsid w:val="00EE5872"/>
    <w:rsid w:val="00EE6088"/>
    <w:rsid w:val="00EE6A79"/>
    <w:rsid w:val="00EE6FEA"/>
    <w:rsid w:val="00EE7ACF"/>
    <w:rsid w:val="00EE7D5F"/>
    <w:rsid w:val="00EF010C"/>
    <w:rsid w:val="00EF0B9E"/>
    <w:rsid w:val="00EF1518"/>
    <w:rsid w:val="00EF15C3"/>
    <w:rsid w:val="00EF16B0"/>
    <w:rsid w:val="00EF2132"/>
    <w:rsid w:val="00EF2932"/>
    <w:rsid w:val="00EF3164"/>
    <w:rsid w:val="00EF3688"/>
    <w:rsid w:val="00EF36B7"/>
    <w:rsid w:val="00EF3810"/>
    <w:rsid w:val="00EF3BF5"/>
    <w:rsid w:val="00EF4923"/>
    <w:rsid w:val="00EF4B79"/>
    <w:rsid w:val="00EF5089"/>
    <w:rsid w:val="00EF50EA"/>
    <w:rsid w:val="00EF5A3F"/>
    <w:rsid w:val="00EF5A7D"/>
    <w:rsid w:val="00EF6381"/>
    <w:rsid w:val="00EF69D1"/>
    <w:rsid w:val="00EF6B81"/>
    <w:rsid w:val="00EF6FE6"/>
    <w:rsid w:val="00F008BE"/>
    <w:rsid w:val="00F00FC5"/>
    <w:rsid w:val="00F014A9"/>
    <w:rsid w:val="00F0162C"/>
    <w:rsid w:val="00F016F8"/>
    <w:rsid w:val="00F01775"/>
    <w:rsid w:val="00F01B6D"/>
    <w:rsid w:val="00F02A83"/>
    <w:rsid w:val="00F02E74"/>
    <w:rsid w:val="00F032E5"/>
    <w:rsid w:val="00F03B60"/>
    <w:rsid w:val="00F03F08"/>
    <w:rsid w:val="00F0409F"/>
    <w:rsid w:val="00F049E8"/>
    <w:rsid w:val="00F051B5"/>
    <w:rsid w:val="00F05623"/>
    <w:rsid w:val="00F0616B"/>
    <w:rsid w:val="00F07372"/>
    <w:rsid w:val="00F1018C"/>
    <w:rsid w:val="00F102BE"/>
    <w:rsid w:val="00F10718"/>
    <w:rsid w:val="00F10EB9"/>
    <w:rsid w:val="00F1177E"/>
    <w:rsid w:val="00F11EB2"/>
    <w:rsid w:val="00F12120"/>
    <w:rsid w:val="00F12356"/>
    <w:rsid w:val="00F123B3"/>
    <w:rsid w:val="00F1293C"/>
    <w:rsid w:val="00F12A66"/>
    <w:rsid w:val="00F1399C"/>
    <w:rsid w:val="00F13CC5"/>
    <w:rsid w:val="00F14EDE"/>
    <w:rsid w:val="00F16436"/>
    <w:rsid w:val="00F169ED"/>
    <w:rsid w:val="00F16A83"/>
    <w:rsid w:val="00F17168"/>
    <w:rsid w:val="00F1743A"/>
    <w:rsid w:val="00F2089B"/>
    <w:rsid w:val="00F20B03"/>
    <w:rsid w:val="00F21264"/>
    <w:rsid w:val="00F2151A"/>
    <w:rsid w:val="00F216F1"/>
    <w:rsid w:val="00F2244D"/>
    <w:rsid w:val="00F22821"/>
    <w:rsid w:val="00F2308C"/>
    <w:rsid w:val="00F23826"/>
    <w:rsid w:val="00F23EE4"/>
    <w:rsid w:val="00F24AD6"/>
    <w:rsid w:val="00F24DBF"/>
    <w:rsid w:val="00F2536A"/>
    <w:rsid w:val="00F25816"/>
    <w:rsid w:val="00F25B4D"/>
    <w:rsid w:val="00F25E64"/>
    <w:rsid w:val="00F25F33"/>
    <w:rsid w:val="00F2679B"/>
    <w:rsid w:val="00F273A2"/>
    <w:rsid w:val="00F27702"/>
    <w:rsid w:val="00F3034B"/>
    <w:rsid w:val="00F31CF6"/>
    <w:rsid w:val="00F3201B"/>
    <w:rsid w:val="00F3270A"/>
    <w:rsid w:val="00F32EEF"/>
    <w:rsid w:val="00F33169"/>
    <w:rsid w:val="00F33315"/>
    <w:rsid w:val="00F3345C"/>
    <w:rsid w:val="00F33660"/>
    <w:rsid w:val="00F33D15"/>
    <w:rsid w:val="00F348B7"/>
    <w:rsid w:val="00F352F1"/>
    <w:rsid w:val="00F3633E"/>
    <w:rsid w:val="00F36451"/>
    <w:rsid w:val="00F36989"/>
    <w:rsid w:val="00F36CAE"/>
    <w:rsid w:val="00F374A1"/>
    <w:rsid w:val="00F40E61"/>
    <w:rsid w:val="00F413B3"/>
    <w:rsid w:val="00F41C9B"/>
    <w:rsid w:val="00F41FB9"/>
    <w:rsid w:val="00F41FFD"/>
    <w:rsid w:val="00F426CF"/>
    <w:rsid w:val="00F42FEF"/>
    <w:rsid w:val="00F435C1"/>
    <w:rsid w:val="00F4383B"/>
    <w:rsid w:val="00F43E75"/>
    <w:rsid w:val="00F447E9"/>
    <w:rsid w:val="00F4481A"/>
    <w:rsid w:val="00F44E88"/>
    <w:rsid w:val="00F45393"/>
    <w:rsid w:val="00F456AE"/>
    <w:rsid w:val="00F45FF8"/>
    <w:rsid w:val="00F467C7"/>
    <w:rsid w:val="00F469FE"/>
    <w:rsid w:val="00F471B0"/>
    <w:rsid w:val="00F475F1"/>
    <w:rsid w:val="00F50165"/>
    <w:rsid w:val="00F50AFD"/>
    <w:rsid w:val="00F50C77"/>
    <w:rsid w:val="00F50FBF"/>
    <w:rsid w:val="00F50FC6"/>
    <w:rsid w:val="00F51CFA"/>
    <w:rsid w:val="00F5256C"/>
    <w:rsid w:val="00F52B27"/>
    <w:rsid w:val="00F535F5"/>
    <w:rsid w:val="00F537BA"/>
    <w:rsid w:val="00F53831"/>
    <w:rsid w:val="00F5384A"/>
    <w:rsid w:val="00F53BC7"/>
    <w:rsid w:val="00F545F4"/>
    <w:rsid w:val="00F5549A"/>
    <w:rsid w:val="00F55D61"/>
    <w:rsid w:val="00F56630"/>
    <w:rsid w:val="00F56AE8"/>
    <w:rsid w:val="00F56CF4"/>
    <w:rsid w:val="00F571DC"/>
    <w:rsid w:val="00F60D2F"/>
    <w:rsid w:val="00F6180A"/>
    <w:rsid w:val="00F62151"/>
    <w:rsid w:val="00F622E0"/>
    <w:rsid w:val="00F62FEE"/>
    <w:rsid w:val="00F649E6"/>
    <w:rsid w:val="00F64EF2"/>
    <w:rsid w:val="00F67029"/>
    <w:rsid w:val="00F67E81"/>
    <w:rsid w:val="00F709BE"/>
    <w:rsid w:val="00F714AE"/>
    <w:rsid w:val="00F7151C"/>
    <w:rsid w:val="00F71530"/>
    <w:rsid w:val="00F71956"/>
    <w:rsid w:val="00F72B74"/>
    <w:rsid w:val="00F730F0"/>
    <w:rsid w:val="00F733D7"/>
    <w:rsid w:val="00F7411E"/>
    <w:rsid w:val="00F7471E"/>
    <w:rsid w:val="00F748C9"/>
    <w:rsid w:val="00F74A44"/>
    <w:rsid w:val="00F74A5F"/>
    <w:rsid w:val="00F76825"/>
    <w:rsid w:val="00F76B37"/>
    <w:rsid w:val="00F77B89"/>
    <w:rsid w:val="00F77FEB"/>
    <w:rsid w:val="00F80001"/>
    <w:rsid w:val="00F804C1"/>
    <w:rsid w:val="00F80D23"/>
    <w:rsid w:val="00F81184"/>
    <w:rsid w:val="00F81300"/>
    <w:rsid w:val="00F8269D"/>
    <w:rsid w:val="00F832B9"/>
    <w:rsid w:val="00F83667"/>
    <w:rsid w:val="00F838B1"/>
    <w:rsid w:val="00F83E74"/>
    <w:rsid w:val="00F83F2D"/>
    <w:rsid w:val="00F84233"/>
    <w:rsid w:val="00F84726"/>
    <w:rsid w:val="00F8496D"/>
    <w:rsid w:val="00F84979"/>
    <w:rsid w:val="00F84E50"/>
    <w:rsid w:val="00F85078"/>
    <w:rsid w:val="00F858E4"/>
    <w:rsid w:val="00F85CCE"/>
    <w:rsid w:val="00F85D84"/>
    <w:rsid w:val="00F86CE9"/>
    <w:rsid w:val="00F86F55"/>
    <w:rsid w:val="00F87154"/>
    <w:rsid w:val="00F91372"/>
    <w:rsid w:val="00F92D3D"/>
    <w:rsid w:val="00F936E0"/>
    <w:rsid w:val="00F93723"/>
    <w:rsid w:val="00F93AF9"/>
    <w:rsid w:val="00F93ECC"/>
    <w:rsid w:val="00F954B7"/>
    <w:rsid w:val="00F954ED"/>
    <w:rsid w:val="00F95A68"/>
    <w:rsid w:val="00F963F9"/>
    <w:rsid w:val="00F9673D"/>
    <w:rsid w:val="00F967E4"/>
    <w:rsid w:val="00F97181"/>
    <w:rsid w:val="00F97454"/>
    <w:rsid w:val="00F97545"/>
    <w:rsid w:val="00FA04AF"/>
    <w:rsid w:val="00FA061A"/>
    <w:rsid w:val="00FA0716"/>
    <w:rsid w:val="00FA0E5D"/>
    <w:rsid w:val="00FA0E9E"/>
    <w:rsid w:val="00FA116A"/>
    <w:rsid w:val="00FA1922"/>
    <w:rsid w:val="00FA1AE4"/>
    <w:rsid w:val="00FA1D88"/>
    <w:rsid w:val="00FA1F6D"/>
    <w:rsid w:val="00FA2137"/>
    <w:rsid w:val="00FA2363"/>
    <w:rsid w:val="00FA3419"/>
    <w:rsid w:val="00FA35C9"/>
    <w:rsid w:val="00FA3AE5"/>
    <w:rsid w:val="00FA4820"/>
    <w:rsid w:val="00FA4F99"/>
    <w:rsid w:val="00FA51E4"/>
    <w:rsid w:val="00FA5321"/>
    <w:rsid w:val="00FA58B3"/>
    <w:rsid w:val="00FA7270"/>
    <w:rsid w:val="00FA72F7"/>
    <w:rsid w:val="00FA77DF"/>
    <w:rsid w:val="00FA7B10"/>
    <w:rsid w:val="00FA7D5A"/>
    <w:rsid w:val="00FA7DA7"/>
    <w:rsid w:val="00FB04D5"/>
    <w:rsid w:val="00FB052F"/>
    <w:rsid w:val="00FB09F5"/>
    <w:rsid w:val="00FB0ED0"/>
    <w:rsid w:val="00FB0FFF"/>
    <w:rsid w:val="00FB1017"/>
    <w:rsid w:val="00FB12C3"/>
    <w:rsid w:val="00FB2F58"/>
    <w:rsid w:val="00FB304F"/>
    <w:rsid w:val="00FB31F7"/>
    <w:rsid w:val="00FB36E2"/>
    <w:rsid w:val="00FB3729"/>
    <w:rsid w:val="00FB3A3F"/>
    <w:rsid w:val="00FB42F2"/>
    <w:rsid w:val="00FB45B3"/>
    <w:rsid w:val="00FB4A3C"/>
    <w:rsid w:val="00FB506B"/>
    <w:rsid w:val="00FB5438"/>
    <w:rsid w:val="00FB6278"/>
    <w:rsid w:val="00FB67A6"/>
    <w:rsid w:val="00FB6B97"/>
    <w:rsid w:val="00FB6BEB"/>
    <w:rsid w:val="00FB7688"/>
    <w:rsid w:val="00FC04CA"/>
    <w:rsid w:val="00FC0944"/>
    <w:rsid w:val="00FC161B"/>
    <w:rsid w:val="00FC210C"/>
    <w:rsid w:val="00FC3976"/>
    <w:rsid w:val="00FC5EB0"/>
    <w:rsid w:val="00FC5F36"/>
    <w:rsid w:val="00FC63ED"/>
    <w:rsid w:val="00FC6A86"/>
    <w:rsid w:val="00FD080A"/>
    <w:rsid w:val="00FD0868"/>
    <w:rsid w:val="00FD0887"/>
    <w:rsid w:val="00FD1EE4"/>
    <w:rsid w:val="00FD1EFB"/>
    <w:rsid w:val="00FD495E"/>
    <w:rsid w:val="00FD4FB0"/>
    <w:rsid w:val="00FD53CD"/>
    <w:rsid w:val="00FD64C8"/>
    <w:rsid w:val="00FD6532"/>
    <w:rsid w:val="00FD71B7"/>
    <w:rsid w:val="00FD7658"/>
    <w:rsid w:val="00FE02E7"/>
    <w:rsid w:val="00FE039D"/>
    <w:rsid w:val="00FE0458"/>
    <w:rsid w:val="00FE0772"/>
    <w:rsid w:val="00FE0CC6"/>
    <w:rsid w:val="00FE10B3"/>
    <w:rsid w:val="00FE1273"/>
    <w:rsid w:val="00FE31FF"/>
    <w:rsid w:val="00FE3EBB"/>
    <w:rsid w:val="00FE456A"/>
    <w:rsid w:val="00FE54E4"/>
    <w:rsid w:val="00FE59B8"/>
    <w:rsid w:val="00FE655A"/>
    <w:rsid w:val="00FE65B1"/>
    <w:rsid w:val="00FE65B4"/>
    <w:rsid w:val="00FE681D"/>
    <w:rsid w:val="00FE6D5E"/>
    <w:rsid w:val="00FE72F6"/>
    <w:rsid w:val="00FE7DBB"/>
    <w:rsid w:val="00FF0377"/>
    <w:rsid w:val="00FF0458"/>
    <w:rsid w:val="00FF05B1"/>
    <w:rsid w:val="00FF0CA0"/>
    <w:rsid w:val="00FF140C"/>
    <w:rsid w:val="00FF1A55"/>
    <w:rsid w:val="00FF2CD2"/>
    <w:rsid w:val="00FF42B9"/>
    <w:rsid w:val="00FF4671"/>
    <w:rsid w:val="00FF47C2"/>
    <w:rsid w:val="00FF4B56"/>
    <w:rsid w:val="00FF58FB"/>
    <w:rsid w:val="00FF6618"/>
    <w:rsid w:val="00FF6787"/>
    <w:rsid w:val="00FF6C79"/>
    <w:rsid w:val="00FF7006"/>
    <w:rsid w:val="00FF706A"/>
    <w:rsid w:val="00FF74AC"/>
    <w:rsid w:val="0115077C"/>
    <w:rsid w:val="0116312F"/>
    <w:rsid w:val="011A7F92"/>
    <w:rsid w:val="01716189"/>
    <w:rsid w:val="031D6690"/>
    <w:rsid w:val="034254F6"/>
    <w:rsid w:val="03A82E43"/>
    <w:rsid w:val="03BA5225"/>
    <w:rsid w:val="042B40F8"/>
    <w:rsid w:val="04A16867"/>
    <w:rsid w:val="04BE2E8D"/>
    <w:rsid w:val="04E42AEC"/>
    <w:rsid w:val="04F078FB"/>
    <w:rsid w:val="059325EB"/>
    <w:rsid w:val="05B15A37"/>
    <w:rsid w:val="05C80E1B"/>
    <w:rsid w:val="05E536D6"/>
    <w:rsid w:val="06011206"/>
    <w:rsid w:val="062D0E41"/>
    <w:rsid w:val="066F3E93"/>
    <w:rsid w:val="06902037"/>
    <w:rsid w:val="06964096"/>
    <w:rsid w:val="06A54090"/>
    <w:rsid w:val="06A77334"/>
    <w:rsid w:val="071C5217"/>
    <w:rsid w:val="07864A5E"/>
    <w:rsid w:val="07B02A34"/>
    <w:rsid w:val="07D43FB9"/>
    <w:rsid w:val="09540294"/>
    <w:rsid w:val="09B55258"/>
    <w:rsid w:val="0A5F3566"/>
    <w:rsid w:val="0A63245A"/>
    <w:rsid w:val="0A6D5F02"/>
    <w:rsid w:val="0ADE77BD"/>
    <w:rsid w:val="0B96267A"/>
    <w:rsid w:val="0C065DC3"/>
    <w:rsid w:val="0C131DCB"/>
    <w:rsid w:val="0C3D62EE"/>
    <w:rsid w:val="0C92455C"/>
    <w:rsid w:val="0D1D43B7"/>
    <w:rsid w:val="0D301FDA"/>
    <w:rsid w:val="0D4A7AE6"/>
    <w:rsid w:val="0D4D1181"/>
    <w:rsid w:val="0D653B44"/>
    <w:rsid w:val="0D7E7E47"/>
    <w:rsid w:val="0D9026E4"/>
    <w:rsid w:val="0E3F72C9"/>
    <w:rsid w:val="0F15595D"/>
    <w:rsid w:val="0F52189B"/>
    <w:rsid w:val="1032481D"/>
    <w:rsid w:val="104E5D16"/>
    <w:rsid w:val="10B95161"/>
    <w:rsid w:val="10E43A79"/>
    <w:rsid w:val="11520679"/>
    <w:rsid w:val="119D2925"/>
    <w:rsid w:val="11CF6FB8"/>
    <w:rsid w:val="127C6560"/>
    <w:rsid w:val="12FB03D7"/>
    <w:rsid w:val="13173E6D"/>
    <w:rsid w:val="134546CA"/>
    <w:rsid w:val="137761ED"/>
    <w:rsid w:val="13B7572D"/>
    <w:rsid w:val="13F24E01"/>
    <w:rsid w:val="140F7BA6"/>
    <w:rsid w:val="149E72C7"/>
    <w:rsid w:val="15234AF9"/>
    <w:rsid w:val="15876AB1"/>
    <w:rsid w:val="159E4C29"/>
    <w:rsid w:val="159F3567"/>
    <w:rsid w:val="15C3400C"/>
    <w:rsid w:val="16A454E9"/>
    <w:rsid w:val="16C614AD"/>
    <w:rsid w:val="16CE5A43"/>
    <w:rsid w:val="175E4FCD"/>
    <w:rsid w:val="177E6C0C"/>
    <w:rsid w:val="17FF07E0"/>
    <w:rsid w:val="182B231A"/>
    <w:rsid w:val="18546140"/>
    <w:rsid w:val="18B00659"/>
    <w:rsid w:val="18F76053"/>
    <w:rsid w:val="18F91227"/>
    <w:rsid w:val="19216F79"/>
    <w:rsid w:val="19421954"/>
    <w:rsid w:val="196640D0"/>
    <w:rsid w:val="1981715C"/>
    <w:rsid w:val="1AC4504E"/>
    <w:rsid w:val="1AE609D5"/>
    <w:rsid w:val="1B1A6CC2"/>
    <w:rsid w:val="1B905A67"/>
    <w:rsid w:val="1B9D181B"/>
    <w:rsid w:val="1BE657C7"/>
    <w:rsid w:val="1C424981"/>
    <w:rsid w:val="1CA940B0"/>
    <w:rsid w:val="1CF77C8E"/>
    <w:rsid w:val="1D595839"/>
    <w:rsid w:val="1D924972"/>
    <w:rsid w:val="1DC42D7D"/>
    <w:rsid w:val="1E373946"/>
    <w:rsid w:val="1E3B34C3"/>
    <w:rsid w:val="1ED15529"/>
    <w:rsid w:val="1F271D50"/>
    <w:rsid w:val="1F890B7E"/>
    <w:rsid w:val="200C3C23"/>
    <w:rsid w:val="20A36ADF"/>
    <w:rsid w:val="211A5ECC"/>
    <w:rsid w:val="219617ED"/>
    <w:rsid w:val="21DE2BB1"/>
    <w:rsid w:val="2273652C"/>
    <w:rsid w:val="227D3506"/>
    <w:rsid w:val="2304679B"/>
    <w:rsid w:val="23287B81"/>
    <w:rsid w:val="247E4660"/>
    <w:rsid w:val="24C35442"/>
    <w:rsid w:val="25D23D80"/>
    <w:rsid w:val="26492731"/>
    <w:rsid w:val="264D2E10"/>
    <w:rsid w:val="26575BF7"/>
    <w:rsid w:val="267974A5"/>
    <w:rsid w:val="26FB72DE"/>
    <w:rsid w:val="270450C7"/>
    <w:rsid w:val="27364651"/>
    <w:rsid w:val="27C46BA8"/>
    <w:rsid w:val="27C912ED"/>
    <w:rsid w:val="27FB7070"/>
    <w:rsid w:val="281228C3"/>
    <w:rsid w:val="28CD5F1A"/>
    <w:rsid w:val="2923111C"/>
    <w:rsid w:val="29671E62"/>
    <w:rsid w:val="29837135"/>
    <w:rsid w:val="29CB06AB"/>
    <w:rsid w:val="2A1E40FB"/>
    <w:rsid w:val="2A7B075C"/>
    <w:rsid w:val="2AB646FD"/>
    <w:rsid w:val="2ABE30B4"/>
    <w:rsid w:val="2B046C31"/>
    <w:rsid w:val="2B350125"/>
    <w:rsid w:val="2BD85F46"/>
    <w:rsid w:val="2C264CEE"/>
    <w:rsid w:val="2C7B5251"/>
    <w:rsid w:val="2CC47DB9"/>
    <w:rsid w:val="2D1C7694"/>
    <w:rsid w:val="2D375C10"/>
    <w:rsid w:val="2D7D3621"/>
    <w:rsid w:val="2DBA52B4"/>
    <w:rsid w:val="2E756E38"/>
    <w:rsid w:val="2E8B6F78"/>
    <w:rsid w:val="2FBA2FDB"/>
    <w:rsid w:val="2FC355B5"/>
    <w:rsid w:val="2FCC2A87"/>
    <w:rsid w:val="303074BA"/>
    <w:rsid w:val="30780C54"/>
    <w:rsid w:val="30A63957"/>
    <w:rsid w:val="30C85944"/>
    <w:rsid w:val="30D171E3"/>
    <w:rsid w:val="31211B39"/>
    <w:rsid w:val="319C659D"/>
    <w:rsid w:val="31A72DB0"/>
    <w:rsid w:val="31D719CD"/>
    <w:rsid w:val="31E12F6A"/>
    <w:rsid w:val="320F00C1"/>
    <w:rsid w:val="32516D3A"/>
    <w:rsid w:val="332B3F69"/>
    <w:rsid w:val="332D67AD"/>
    <w:rsid w:val="33354E82"/>
    <w:rsid w:val="334F3A23"/>
    <w:rsid w:val="338B0EAB"/>
    <w:rsid w:val="33B62D73"/>
    <w:rsid w:val="35304955"/>
    <w:rsid w:val="35654AC0"/>
    <w:rsid w:val="366F60CF"/>
    <w:rsid w:val="36895B3B"/>
    <w:rsid w:val="36AF04F7"/>
    <w:rsid w:val="37463130"/>
    <w:rsid w:val="37706AD2"/>
    <w:rsid w:val="378B7ED8"/>
    <w:rsid w:val="37DA3CB6"/>
    <w:rsid w:val="3820061D"/>
    <w:rsid w:val="384B29B7"/>
    <w:rsid w:val="384C0391"/>
    <w:rsid w:val="38981C91"/>
    <w:rsid w:val="389B393F"/>
    <w:rsid w:val="38F310B2"/>
    <w:rsid w:val="39B22F70"/>
    <w:rsid w:val="39CB1616"/>
    <w:rsid w:val="3A540768"/>
    <w:rsid w:val="3AC87054"/>
    <w:rsid w:val="3B240176"/>
    <w:rsid w:val="3B842468"/>
    <w:rsid w:val="3B9D177C"/>
    <w:rsid w:val="3C8756DE"/>
    <w:rsid w:val="3CF73419"/>
    <w:rsid w:val="3D654891"/>
    <w:rsid w:val="3D806841"/>
    <w:rsid w:val="3D886B1B"/>
    <w:rsid w:val="3DA837AA"/>
    <w:rsid w:val="3DD516A1"/>
    <w:rsid w:val="3E3B4BDF"/>
    <w:rsid w:val="3E582AC2"/>
    <w:rsid w:val="3E736982"/>
    <w:rsid w:val="3E7D33B1"/>
    <w:rsid w:val="3EBE24C1"/>
    <w:rsid w:val="3EEC0AC7"/>
    <w:rsid w:val="3F3360DA"/>
    <w:rsid w:val="3FED09C7"/>
    <w:rsid w:val="406E5AF2"/>
    <w:rsid w:val="408847A8"/>
    <w:rsid w:val="40A761FA"/>
    <w:rsid w:val="40E67774"/>
    <w:rsid w:val="4105229D"/>
    <w:rsid w:val="412A3AB2"/>
    <w:rsid w:val="4130760F"/>
    <w:rsid w:val="416B7CF1"/>
    <w:rsid w:val="41F40E75"/>
    <w:rsid w:val="4240677B"/>
    <w:rsid w:val="428A1AD8"/>
    <w:rsid w:val="42B32E46"/>
    <w:rsid w:val="42C25211"/>
    <w:rsid w:val="42D17E1C"/>
    <w:rsid w:val="42F62FF8"/>
    <w:rsid w:val="42FD693F"/>
    <w:rsid w:val="43272171"/>
    <w:rsid w:val="43833649"/>
    <w:rsid w:val="43A110D9"/>
    <w:rsid w:val="43DF1796"/>
    <w:rsid w:val="44130D52"/>
    <w:rsid w:val="44261BEB"/>
    <w:rsid w:val="44292A9D"/>
    <w:rsid w:val="446323C1"/>
    <w:rsid w:val="44890E2A"/>
    <w:rsid w:val="44CA52C6"/>
    <w:rsid w:val="45387019"/>
    <w:rsid w:val="456A6B72"/>
    <w:rsid w:val="457548BA"/>
    <w:rsid w:val="45AB3B22"/>
    <w:rsid w:val="463043C0"/>
    <w:rsid w:val="46F162D3"/>
    <w:rsid w:val="476E78FE"/>
    <w:rsid w:val="48691D31"/>
    <w:rsid w:val="48A17C09"/>
    <w:rsid w:val="48A62C08"/>
    <w:rsid w:val="4AB83DE3"/>
    <w:rsid w:val="4AF866B5"/>
    <w:rsid w:val="4B077DA8"/>
    <w:rsid w:val="4B7533D4"/>
    <w:rsid w:val="4B867699"/>
    <w:rsid w:val="4C33133B"/>
    <w:rsid w:val="4CA716BB"/>
    <w:rsid w:val="4D5E522F"/>
    <w:rsid w:val="4D8E6657"/>
    <w:rsid w:val="4DD96B59"/>
    <w:rsid w:val="4E0254A2"/>
    <w:rsid w:val="4ECC774D"/>
    <w:rsid w:val="501664C6"/>
    <w:rsid w:val="5028562D"/>
    <w:rsid w:val="502D76CF"/>
    <w:rsid w:val="50572E3A"/>
    <w:rsid w:val="50B95A2B"/>
    <w:rsid w:val="51853A25"/>
    <w:rsid w:val="51AB3D2E"/>
    <w:rsid w:val="520D46B1"/>
    <w:rsid w:val="5256319D"/>
    <w:rsid w:val="536E7480"/>
    <w:rsid w:val="53CE6D6B"/>
    <w:rsid w:val="549B76CF"/>
    <w:rsid w:val="553066B2"/>
    <w:rsid w:val="5539056E"/>
    <w:rsid w:val="555B3583"/>
    <w:rsid w:val="55B72A8F"/>
    <w:rsid w:val="55C0168F"/>
    <w:rsid w:val="55E50222"/>
    <w:rsid w:val="55F27611"/>
    <w:rsid w:val="56A57230"/>
    <w:rsid w:val="56DE12C4"/>
    <w:rsid w:val="570979CD"/>
    <w:rsid w:val="57363F2C"/>
    <w:rsid w:val="575A09F5"/>
    <w:rsid w:val="578A4B58"/>
    <w:rsid w:val="579C3C93"/>
    <w:rsid w:val="58871675"/>
    <w:rsid w:val="58F35528"/>
    <w:rsid w:val="594C4847"/>
    <w:rsid w:val="594E0B1C"/>
    <w:rsid w:val="59564C0F"/>
    <w:rsid w:val="59AB5BE7"/>
    <w:rsid w:val="5A2C4874"/>
    <w:rsid w:val="5B464811"/>
    <w:rsid w:val="5B4A52D3"/>
    <w:rsid w:val="5B6661A9"/>
    <w:rsid w:val="5BA80BCA"/>
    <w:rsid w:val="5C0D7D7E"/>
    <w:rsid w:val="5C1666EB"/>
    <w:rsid w:val="5C693F20"/>
    <w:rsid w:val="5D2135F7"/>
    <w:rsid w:val="5D5E335E"/>
    <w:rsid w:val="5D6B1282"/>
    <w:rsid w:val="5DC34C1A"/>
    <w:rsid w:val="5DC56D29"/>
    <w:rsid w:val="5DF70676"/>
    <w:rsid w:val="5ED52EDC"/>
    <w:rsid w:val="5F0B1D9A"/>
    <w:rsid w:val="5F425F8D"/>
    <w:rsid w:val="5F75133C"/>
    <w:rsid w:val="607367C5"/>
    <w:rsid w:val="61950182"/>
    <w:rsid w:val="61973AB2"/>
    <w:rsid w:val="61FB64F4"/>
    <w:rsid w:val="625D1686"/>
    <w:rsid w:val="62DE6668"/>
    <w:rsid w:val="63323445"/>
    <w:rsid w:val="636775B9"/>
    <w:rsid w:val="63D97719"/>
    <w:rsid w:val="642B176B"/>
    <w:rsid w:val="6501215C"/>
    <w:rsid w:val="660E300B"/>
    <w:rsid w:val="66E83614"/>
    <w:rsid w:val="66E9770B"/>
    <w:rsid w:val="6782535D"/>
    <w:rsid w:val="67D37864"/>
    <w:rsid w:val="686A28AC"/>
    <w:rsid w:val="68A3314B"/>
    <w:rsid w:val="699826C0"/>
    <w:rsid w:val="6ADF09E7"/>
    <w:rsid w:val="6AE10980"/>
    <w:rsid w:val="6B694469"/>
    <w:rsid w:val="6CC346C8"/>
    <w:rsid w:val="6D392803"/>
    <w:rsid w:val="6D4F4D10"/>
    <w:rsid w:val="6D982648"/>
    <w:rsid w:val="6E250181"/>
    <w:rsid w:val="6EA84538"/>
    <w:rsid w:val="6EC5121F"/>
    <w:rsid w:val="6F705670"/>
    <w:rsid w:val="6FD42745"/>
    <w:rsid w:val="70B74729"/>
    <w:rsid w:val="70E440D4"/>
    <w:rsid w:val="70F33611"/>
    <w:rsid w:val="711471A1"/>
    <w:rsid w:val="715405AB"/>
    <w:rsid w:val="71766318"/>
    <w:rsid w:val="735F3E64"/>
    <w:rsid w:val="739037C4"/>
    <w:rsid w:val="74215690"/>
    <w:rsid w:val="742A1ACA"/>
    <w:rsid w:val="748B4CE3"/>
    <w:rsid w:val="74B23A85"/>
    <w:rsid w:val="759B16A2"/>
    <w:rsid w:val="75C95A32"/>
    <w:rsid w:val="75CB09D7"/>
    <w:rsid w:val="76B5566B"/>
    <w:rsid w:val="76EF41FA"/>
    <w:rsid w:val="77500E89"/>
    <w:rsid w:val="777D6759"/>
    <w:rsid w:val="778C3E77"/>
    <w:rsid w:val="77A2751D"/>
    <w:rsid w:val="77C13BFA"/>
    <w:rsid w:val="77E65862"/>
    <w:rsid w:val="781D7CD6"/>
    <w:rsid w:val="78281497"/>
    <w:rsid w:val="787471D0"/>
    <w:rsid w:val="793D3726"/>
    <w:rsid w:val="79EF567A"/>
    <w:rsid w:val="79F1476C"/>
    <w:rsid w:val="7AD64A84"/>
    <w:rsid w:val="7C1D535D"/>
    <w:rsid w:val="7C224C44"/>
    <w:rsid w:val="7C646E7D"/>
    <w:rsid w:val="7C6F54C8"/>
    <w:rsid w:val="7CD410F5"/>
    <w:rsid w:val="7DCF4925"/>
    <w:rsid w:val="7DF278F3"/>
    <w:rsid w:val="7E4E0887"/>
    <w:rsid w:val="7EE06EBC"/>
    <w:rsid w:val="7F4C3224"/>
    <w:rsid w:val="7FFD0F4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iPriority="0" w:semiHidden="0" w:name="Signature"/>
    <w:lsdException w:qFormat="1" w:uiPriority="1" w:name="Default Paragraph Font"/>
    <w:lsdException w:qFormat="1" w:unhideWhenUsed="0" w:uiPriority="99"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iPriority="0" w:semiHidden="0" w:name="Body Text 3"/>
    <w:lsdException w:qFormat="1" w:unhideWhenUsed="0" w:uiPriority="0" w:semiHidden="0" w:name="Body Text Indent 2"/>
    <w:lsdException w:qFormat="1" w:unhideWhenUsed="0" w:uiPriority="0" w:semiHidden="0" w:name="Body Text Indent 3"/>
    <w:lsdException w:qFormat="1"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uiPriority="0" w:name="Table Classic 3"/>
    <w:lsdException w:qFormat="1" w:unhideWhenUsed="0" w:uiPriority="0" w:semiHidden="0" w:name="Table Classic 4"/>
    <w:lsdException w:qFormat="1" w:unhideWhenUsed="0" w:uiPriority="0" w:semiHidden="0" w:name="Table Colorful 1"/>
    <w:lsdException w:uiPriority="0" w:name="Table Colorful 2"/>
    <w:lsdException w:qFormat="1" w:unhideWhenUsed="0" w:uiPriority="0" w:semiHidden="0" w:name="Table Colorful 3"/>
    <w:lsdException w:uiPriority="0" w:name="Table Columns 1"/>
    <w:lsdException w:uiPriority="0" w:name="Table Columns 2"/>
    <w:lsdException w:qFormat="1" w:unhideWhenUsed="0" w:uiPriority="0" w:semiHidden="0" w:name="Table Columns 3"/>
    <w:lsdException w:uiPriority="0" w:name="Table Columns 4"/>
    <w:lsdException w:uiPriority="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uiPriority="0" w:name="Table Grid 4"/>
    <w:lsdException w:uiPriority="0" w:name="Table Grid 5"/>
    <w:lsdException w:uiPriority="0" w:name="Table Grid 6"/>
    <w:lsdException w:uiPriority="0" w:name="Table Grid 7"/>
    <w:lsdException w:qFormat="1" w:unhideWhenUsed="0" w:uiPriority="0" w:semiHidden="0" w:name="Table Grid 8"/>
    <w:lsdException w:qFormat="1" w:unhideWhenUsed="0" w:uiPriority="0" w:semiHidden="0" w:name="Table List 1"/>
    <w:lsdException w:uiPriority="0" w:name="Table List 2"/>
    <w:lsdException w:qFormat="1" w:unhideWhenUsed="0" w:uiPriority="0" w:semiHidden="0" w:name="Table List 3"/>
    <w:lsdException w:uiPriority="0" w:name="Table List 4"/>
    <w:lsdException w:qFormat="1" w:unhideWhenUsed="0" w:uiPriority="0" w:semiHidden="0" w:name="Table List 5"/>
    <w:lsdException w:qFormat="1" w:unhideWhenUsed="0" w:uiPriority="0" w:semiHidden="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nhideWhenUsed="0" w:uiPriority="99" w:semiHidden="0" w:name="Balloon Text"/>
    <w:lsdException w:qFormat="1" w:unhideWhenUsed="0" w:uiPriority="59"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qFormat="1" w:unhideWhenUsed="0" w:uiPriority="68" w:semiHidden="0" w:name="Medium Grid 2 Accent 1"/>
    <w:lsdException w:qFormat="1"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qFormat="1" w:unhideWhenUsed="0" w:uiPriority="0"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qFormat="1" w:unhideWhenUsed="0" w:uiPriority="0"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qFormat="1" w:unhideWhenUsed="0" w:uiPriority="61" w:semiHidden="0" w:name="Light List Accent 5"/>
    <w:lsdException w:qFormat="1" w:unhideWhenUsed="0" w:uiPriority="62" w:semiHidden="0" w:name="Light Grid Accent 5"/>
    <w:lsdException w:unhideWhenUsed="0" w:uiPriority="63" w:semiHidden="0" w:name="Medium Shading 1 Accent 5"/>
    <w:lsdException w:qFormat="1"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80" w:lineRule="exact"/>
      <w:jc w:val="both"/>
    </w:pPr>
    <w:rPr>
      <w:rFonts w:ascii="Times New Roman" w:hAnsi="Times New Roman" w:eastAsia="仿宋" w:cs="Times New Roman"/>
      <w:kern w:val="2"/>
      <w:sz w:val="28"/>
      <w:szCs w:val="24"/>
      <w:lang w:val="en-US" w:eastAsia="zh-CN" w:bidi="ar-SA"/>
    </w:rPr>
  </w:style>
  <w:style w:type="paragraph" w:styleId="3">
    <w:name w:val="heading 1"/>
    <w:basedOn w:val="1"/>
    <w:next w:val="1"/>
    <w:link w:val="282"/>
    <w:qFormat/>
    <w:uiPriority w:val="9"/>
    <w:pPr>
      <w:pageBreakBefore/>
      <w:numPr>
        <w:ilvl w:val="0"/>
        <w:numId w:val="1"/>
      </w:numPr>
      <w:spacing w:before="320" w:after="320" w:line="240" w:lineRule="auto"/>
      <w:jc w:val="center"/>
      <w:outlineLvl w:val="0"/>
    </w:pPr>
    <w:rPr>
      <w:b/>
      <w:bCs/>
      <w:kern w:val="44"/>
      <w:sz w:val="36"/>
      <w:szCs w:val="44"/>
    </w:rPr>
  </w:style>
  <w:style w:type="paragraph" w:styleId="4">
    <w:name w:val="heading 2"/>
    <w:basedOn w:val="1"/>
    <w:next w:val="5"/>
    <w:link w:val="140"/>
    <w:autoRedefine/>
    <w:qFormat/>
    <w:uiPriority w:val="9"/>
    <w:pPr>
      <w:numPr>
        <w:ilvl w:val="1"/>
        <w:numId w:val="1"/>
      </w:numPr>
      <w:spacing w:before="240" w:after="120" w:line="240" w:lineRule="auto"/>
      <w:jc w:val="left"/>
      <w:outlineLvl w:val="1"/>
    </w:pPr>
    <w:rPr>
      <w:b/>
      <w:bCs/>
      <w:sz w:val="36"/>
      <w:szCs w:val="28"/>
    </w:rPr>
  </w:style>
  <w:style w:type="paragraph" w:styleId="5">
    <w:name w:val="heading 3"/>
    <w:basedOn w:val="1"/>
    <w:next w:val="6"/>
    <w:link w:val="141"/>
    <w:autoRedefine/>
    <w:qFormat/>
    <w:uiPriority w:val="9"/>
    <w:pPr>
      <w:numPr>
        <w:ilvl w:val="2"/>
        <w:numId w:val="1"/>
      </w:numPr>
      <w:spacing w:line="360" w:lineRule="auto"/>
      <w:jc w:val="left"/>
      <w:outlineLvl w:val="2"/>
    </w:pPr>
    <w:rPr>
      <w:b/>
      <w:bCs/>
      <w:sz w:val="30"/>
      <w:szCs w:val="30"/>
      <w:lang w:val="zh-CN"/>
    </w:rPr>
  </w:style>
  <w:style w:type="paragraph" w:styleId="6">
    <w:name w:val="heading 4"/>
    <w:basedOn w:val="1"/>
    <w:next w:val="1"/>
    <w:link w:val="228"/>
    <w:autoRedefine/>
    <w:qFormat/>
    <w:uiPriority w:val="9"/>
    <w:pPr>
      <w:numPr>
        <w:ilvl w:val="3"/>
        <w:numId w:val="1"/>
      </w:numPr>
      <w:spacing w:line="240" w:lineRule="auto"/>
      <w:jc w:val="left"/>
      <w:outlineLvl w:val="3"/>
    </w:pPr>
    <w:rPr>
      <w:b/>
      <w:bCs/>
      <w:szCs w:val="28"/>
    </w:rPr>
  </w:style>
  <w:style w:type="paragraph" w:styleId="7">
    <w:name w:val="heading 5"/>
    <w:basedOn w:val="1"/>
    <w:next w:val="1"/>
    <w:link w:val="145"/>
    <w:autoRedefine/>
    <w:qFormat/>
    <w:uiPriority w:val="9"/>
    <w:pPr>
      <w:numPr>
        <w:ilvl w:val="4"/>
        <w:numId w:val="1"/>
      </w:numPr>
      <w:spacing w:after="120" w:afterLines="50"/>
      <w:jc w:val="left"/>
      <w:outlineLvl w:val="4"/>
    </w:pPr>
    <w:rPr>
      <w:rFonts w:ascii="仿宋" w:hAnsi="仿宋"/>
      <w:bCs/>
      <w:szCs w:val="28"/>
      <w:lang w:val="zh-CN"/>
    </w:rPr>
  </w:style>
  <w:style w:type="paragraph" w:styleId="8">
    <w:name w:val="heading 6"/>
    <w:basedOn w:val="1"/>
    <w:next w:val="1"/>
    <w:link w:val="146"/>
    <w:autoRedefine/>
    <w:qFormat/>
    <w:uiPriority w:val="9"/>
    <w:pPr>
      <w:numPr>
        <w:ilvl w:val="5"/>
        <w:numId w:val="1"/>
      </w:numPr>
      <w:jc w:val="left"/>
      <w:outlineLvl w:val="5"/>
    </w:pPr>
    <w:rPr>
      <w:bCs/>
      <w:lang w:val="zh-CN"/>
    </w:rPr>
  </w:style>
  <w:style w:type="paragraph" w:styleId="9">
    <w:name w:val="heading 7"/>
    <w:basedOn w:val="1"/>
    <w:next w:val="1"/>
    <w:link w:val="147"/>
    <w:autoRedefine/>
    <w:qFormat/>
    <w:uiPriority w:val="9"/>
    <w:pPr>
      <w:numPr>
        <w:ilvl w:val="6"/>
        <w:numId w:val="1"/>
      </w:numPr>
      <w:jc w:val="left"/>
      <w:outlineLvl w:val="6"/>
    </w:pPr>
    <w:rPr>
      <w:bCs/>
      <w:lang w:val="zh-CN"/>
    </w:rPr>
  </w:style>
  <w:style w:type="paragraph" w:styleId="10">
    <w:name w:val="heading 8"/>
    <w:basedOn w:val="1"/>
    <w:next w:val="1"/>
    <w:link w:val="241"/>
    <w:autoRedefine/>
    <w:qFormat/>
    <w:uiPriority w:val="9"/>
    <w:pPr>
      <w:keepNext/>
      <w:keepLines/>
      <w:numPr>
        <w:ilvl w:val="7"/>
        <w:numId w:val="1"/>
      </w:numPr>
      <w:jc w:val="left"/>
      <w:outlineLvl w:val="7"/>
    </w:pPr>
    <w:rPr>
      <w:rFonts w:ascii="Arial" w:hAnsi="Arial"/>
    </w:rPr>
  </w:style>
  <w:style w:type="paragraph" w:styleId="11">
    <w:name w:val="heading 9"/>
    <w:basedOn w:val="1"/>
    <w:next w:val="1"/>
    <w:link w:val="269"/>
    <w:autoRedefine/>
    <w:qFormat/>
    <w:uiPriority w:val="9"/>
    <w:pPr>
      <w:keepNext/>
      <w:keepLines/>
      <w:numPr>
        <w:ilvl w:val="8"/>
        <w:numId w:val="1"/>
      </w:numPr>
      <w:jc w:val="left"/>
      <w:outlineLvl w:val="8"/>
    </w:pPr>
    <w:rPr>
      <w:rFonts w:ascii="Arial" w:hAnsi="Arial"/>
      <w:szCs w:val="21"/>
    </w:rPr>
  </w:style>
  <w:style w:type="character" w:default="1" w:styleId="122">
    <w:name w:val="Default Paragraph Font"/>
    <w:semiHidden/>
    <w:unhideWhenUsed/>
    <w:qFormat/>
    <w:uiPriority w:val="1"/>
  </w:style>
  <w:style w:type="table" w:default="1" w:styleId="88">
    <w:name w:val="Normal Table"/>
    <w:semiHidden/>
    <w:unhideWhenUsed/>
    <w:qFormat/>
    <w:uiPriority w:val="99"/>
    <w:tblPr>
      <w:tblCellMar>
        <w:top w:w="0" w:type="dxa"/>
        <w:left w:w="108" w:type="dxa"/>
        <w:bottom w:w="0" w:type="dxa"/>
        <w:right w:w="108" w:type="dxa"/>
      </w:tblCellMar>
    </w:tblPr>
  </w:style>
  <w:style w:type="paragraph" w:styleId="2">
    <w:name w:val="macro"/>
    <w:link w:val="539"/>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styleId="12">
    <w:name w:val="List 3"/>
    <w:basedOn w:val="1"/>
    <w:qFormat/>
    <w:uiPriority w:val="0"/>
    <w:pPr>
      <w:spacing w:line="240" w:lineRule="auto"/>
      <w:ind w:left="100" w:leftChars="400" w:hanging="200" w:hangingChars="200"/>
    </w:pPr>
    <w:rPr>
      <w:sz w:val="21"/>
      <w:szCs w:val="20"/>
    </w:rPr>
  </w:style>
  <w:style w:type="paragraph" w:styleId="13">
    <w:name w:val="toc 7"/>
    <w:basedOn w:val="1"/>
    <w:next w:val="1"/>
    <w:autoRedefine/>
    <w:qFormat/>
    <w:uiPriority w:val="39"/>
    <w:pPr>
      <w:ind w:left="1680"/>
      <w:jc w:val="left"/>
    </w:pPr>
    <w:rPr>
      <w:rFonts w:asciiTheme="minorHAnsi" w:hAnsiTheme="minorHAnsi"/>
      <w:sz w:val="18"/>
      <w:szCs w:val="18"/>
    </w:rPr>
  </w:style>
  <w:style w:type="paragraph" w:styleId="14">
    <w:name w:val="List Number 2"/>
    <w:basedOn w:val="1"/>
    <w:qFormat/>
    <w:uiPriority w:val="0"/>
    <w:pPr>
      <w:tabs>
        <w:tab w:val="left" w:pos="780"/>
      </w:tabs>
      <w:spacing w:line="240" w:lineRule="auto"/>
      <w:ind w:left="780" w:hanging="420" w:hangingChars="200"/>
    </w:pPr>
    <w:rPr>
      <w:sz w:val="21"/>
      <w:szCs w:val="20"/>
    </w:rPr>
  </w:style>
  <w:style w:type="paragraph" w:styleId="15">
    <w:name w:val="table of authorities"/>
    <w:basedOn w:val="1"/>
    <w:next w:val="1"/>
    <w:qFormat/>
    <w:uiPriority w:val="0"/>
    <w:pPr>
      <w:ind w:left="420" w:leftChars="200"/>
    </w:pPr>
  </w:style>
  <w:style w:type="paragraph" w:styleId="16">
    <w:name w:val="Note Heading"/>
    <w:basedOn w:val="1"/>
    <w:next w:val="1"/>
    <w:link w:val="168"/>
    <w:qFormat/>
    <w:uiPriority w:val="0"/>
    <w:pPr>
      <w:spacing w:line="240" w:lineRule="auto"/>
      <w:jc w:val="center"/>
    </w:pPr>
    <w:rPr>
      <w:kern w:val="0"/>
      <w:sz w:val="20"/>
      <w:szCs w:val="20"/>
    </w:rPr>
  </w:style>
  <w:style w:type="paragraph" w:styleId="17">
    <w:name w:val="List Bullet 4"/>
    <w:basedOn w:val="1"/>
    <w:qFormat/>
    <w:uiPriority w:val="0"/>
    <w:pPr>
      <w:tabs>
        <w:tab w:val="left" w:pos="1620"/>
      </w:tabs>
      <w:spacing w:line="240" w:lineRule="auto"/>
      <w:ind w:left="1620" w:leftChars="600" w:hanging="360" w:hangingChars="200"/>
    </w:pPr>
    <w:rPr>
      <w:sz w:val="21"/>
      <w:szCs w:val="20"/>
    </w:rPr>
  </w:style>
  <w:style w:type="paragraph" w:styleId="18">
    <w:name w:val="index 8"/>
    <w:basedOn w:val="1"/>
    <w:next w:val="1"/>
    <w:autoRedefine/>
    <w:qFormat/>
    <w:uiPriority w:val="0"/>
    <w:pPr>
      <w:ind w:left="1400" w:leftChars="1400"/>
    </w:pPr>
  </w:style>
  <w:style w:type="paragraph" w:styleId="19">
    <w:name w:val="E-mail Signature"/>
    <w:basedOn w:val="1"/>
    <w:link w:val="169"/>
    <w:qFormat/>
    <w:uiPriority w:val="0"/>
    <w:pPr>
      <w:spacing w:line="240" w:lineRule="auto"/>
    </w:pPr>
    <w:rPr>
      <w:kern w:val="0"/>
      <w:sz w:val="20"/>
      <w:szCs w:val="20"/>
    </w:rPr>
  </w:style>
  <w:style w:type="paragraph" w:styleId="20">
    <w:name w:val="List Number"/>
    <w:basedOn w:val="1"/>
    <w:qFormat/>
    <w:uiPriority w:val="0"/>
    <w:pPr>
      <w:tabs>
        <w:tab w:val="left" w:pos="360"/>
      </w:tabs>
      <w:spacing w:line="240" w:lineRule="auto"/>
      <w:ind w:left="360" w:hanging="360" w:hangingChars="200"/>
    </w:pPr>
    <w:rPr>
      <w:sz w:val="21"/>
      <w:szCs w:val="20"/>
    </w:rPr>
  </w:style>
  <w:style w:type="paragraph" w:styleId="21">
    <w:name w:val="Normal Indent"/>
    <w:basedOn w:val="1"/>
    <w:link w:val="540"/>
    <w:qFormat/>
    <w:uiPriority w:val="0"/>
    <w:pPr>
      <w:ind w:firstLine="420"/>
    </w:pPr>
    <w:rPr>
      <w:szCs w:val="20"/>
    </w:rPr>
  </w:style>
  <w:style w:type="paragraph" w:styleId="22">
    <w:name w:val="caption"/>
    <w:basedOn w:val="1"/>
    <w:next w:val="1"/>
    <w:link w:val="217"/>
    <w:qFormat/>
    <w:uiPriority w:val="0"/>
    <w:rPr>
      <w:rFonts w:ascii="Arial" w:hAnsi="Arial" w:eastAsia="黑体" w:cs="Arial"/>
      <w:sz w:val="20"/>
      <w:szCs w:val="20"/>
    </w:rPr>
  </w:style>
  <w:style w:type="paragraph" w:styleId="23">
    <w:name w:val="index 5"/>
    <w:basedOn w:val="1"/>
    <w:next w:val="1"/>
    <w:autoRedefine/>
    <w:qFormat/>
    <w:uiPriority w:val="0"/>
    <w:pPr>
      <w:ind w:left="800" w:leftChars="800"/>
    </w:pPr>
  </w:style>
  <w:style w:type="paragraph" w:styleId="24">
    <w:name w:val="List Bullet"/>
    <w:basedOn w:val="1"/>
    <w:qFormat/>
    <w:uiPriority w:val="0"/>
    <w:pPr>
      <w:tabs>
        <w:tab w:val="left" w:pos="360"/>
      </w:tabs>
      <w:spacing w:line="240" w:lineRule="auto"/>
      <w:ind w:left="360" w:hanging="420" w:hangingChars="200"/>
    </w:pPr>
    <w:rPr>
      <w:sz w:val="21"/>
      <w:szCs w:val="20"/>
    </w:rPr>
  </w:style>
  <w:style w:type="paragraph" w:styleId="25">
    <w:name w:val="envelope address"/>
    <w:basedOn w:val="1"/>
    <w:qFormat/>
    <w:uiPriority w:val="0"/>
    <w:pPr>
      <w:snapToGrid w:val="0"/>
      <w:spacing w:line="240" w:lineRule="auto"/>
      <w:ind w:left="100" w:leftChars="1400"/>
    </w:pPr>
    <w:rPr>
      <w:rFonts w:ascii="Arial" w:hAnsi="Arial" w:cs="Arial"/>
    </w:rPr>
  </w:style>
  <w:style w:type="paragraph" w:styleId="26">
    <w:name w:val="Document Map"/>
    <w:basedOn w:val="1"/>
    <w:link w:val="214"/>
    <w:qFormat/>
    <w:uiPriority w:val="99"/>
    <w:pPr>
      <w:shd w:val="clear" w:color="auto" w:fill="000080"/>
    </w:pPr>
  </w:style>
  <w:style w:type="paragraph" w:styleId="27">
    <w:name w:val="toa heading"/>
    <w:basedOn w:val="1"/>
    <w:next w:val="1"/>
    <w:qFormat/>
    <w:uiPriority w:val="0"/>
    <w:pPr>
      <w:spacing w:before="120"/>
    </w:pPr>
    <w:rPr>
      <w:rFonts w:ascii="Arial" w:hAnsi="Arial" w:cs="Arial"/>
    </w:rPr>
  </w:style>
  <w:style w:type="paragraph" w:styleId="28">
    <w:name w:val="annotation text"/>
    <w:basedOn w:val="1"/>
    <w:link w:val="192"/>
    <w:qFormat/>
    <w:uiPriority w:val="99"/>
    <w:pPr>
      <w:jc w:val="left"/>
    </w:pPr>
  </w:style>
  <w:style w:type="paragraph" w:styleId="29">
    <w:name w:val="index 6"/>
    <w:basedOn w:val="1"/>
    <w:next w:val="1"/>
    <w:autoRedefine/>
    <w:qFormat/>
    <w:uiPriority w:val="0"/>
    <w:pPr>
      <w:ind w:left="1000" w:leftChars="1000"/>
    </w:pPr>
  </w:style>
  <w:style w:type="paragraph" w:styleId="30">
    <w:name w:val="Salutation"/>
    <w:basedOn w:val="1"/>
    <w:next w:val="1"/>
    <w:link w:val="161"/>
    <w:qFormat/>
    <w:uiPriority w:val="0"/>
    <w:pPr>
      <w:adjustRightInd w:val="0"/>
      <w:spacing w:before="120" w:line="293" w:lineRule="auto"/>
      <w:ind w:left="480" w:hanging="480"/>
      <w:textAlignment w:val="baseline"/>
    </w:pPr>
    <w:rPr>
      <w:rFonts w:ascii="宋体" w:hAnsi="Arial"/>
      <w:kern w:val="0"/>
      <w:szCs w:val="20"/>
      <w:lang w:val="zh-CN"/>
    </w:rPr>
  </w:style>
  <w:style w:type="paragraph" w:styleId="31">
    <w:name w:val="Body Text 3"/>
    <w:basedOn w:val="1"/>
    <w:link w:val="167"/>
    <w:unhideWhenUsed/>
    <w:qFormat/>
    <w:uiPriority w:val="0"/>
    <w:pPr>
      <w:widowControl/>
      <w:spacing w:line="240" w:lineRule="exact"/>
      <w:jc w:val="center"/>
    </w:pPr>
    <w:rPr>
      <w:rFonts w:ascii="Plotter" w:hAnsi="Plotter"/>
      <w:bCs/>
      <w:color w:val="0000FF"/>
      <w:kern w:val="6"/>
      <w:sz w:val="18"/>
      <w:szCs w:val="21"/>
      <w:lang w:val="zh-CN"/>
    </w:rPr>
  </w:style>
  <w:style w:type="paragraph" w:styleId="32">
    <w:name w:val="Closing"/>
    <w:basedOn w:val="1"/>
    <w:link w:val="170"/>
    <w:qFormat/>
    <w:uiPriority w:val="0"/>
    <w:pPr>
      <w:spacing w:line="240" w:lineRule="auto"/>
      <w:ind w:left="100" w:leftChars="2100"/>
    </w:pPr>
    <w:rPr>
      <w:kern w:val="0"/>
      <w:sz w:val="20"/>
      <w:szCs w:val="20"/>
    </w:rPr>
  </w:style>
  <w:style w:type="paragraph" w:styleId="33">
    <w:name w:val="List Bullet 3"/>
    <w:basedOn w:val="1"/>
    <w:qFormat/>
    <w:uiPriority w:val="0"/>
    <w:pPr>
      <w:tabs>
        <w:tab w:val="left" w:pos="1200"/>
      </w:tabs>
      <w:spacing w:line="240" w:lineRule="auto"/>
      <w:ind w:left="1200" w:leftChars="400" w:hanging="360" w:hangingChars="200"/>
    </w:pPr>
    <w:rPr>
      <w:sz w:val="21"/>
      <w:szCs w:val="20"/>
    </w:rPr>
  </w:style>
  <w:style w:type="paragraph" w:styleId="34">
    <w:name w:val="Body Text"/>
    <w:basedOn w:val="1"/>
    <w:next w:val="1"/>
    <w:link w:val="153"/>
    <w:qFormat/>
    <w:uiPriority w:val="99"/>
    <w:pPr>
      <w:spacing w:after="120" w:line="240" w:lineRule="auto"/>
    </w:pPr>
    <w:rPr>
      <w:lang w:val="zh-CN"/>
    </w:rPr>
  </w:style>
  <w:style w:type="paragraph" w:styleId="35">
    <w:name w:val="Body Text Indent"/>
    <w:basedOn w:val="1"/>
    <w:link w:val="157"/>
    <w:qFormat/>
    <w:uiPriority w:val="0"/>
    <w:pPr>
      <w:spacing w:after="120"/>
      <w:ind w:left="420" w:leftChars="200"/>
    </w:pPr>
    <w:rPr>
      <w:lang w:val="zh-CN"/>
    </w:rPr>
  </w:style>
  <w:style w:type="paragraph" w:styleId="36">
    <w:name w:val="List Number 3"/>
    <w:basedOn w:val="1"/>
    <w:qFormat/>
    <w:uiPriority w:val="0"/>
    <w:pPr>
      <w:tabs>
        <w:tab w:val="left" w:pos="1200"/>
      </w:tabs>
      <w:spacing w:line="240" w:lineRule="auto"/>
      <w:ind w:left="1200" w:leftChars="400" w:hanging="360" w:hangingChars="200"/>
    </w:pPr>
    <w:rPr>
      <w:sz w:val="21"/>
      <w:szCs w:val="20"/>
    </w:rPr>
  </w:style>
  <w:style w:type="paragraph" w:styleId="37">
    <w:name w:val="List 2"/>
    <w:basedOn w:val="1"/>
    <w:unhideWhenUsed/>
    <w:qFormat/>
    <w:uiPriority w:val="0"/>
    <w:pPr>
      <w:spacing w:line="360" w:lineRule="auto"/>
      <w:ind w:left="100" w:leftChars="200" w:hanging="200" w:hangingChars="200"/>
    </w:pPr>
  </w:style>
  <w:style w:type="paragraph" w:styleId="38">
    <w:name w:val="List Continue"/>
    <w:basedOn w:val="1"/>
    <w:qFormat/>
    <w:uiPriority w:val="0"/>
    <w:pPr>
      <w:spacing w:after="120" w:line="240" w:lineRule="auto"/>
      <w:ind w:left="420" w:leftChars="200"/>
    </w:pPr>
    <w:rPr>
      <w:sz w:val="21"/>
      <w:szCs w:val="20"/>
    </w:rPr>
  </w:style>
  <w:style w:type="paragraph" w:styleId="39">
    <w:name w:val="Block Text"/>
    <w:basedOn w:val="1"/>
    <w:unhideWhenUsed/>
    <w:qFormat/>
    <w:uiPriority w:val="0"/>
    <w:pPr>
      <w:spacing w:line="360" w:lineRule="auto"/>
      <w:ind w:left="105" w:leftChars="50" w:right="105" w:rightChars="50"/>
    </w:pPr>
    <w:rPr>
      <w:szCs w:val="21"/>
    </w:rPr>
  </w:style>
  <w:style w:type="paragraph" w:styleId="40">
    <w:name w:val="List Bullet 2"/>
    <w:basedOn w:val="1"/>
    <w:autoRedefine/>
    <w:qFormat/>
    <w:uiPriority w:val="0"/>
    <w:pPr>
      <w:tabs>
        <w:tab w:val="left" w:pos="360"/>
      </w:tabs>
      <w:adjustRightInd w:val="0"/>
      <w:spacing w:line="520" w:lineRule="exact"/>
      <w:ind w:firstLine="480" w:firstLineChars="200"/>
      <w:textAlignment w:val="baseline"/>
    </w:pPr>
    <w:rPr>
      <w:kern w:val="0"/>
    </w:rPr>
  </w:style>
  <w:style w:type="paragraph" w:styleId="41">
    <w:name w:val="HTML Address"/>
    <w:basedOn w:val="1"/>
    <w:link w:val="171"/>
    <w:qFormat/>
    <w:uiPriority w:val="0"/>
    <w:pPr>
      <w:spacing w:line="240" w:lineRule="auto"/>
    </w:pPr>
    <w:rPr>
      <w:i/>
      <w:iCs/>
      <w:kern w:val="0"/>
      <w:sz w:val="20"/>
      <w:szCs w:val="20"/>
      <w:lang w:val="zh-CN"/>
    </w:rPr>
  </w:style>
  <w:style w:type="paragraph" w:styleId="42">
    <w:name w:val="index 4"/>
    <w:basedOn w:val="1"/>
    <w:next w:val="1"/>
    <w:autoRedefine/>
    <w:qFormat/>
    <w:uiPriority w:val="0"/>
    <w:pPr>
      <w:ind w:left="600" w:leftChars="600"/>
    </w:pPr>
  </w:style>
  <w:style w:type="paragraph" w:styleId="43">
    <w:name w:val="toc 5"/>
    <w:basedOn w:val="1"/>
    <w:next w:val="1"/>
    <w:autoRedefine/>
    <w:qFormat/>
    <w:uiPriority w:val="39"/>
    <w:pPr>
      <w:ind w:left="1120"/>
      <w:jc w:val="left"/>
    </w:pPr>
    <w:rPr>
      <w:rFonts w:asciiTheme="minorHAnsi" w:hAnsiTheme="minorHAnsi"/>
      <w:sz w:val="18"/>
      <w:szCs w:val="18"/>
    </w:rPr>
  </w:style>
  <w:style w:type="paragraph" w:styleId="44">
    <w:name w:val="toc 3"/>
    <w:basedOn w:val="1"/>
    <w:next w:val="1"/>
    <w:autoRedefine/>
    <w:qFormat/>
    <w:uiPriority w:val="39"/>
    <w:pPr>
      <w:tabs>
        <w:tab w:val="right" w:leader="dot" w:pos="8733"/>
      </w:tabs>
      <w:ind w:left="560"/>
      <w:jc w:val="left"/>
    </w:pPr>
    <w:rPr>
      <w:rFonts w:asciiTheme="minorHAnsi" w:hAnsiTheme="minorHAnsi"/>
      <w:i/>
      <w:iCs/>
      <w:sz w:val="20"/>
      <w:szCs w:val="20"/>
    </w:rPr>
  </w:style>
  <w:style w:type="paragraph" w:styleId="45">
    <w:name w:val="Plain Text"/>
    <w:basedOn w:val="1"/>
    <w:link w:val="162"/>
    <w:qFormat/>
    <w:uiPriority w:val="0"/>
    <w:pPr>
      <w:spacing w:line="240" w:lineRule="auto"/>
    </w:pPr>
    <w:rPr>
      <w:rFonts w:ascii="宋体" w:hAnsi="Courier New"/>
      <w:sz w:val="21"/>
      <w:szCs w:val="20"/>
      <w:lang w:val="zh-CN"/>
    </w:rPr>
  </w:style>
  <w:style w:type="paragraph" w:styleId="46">
    <w:name w:val="List Bullet 5"/>
    <w:basedOn w:val="1"/>
    <w:qFormat/>
    <w:uiPriority w:val="0"/>
    <w:pPr>
      <w:tabs>
        <w:tab w:val="left" w:pos="2040"/>
      </w:tabs>
      <w:spacing w:line="240" w:lineRule="auto"/>
      <w:ind w:left="2040" w:leftChars="800" w:hanging="360" w:hangingChars="200"/>
    </w:pPr>
    <w:rPr>
      <w:sz w:val="21"/>
      <w:szCs w:val="20"/>
    </w:rPr>
  </w:style>
  <w:style w:type="paragraph" w:styleId="47">
    <w:name w:val="List Number 4"/>
    <w:basedOn w:val="1"/>
    <w:qFormat/>
    <w:uiPriority w:val="0"/>
    <w:pPr>
      <w:tabs>
        <w:tab w:val="left" w:pos="1620"/>
      </w:tabs>
      <w:spacing w:line="240" w:lineRule="auto"/>
      <w:ind w:left="619" w:hanging="619"/>
    </w:pPr>
    <w:rPr>
      <w:sz w:val="21"/>
      <w:szCs w:val="20"/>
    </w:rPr>
  </w:style>
  <w:style w:type="paragraph" w:styleId="48">
    <w:name w:val="toc 8"/>
    <w:basedOn w:val="1"/>
    <w:next w:val="1"/>
    <w:autoRedefine/>
    <w:qFormat/>
    <w:uiPriority w:val="39"/>
    <w:pPr>
      <w:ind w:left="1960"/>
      <w:jc w:val="left"/>
    </w:pPr>
    <w:rPr>
      <w:rFonts w:asciiTheme="minorHAnsi" w:hAnsiTheme="minorHAnsi"/>
      <w:sz w:val="18"/>
      <w:szCs w:val="18"/>
    </w:rPr>
  </w:style>
  <w:style w:type="paragraph" w:styleId="49">
    <w:name w:val="index 3"/>
    <w:basedOn w:val="1"/>
    <w:next w:val="1"/>
    <w:autoRedefine/>
    <w:qFormat/>
    <w:uiPriority w:val="0"/>
    <w:pPr>
      <w:ind w:left="400" w:leftChars="400"/>
    </w:pPr>
  </w:style>
  <w:style w:type="paragraph" w:styleId="50">
    <w:name w:val="Date"/>
    <w:basedOn w:val="1"/>
    <w:next w:val="1"/>
    <w:link w:val="159"/>
    <w:qFormat/>
    <w:uiPriority w:val="0"/>
    <w:pPr>
      <w:adjustRightInd w:val="0"/>
      <w:spacing w:line="360" w:lineRule="atLeast"/>
      <w:textAlignment w:val="baseline"/>
    </w:pPr>
    <w:rPr>
      <w:rFonts w:ascii="宋体"/>
      <w:kern w:val="0"/>
      <w:szCs w:val="20"/>
      <w:lang w:val="zh-CN"/>
    </w:rPr>
  </w:style>
  <w:style w:type="paragraph" w:styleId="51">
    <w:name w:val="Body Text Indent 2"/>
    <w:basedOn w:val="1"/>
    <w:link w:val="163"/>
    <w:qFormat/>
    <w:uiPriority w:val="0"/>
    <w:pPr>
      <w:spacing w:after="120" w:line="480" w:lineRule="auto"/>
      <w:ind w:left="420"/>
    </w:pPr>
    <w:rPr>
      <w:sz w:val="21"/>
      <w:szCs w:val="20"/>
      <w:lang w:val="zh-CN"/>
    </w:rPr>
  </w:style>
  <w:style w:type="paragraph" w:styleId="52">
    <w:name w:val="endnote text"/>
    <w:basedOn w:val="1"/>
    <w:qFormat/>
    <w:uiPriority w:val="0"/>
    <w:pPr>
      <w:snapToGrid w:val="0"/>
      <w:jc w:val="left"/>
    </w:pPr>
  </w:style>
  <w:style w:type="paragraph" w:styleId="53">
    <w:name w:val="List Continue 5"/>
    <w:basedOn w:val="1"/>
    <w:qFormat/>
    <w:uiPriority w:val="0"/>
    <w:pPr>
      <w:spacing w:after="120" w:line="240" w:lineRule="auto"/>
      <w:ind w:left="2100" w:leftChars="1000"/>
    </w:pPr>
    <w:rPr>
      <w:sz w:val="21"/>
      <w:szCs w:val="20"/>
    </w:rPr>
  </w:style>
  <w:style w:type="paragraph" w:styleId="54">
    <w:name w:val="Balloon Text"/>
    <w:basedOn w:val="1"/>
    <w:link w:val="276"/>
    <w:qFormat/>
    <w:uiPriority w:val="99"/>
    <w:rPr>
      <w:sz w:val="18"/>
      <w:szCs w:val="18"/>
    </w:rPr>
  </w:style>
  <w:style w:type="paragraph" w:styleId="55">
    <w:name w:val="footer"/>
    <w:basedOn w:val="1"/>
    <w:link w:val="230"/>
    <w:qFormat/>
    <w:uiPriority w:val="99"/>
    <w:pPr>
      <w:pBdr>
        <w:top w:val="thickThinSmallGap" w:color="auto" w:sz="24" w:space="1"/>
      </w:pBdr>
      <w:tabs>
        <w:tab w:val="center" w:pos="4153"/>
        <w:tab w:val="right" w:pos="8306"/>
      </w:tabs>
      <w:snapToGrid w:val="0"/>
      <w:spacing w:line="240" w:lineRule="auto"/>
      <w:jc w:val="left"/>
    </w:pPr>
    <w:rPr>
      <w:sz w:val="18"/>
      <w:szCs w:val="18"/>
    </w:rPr>
  </w:style>
  <w:style w:type="paragraph" w:styleId="56">
    <w:name w:val="envelope return"/>
    <w:basedOn w:val="1"/>
    <w:qFormat/>
    <w:uiPriority w:val="0"/>
    <w:pPr>
      <w:snapToGrid w:val="0"/>
      <w:spacing w:line="240" w:lineRule="auto"/>
    </w:pPr>
    <w:rPr>
      <w:rFonts w:ascii="Arial" w:hAnsi="Arial" w:cs="Arial"/>
      <w:sz w:val="21"/>
      <w:szCs w:val="20"/>
    </w:rPr>
  </w:style>
  <w:style w:type="paragraph" w:styleId="57">
    <w:name w:val="header"/>
    <w:basedOn w:val="1"/>
    <w:link w:val="266"/>
    <w:qFormat/>
    <w:uiPriority w:val="0"/>
    <w:pPr>
      <w:pBdr>
        <w:bottom w:val="thinThickSmallGap" w:color="auto" w:sz="24" w:space="1"/>
      </w:pBdr>
      <w:tabs>
        <w:tab w:val="center" w:pos="4153"/>
        <w:tab w:val="right" w:pos="8306"/>
      </w:tabs>
      <w:snapToGrid w:val="0"/>
      <w:spacing w:line="240" w:lineRule="auto"/>
    </w:pPr>
    <w:rPr>
      <w:sz w:val="18"/>
      <w:szCs w:val="18"/>
    </w:rPr>
  </w:style>
  <w:style w:type="paragraph" w:styleId="58">
    <w:name w:val="Signature"/>
    <w:basedOn w:val="1"/>
    <w:link w:val="166"/>
    <w:unhideWhenUsed/>
    <w:qFormat/>
    <w:uiPriority w:val="0"/>
    <w:pPr>
      <w:widowControl/>
      <w:spacing w:line="240" w:lineRule="auto"/>
      <w:ind w:left="100" w:leftChars="2100"/>
      <w:jc w:val="left"/>
    </w:pPr>
    <w:rPr>
      <w:kern w:val="0"/>
      <w:lang w:val="zh-CN"/>
    </w:rPr>
  </w:style>
  <w:style w:type="paragraph" w:styleId="59">
    <w:name w:val="toc 1"/>
    <w:basedOn w:val="1"/>
    <w:next w:val="1"/>
    <w:autoRedefine/>
    <w:qFormat/>
    <w:uiPriority w:val="39"/>
    <w:pPr>
      <w:tabs>
        <w:tab w:val="left" w:pos="560"/>
        <w:tab w:val="right" w:leader="dot" w:pos="8733"/>
      </w:tabs>
      <w:spacing w:before="120" w:after="120"/>
      <w:jc w:val="left"/>
    </w:pPr>
    <w:rPr>
      <w:rFonts w:asciiTheme="minorHAnsi" w:hAnsiTheme="minorHAnsi"/>
      <w:b/>
      <w:bCs/>
      <w:caps/>
      <w:sz w:val="20"/>
      <w:szCs w:val="20"/>
    </w:rPr>
  </w:style>
  <w:style w:type="paragraph" w:styleId="60">
    <w:name w:val="List Continue 4"/>
    <w:basedOn w:val="1"/>
    <w:qFormat/>
    <w:uiPriority w:val="0"/>
    <w:pPr>
      <w:spacing w:after="120" w:line="240" w:lineRule="auto"/>
      <w:ind w:left="1680" w:leftChars="800"/>
    </w:pPr>
    <w:rPr>
      <w:sz w:val="21"/>
      <w:szCs w:val="20"/>
    </w:rPr>
  </w:style>
  <w:style w:type="paragraph" w:styleId="61">
    <w:name w:val="toc 4"/>
    <w:basedOn w:val="1"/>
    <w:next w:val="1"/>
    <w:autoRedefine/>
    <w:qFormat/>
    <w:uiPriority w:val="39"/>
    <w:pPr>
      <w:ind w:left="840"/>
      <w:jc w:val="left"/>
    </w:pPr>
    <w:rPr>
      <w:rFonts w:asciiTheme="minorHAnsi" w:hAnsiTheme="minorHAnsi"/>
      <w:sz w:val="18"/>
      <w:szCs w:val="18"/>
    </w:rPr>
  </w:style>
  <w:style w:type="paragraph" w:styleId="62">
    <w:name w:val="index heading"/>
    <w:basedOn w:val="1"/>
    <w:next w:val="63"/>
    <w:qFormat/>
    <w:uiPriority w:val="0"/>
    <w:rPr>
      <w:rFonts w:ascii="Arial" w:hAnsi="Arial" w:cs="Arial"/>
      <w:b/>
      <w:bCs/>
    </w:rPr>
  </w:style>
  <w:style w:type="paragraph" w:styleId="63">
    <w:name w:val="index 1"/>
    <w:basedOn w:val="1"/>
    <w:next w:val="1"/>
    <w:autoRedefine/>
    <w:qFormat/>
    <w:uiPriority w:val="0"/>
  </w:style>
  <w:style w:type="paragraph" w:styleId="64">
    <w:name w:val="Subtitle"/>
    <w:basedOn w:val="1"/>
    <w:link w:val="173"/>
    <w:qFormat/>
    <w:uiPriority w:val="11"/>
    <w:pPr>
      <w:spacing w:before="240" w:after="60" w:line="312" w:lineRule="auto"/>
      <w:jc w:val="center"/>
      <w:outlineLvl w:val="1"/>
    </w:pPr>
    <w:rPr>
      <w:rFonts w:ascii="Arial" w:hAnsi="Arial"/>
      <w:b/>
      <w:bCs/>
      <w:kern w:val="28"/>
      <w:sz w:val="32"/>
      <w:szCs w:val="32"/>
      <w:lang w:val="zh-CN"/>
    </w:rPr>
  </w:style>
  <w:style w:type="paragraph" w:styleId="65">
    <w:name w:val="List Number 5"/>
    <w:basedOn w:val="1"/>
    <w:qFormat/>
    <w:uiPriority w:val="0"/>
    <w:pPr>
      <w:tabs>
        <w:tab w:val="left" w:pos="2040"/>
      </w:tabs>
      <w:spacing w:line="240" w:lineRule="auto"/>
      <w:ind w:left="2040" w:leftChars="800" w:hanging="360" w:hangingChars="200"/>
    </w:pPr>
    <w:rPr>
      <w:sz w:val="21"/>
      <w:szCs w:val="20"/>
    </w:rPr>
  </w:style>
  <w:style w:type="paragraph" w:styleId="66">
    <w:name w:val="List"/>
    <w:autoRedefine/>
    <w:qFormat/>
    <w:uiPriority w:val="0"/>
    <w:pPr>
      <w:numPr>
        <w:ilvl w:val="0"/>
        <w:numId w:val="2"/>
      </w:numPr>
      <w:spacing w:line="420" w:lineRule="exact"/>
      <w:ind w:left="1000" w:leftChars="800" w:hanging="200" w:hangingChars="200"/>
    </w:pPr>
    <w:rPr>
      <w:rFonts w:ascii="Times New Roman" w:hAnsi="Times New Roman" w:eastAsia="楷体_GB2312" w:cs="Times New Roman"/>
      <w:kern w:val="2"/>
      <w:sz w:val="21"/>
      <w:szCs w:val="24"/>
      <w:lang w:val="en-US" w:eastAsia="zh-CN" w:bidi="ar-SA"/>
    </w:rPr>
  </w:style>
  <w:style w:type="paragraph" w:styleId="67">
    <w:name w:val="footnote text"/>
    <w:basedOn w:val="1"/>
    <w:qFormat/>
    <w:uiPriority w:val="0"/>
    <w:pPr>
      <w:snapToGrid w:val="0"/>
      <w:jc w:val="left"/>
    </w:pPr>
    <w:rPr>
      <w:sz w:val="18"/>
      <w:szCs w:val="18"/>
    </w:rPr>
  </w:style>
  <w:style w:type="paragraph" w:styleId="68">
    <w:name w:val="toc 6"/>
    <w:basedOn w:val="1"/>
    <w:next w:val="1"/>
    <w:autoRedefine/>
    <w:qFormat/>
    <w:uiPriority w:val="39"/>
    <w:pPr>
      <w:ind w:left="1400"/>
      <w:jc w:val="left"/>
    </w:pPr>
    <w:rPr>
      <w:rFonts w:asciiTheme="minorHAnsi" w:hAnsiTheme="minorHAnsi"/>
      <w:sz w:val="18"/>
      <w:szCs w:val="18"/>
    </w:rPr>
  </w:style>
  <w:style w:type="paragraph" w:styleId="69">
    <w:name w:val="List 5"/>
    <w:basedOn w:val="1"/>
    <w:qFormat/>
    <w:uiPriority w:val="0"/>
    <w:pPr>
      <w:spacing w:line="240" w:lineRule="auto"/>
      <w:ind w:left="100" w:leftChars="800" w:hanging="200" w:hangingChars="200"/>
    </w:pPr>
    <w:rPr>
      <w:sz w:val="21"/>
      <w:szCs w:val="20"/>
    </w:rPr>
  </w:style>
  <w:style w:type="paragraph" w:styleId="70">
    <w:name w:val="Body Text Indent 3"/>
    <w:basedOn w:val="1"/>
    <w:link w:val="158"/>
    <w:qFormat/>
    <w:uiPriority w:val="0"/>
    <w:pPr>
      <w:topLinePunct/>
      <w:spacing w:after="120" w:line="360" w:lineRule="auto"/>
      <w:ind w:left="420" w:firstLine="420" w:firstLineChars="200"/>
    </w:pPr>
    <w:rPr>
      <w:sz w:val="16"/>
      <w:szCs w:val="20"/>
      <w:lang w:val="zh-CN"/>
    </w:rPr>
  </w:style>
  <w:style w:type="paragraph" w:styleId="71">
    <w:name w:val="index 7"/>
    <w:basedOn w:val="1"/>
    <w:next w:val="1"/>
    <w:autoRedefine/>
    <w:qFormat/>
    <w:uiPriority w:val="0"/>
    <w:pPr>
      <w:ind w:left="1200" w:leftChars="1200"/>
    </w:pPr>
  </w:style>
  <w:style w:type="paragraph" w:styleId="72">
    <w:name w:val="index 9"/>
    <w:basedOn w:val="1"/>
    <w:next w:val="1"/>
    <w:autoRedefine/>
    <w:qFormat/>
    <w:uiPriority w:val="0"/>
    <w:pPr>
      <w:ind w:left="1600" w:leftChars="1600"/>
    </w:pPr>
  </w:style>
  <w:style w:type="paragraph" w:styleId="73">
    <w:name w:val="table of figures"/>
    <w:basedOn w:val="1"/>
    <w:next w:val="1"/>
    <w:qFormat/>
    <w:uiPriority w:val="0"/>
    <w:pPr>
      <w:ind w:left="200" w:leftChars="200" w:hanging="200" w:hangingChars="200"/>
    </w:pPr>
  </w:style>
  <w:style w:type="paragraph" w:styleId="74">
    <w:name w:val="toc 2"/>
    <w:basedOn w:val="1"/>
    <w:next w:val="1"/>
    <w:autoRedefine/>
    <w:qFormat/>
    <w:uiPriority w:val="39"/>
    <w:pPr>
      <w:ind w:left="280"/>
      <w:jc w:val="left"/>
    </w:pPr>
    <w:rPr>
      <w:rFonts w:asciiTheme="minorHAnsi" w:hAnsiTheme="minorHAnsi"/>
      <w:smallCaps/>
      <w:sz w:val="20"/>
      <w:szCs w:val="20"/>
    </w:rPr>
  </w:style>
  <w:style w:type="paragraph" w:styleId="75">
    <w:name w:val="toc 9"/>
    <w:basedOn w:val="1"/>
    <w:next w:val="1"/>
    <w:autoRedefine/>
    <w:qFormat/>
    <w:uiPriority w:val="39"/>
    <w:pPr>
      <w:ind w:left="2240"/>
      <w:jc w:val="left"/>
    </w:pPr>
    <w:rPr>
      <w:rFonts w:asciiTheme="minorHAnsi" w:hAnsiTheme="minorHAnsi"/>
      <w:sz w:val="18"/>
      <w:szCs w:val="18"/>
    </w:rPr>
  </w:style>
  <w:style w:type="paragraph" w:styleId="76">
    <w:name w:val="Body Text 2"/>
    <w:basedOn w:val="1"/>
    <w:link w:val="160"/>
    <w:qFormat/>
    <w:uiPriority w:val="0"/>
    <w:pPr>
      <w:spacing w:after="120" w:line="480" w:lineRule="auto"/>
    </w:pPr>
    <w:rPr>
      <w:sz w:val="21"/>
      <w:szCs w:val="20"/>
      <w:lang w:val="zh-CN"/>
    </w:rPr>
  </w:style>
  <w:style w:type="paragraph" w:styleId="77">
    <w:name w:val="List 4"/>
    <w:basedOn w:val="1"/>
    <w:qFormat/>
    <w:uiPriority w:val="0"/>
    <w:pPr>
      <w:spacing w:line="240" w:lineRule="auto"/>
      <w:ind w:left="100" w:leftChars="600" w:hanging="200" w:hangingChars="200"/>
    </w:pPr>
    <w:rPr>
      <w:sz w:val="21"/>
      <w:szCs w:val="20"/>
    </w:rPr>
  </w:style>
  <w:style w:type="paragraph" w:styleId="78">
    <w:name w:val="List Continue 2"/>
    <w:basedOn w:val="1"/>
    <w:qFormat/>
    <w:uiPriority w:val="0"/>
    <w:pPr>
      <w:spacing w:after="120" w:line="240" w:lineRule="auto"/>
      <w:ind w:left="840" w:leftChars="400"/>
    </w:pPr>
    <w:rPr>
      <w:sz w:val="21"/>
      <w:szCs w:val="20"/>
    </w:rPr>
  </w:style>
  <w:style w:type="paragraph" w:styleId="79">
    <w:name w:val="Message Header"/>
    <w:basedOn w:val="1"/>
    <w:link w:val="164"/>
    <w:qFormat/>
    <w:uiPriority w:val="0"/>
    <w:pPr>
      <w:pBdr>
        <w:top w:val="single" w:color="auto" w:sz="6" w:space="1"/>
        <w:left w:val="single" w:color="auto" w:sz="6" w:space="1"/>
        <w:bottom w:val="single" w:color="auto" w:sz="6" w:space="1"/>
        <w:right w:val="single" w:color="auto" w:sz="6" w:space="1"/>
      </w:pBdr>
      <w:shd w:val="pct20" w:color="auto" w:fill="auto"/>
      <w:spacing w:line="360" w:lineRule="auto"/>
      <w:ind w:left="1080" w:leftChars="500" w:hanging="1080" w:hangingChars="500"/>
    </w:pPr>
    <w:rPr>
      <w:rFonts w:ascii="Arial" w:hAnsi="Arial"/>
      <w:lang w:val="zh-CN"/>
    </w:rPr>
  </w:style>
  <w:style w:type="paragraph" w:styleId="80">
    <w:name w:val="HTML Preformatted"/>
    <w:basedOn w:val="1"/>
    <w:link w:val="174"/>
    <w:qFormat/>
    <w:uiPriority w:val="0"/>
    <w:pPr>
      <w:spacing w:line="240" w:lineRule="auto"/>
    </w:pPr>
    <w:rPr>
      <w:rFonts w:ascii="Courier New" w:hAnsi="Courier New"/>
      <w:kern w:val="0"/>
      <w:sz w:val="20"/>
      <w:szCs w:val="20"/>
      <w:lang w:val="zh-CN"/>
    </w:rPr>
  </w:style>
  <w:style w:type="paragraph" w:styleId="81">
    <w:name w:val="Normal (Web)"/>
    <w:basedOn w:val="1"/>
    <w:link w:val="508"/>
    <w:unhideWhenUsed/>
    <w:qFormat/>
    <w:uiPriority w:val="99"/>
    <w:pPr>
      <w:widowControl/>
      <w:spacing w:before="100" w:beforeAutospacing="1" w:after="100" w:afterAutospacing="1" w:line="240" w:lineRule="auto"/>
      <w:jc w:val="left"/>
    </w:pPr>
    <w:rPr>
      <w:rFonts w:ascii="宋体" w:hAnsi="宋体" w:cs="宋体"/>
      <w:kern w:val="0"/>
    </w:rPr>
  </w:style>
  <w:style w:type="paragraph" w:styleId="82">
    <w:name w:val="List Continue 3"/>
    <w:basedOn w:val="1"/>
    <w:qFormat/>
    <w:uiPriority w:val="0"/>
    <w:pPr>
      <w:spacing w:after="120" w:line="240" w:lineRule="auto"/>
      <w:ind w:left="1260" w:leftChars="600"/>
    </w:pPr>
    <w:rPr>
      <w:sz w:val="21"/>
      <w:szCs w:val="20"/>
    </w:rPr>
  </w:style>
  <w:style w:type="paragraph" w:styleId="83">
    <w:name w:val="index 2"/>
    <w:basedOn w:val="1"/>
    <w:next w:val="1"/>
    <w:autoRedefine/>
    <w:qFormat/>
    <w:uiPriority w:val="0"/>
    <w:pPr>
      <w:ind w:left="200" w:leftChars="200"/>
    </w:pPr>
  </w:style>
  <w:style w:type="paragraph" w:styleId="84">
    <w:name w:val="Title"/>
    <w:basedOn w:val="1"/>
    <w:next w:val="1"/>
    <w:link w:val="149"/>
    <w:autoRedefine/>
    <w:qFormat/>
    <w:uiPriority w:val="0"/>
    <w:pPr>
      <w:numPr>
        <w:ilvl w:val="0"/>
        <w:numId w:val="3"/>
      </w:numPr>
      <w:spacing w:before="240" w:after="60"/>
      <w:jc w:val="center"/>
      <w:outlineLvl w:val="0"/>
    </w:pPr>
    <w:rPr>
      <w:rFonts w:ascii="Cambria" w:hAnsi="Cambria"/>
      <w:b/>
      <w:bCs/>
      <w:sz w:val="36"/>
      <w:szCs w:val="32"/>
      <w:lang w:val="zh-CN"/>
    </w:rPr>
  </w:style>
  <w:style w:type="paragraph" w:styleId="85">
    <w:name w:val="annotation subject"/>
    <w:basedOn w:val="28"/>
    <w:next w:val="28"/>
    <w:link w:val="287"/>
    <w:qFormat/>
    <w:uiPriority w:val="0"/>
    <w:rPr>
      <w:b/>
      <w:bCs/>
    </w:rPr>
  </w:style>
  <w:style w:type="paragraph" w:styleId="86">
    <w:name w:val="Body Text First Indent"/>
    <w:basedOn w:val="34"/>
    <w:link w:val="154"/>
    <w:unhideWhenUsed/>
    <w:qFormat/>
    <w:uiPriority w:val="0"/>
    <w:pPr>
      <w:ind w:firstLine="420" w:firstLineChars="200"/>
    </w:pPr>
  </w:style>
  <w:style w:type="paragraph" w:styleId="87">
    <w:name w:val="Body Text First Indent 2"/>
    <w:basedOn w:val="35"/>
    <w:link w:val="172"/>
    <w:qFormat/>
    <w:uiPriority w:val="0"/>
    <w:pPr>
      <w:overflowPunct w:val="0"/>
      <w:spacing w:line="240" w:lineRule="auto"/>
      <w:ind w:left="0" w:leftChars="0" w:firstLine="210"/>
    </w:pPr>
  </w:style>
  <w:style w:type="table" w:styleId="89">
    <w:name w:val="Table Grid"/>
    <w:basedOn w:val="88"/>
    <w:qFormat/>
    <w:uiPriority w:val="59"/>
    <w:pPr>
      <w:widowControl w:val="0"/>
      <w:jc w:val="center"/>
    </w:pPr>
    <w:rPr>
      <w:sz w:val="24"/>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jc w:val="center"/>
    </w:trPr>
    <w:tcPr>
      <w:vAlign w:val="center"/>
    </w:tcPr>
  </w:style>
  <w:style w:type="table" w:styleId="90">
    <w:name w:val="Table Theme"/>
    <w:basedOn w:val="8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Colorful 1"/>
    <w:basedOn w:val="88"/>
    <w:qFormat/>
    <w:uiPriority w:val="0"/>
    <w:pPr>
      <w:widowControl w:val="0"/>
      <w:spacing w:line="480" w:lineRule="exact"/>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shd w:val="solid" w:color="000000" w:fill="FFFFFF"/>
      </w:tcPr>
    </w:tblStylePr>
    <w:tblStylePr w:type="firstCol">
      <w:rPr>
        <w:b/>
        <w:bCs/>
        <w:i/>
        <w:iCs/>
      </w:rPr>
      <w:tblPr/>
      <w:tcPr>
        <w:shd w:val="solid" w:color="000080" w:fill="FFFFFF"/>
      </w:tcPr>
    </w:tblStylePr>
    <w:tblStylePr w:type="nwCell">
      <w:tblPr/>
      <w:tcPr>
        <w:shd w:val="solid" w:color="000000" w:fill="FFFFFF"/>
      </w:tcPr>
    </w:tblStylePr>
    <w:tblStylePr w:type="swCell">
      <w:rPr>
        <w:b/>
        <w:bCs/>
        <w:i w:val="0"/>
        <w:iCs w:val="0"/>
      </w:rPr>
      <w:tblPr/>
    </w:tblStylePr>
  </w:style>
  <w:style w:type="table" w:styleId="92">
    <w:name w:val="Table Colorful 3"/>
    <w:basedOn w:val="88"/>
    <w:qFormat/>
    <w:uiPriority w:val="0"/>
    <w:pPr>
      <w:widowControl w:val="0"/>
      <w:spacing w:line="480" w:lineRule="exact"/>
      <w:jc w:val="both"/>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top w:val="nil"/>
          <w:left w:val="nil"/>
          <w:bottom w:val="single" w:color="000000" w:sz="6" w:space="0"/>
          <w:right w:val="nil"/>
          <w:insideH w:val="nil"/>
          <w:insideV w:val="nil"/>
          <w:tl2br w:val="nil"/>
          <w:tr2bl w:val="nil"/>
        </w:tcBorders>
        <w:shd w:val="solid" w:color="008080" w:fill="FFFFFF"/>
      </w:tcPr>
    </w:tblStylePr>
    <w:tblStylePr w:type="firstCol">
      <w:tblPr/>
      <w:tcPr>
        <w:tcBorders>
          <w:top w:val="nil"/>
          <w:left w:val="single" w:color="000000" w:sz="36" w:space="0"/>
          <w:bottom w:val="nil"/>
          <w:right w:val="single" w:color="000000" w:sz="6" w:space="0"/>
          <w:insideH w:val="nil"/>
          <w:insideV w:val="nil"/>
          <w:tl2br w:val="nil"/>
          <w:tr2bl w:val="nil"/>
        </w:tcBorders>
        <w:shd w:val="solid" w:color="008080" w:fill="FFFFFF"/>
      </w:tcPr>
    </w:tblStylePr>
    <w:tblStylePr w:type="nwCell">
      <w:rPr>
        <w:b/>
        <w:bCs/>
        <w:color w:val="FFFFFF"/>
      </w:rPr>
      <w:tblPr/>
      <w:tcPr>
        <w:shd w:val="solid" w:color="000000" w:fill="FFFFFF"/>
      </w:tcPr>
    </w:tblStylePr>
  </w:style>
  <w:style w:type="table" w:styleId="93">
    <w:name w:val="Table Elegant"/>
    <w:basedOn w:val="88"/>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94">
    <w:name w:val="Table Classic 1"/>
    <w:basedOn w:val="88"/>
    <w:qFormat/>
    <w:uiPriority w:val="0"/>
    <w:pPr>
      <w:widowControl w:val="0"/>
      <w:spacing w:line="480" w:lineRule="exact"/>
      <w:ind w:firstLine="200" w:firstLineChars="200"/>
      <w:jc w:val="both"/>
    </w:pPr>
    <w:tblPr>
      <w:tblBorders>
        <w:top w:val="single" w:color="000000" w:sz="12" w:space="0"/>
        <w:bottom w:val="single" w:color="000000" w:sz="12" w:space="0"/>
      </w:tblBorders>
    </w:tblPr>
    <w:tcPr>
      <w:shd w:val="clear" w:color="auto" w:fill="auto"/>
    </w:tcPr>
    <w:tblStylePr w:type="firstRow">
      <w:rPr>
        <w:i/>
        <w:i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blStylePr>
    <w:tblStylePr w:type="swCell">
      <w:rPr>
        <w:b/>
        <w:bCs/>
      </w:rPr>
      <w:tblPr/>
    </w:tblStylePr>
  </w:style>
  <w:style w:type="table" w:styleId="95">
    <w:name w:val="Table Classic 2"/>
    <w:basedOn w:val="88"/>
    <w:qFormat/>
    <w:uiPriority w:val="0"/>
    <w:pPr>
      <w:widowControl w:val="0"/>
      <w:spacing w:line="480" w:lineRule="exact"/>
      <w:jc w:val="both"/>
    </w:pPr>
    <w:tblPr>
      <w:tblBorders>
        <w:top w:val="double" w:color="auto" w:sz="4" w:space="0"/>
        <w:bottom w:val="double" w:color="auto" w:sz="4" w:space="0"/>
        <w:insideH w:val="single" w:color="auto" w:sz="4" w:space="0"/>
        <w:insideV w:val="single" w:color="auto" w:sz="4" w:space="0"/>
      </w:tblBorders>
    </w:tblPr>
    <w:tcPr>
      <w:shd w:val="clear" w:color="auto" w:fill="auto"/>
      <w:vAlign w:val="center"/>
    </w:tcPr>
    <w:tblStylePr w:type="firstRow">
      <w:rPr>
        <w:color w:val="FFFFFF"/>
      </w:rPr>
      <w:tblPr/>
      <w:tcPr>
        <w:tcBorders>
          <w:bottom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96">
    <w:name w:val="Table Classic 4"/>
    <w:basedOn w:val="88"/>
    <w:qFormat/>
    <w:uiPriority w:val="0"/>
    <w:pPr>
      <w:widowControl w:val="0"/>
      <w:spacing w:line="440" w:lineRule="exact"/>
      <w:ind w:firstLine="480" w:firstLineChars="200"/>
      <w:jc w:val="both"/>
    </w:p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top w:val="nil"/>
          <w:left w:val="nil"/>
          <w:bottom w:val="single" w:color="000000" w:sz="6" w:space="0"/>
          <w:right w:val="nil"/>
          <w:insideH w:val="nil"/>
          <w:insideV w:val="nil"/>
          <w:tl2br w:val="nil"/>
          <w:tr2bl w:val="nil"/>
        </w:tcBorders>
        <w:shd w:val="pct50" w:color="000080" w:fill="FFFFFF"/>
      </w:tcPr>
    </w:tblStylePr>
    <w:tblStylePr w:type="lastRow">
      <w:rPr>
        <w:color w:val="000080"/>
      </w:rPr>
      <w:tblPr/>
      <w:tcPr>
        <w:tcBorders>
          <w:top w:val="nil"/>
          <w:left w:val="nil"/>
          <w:bottom w:val="single" w:color="000000" w:sz="6" w:space="0"/>
          <w:right w:val="nil"/>
          <w:insideH w:val="nil"/>
          <w:insideV w:val="nil"/>
          <w:tl2br w:val="nil"/>
          <w:tr2bl w:val="nil"/>
        </w:tcBorders>
        <w:shd w:val="pct50" w:color="000000" w:fill="FFFFFF"/>
      </w:tcPr>
    </w:tblStylePr>
    <w:tblStylePr w:type="firstCol">
      <w:rPr>
        <w:b/>
        <w:bCs/>
      </w:rPr>
      <w:tblPr/>
    </w:tblStylePr>
    <w:tblStylePr w:type="nwCell">
      <w:rPr>
        <w:b/>
        <w:bCs/>
      </w:rPr>
      <w:tblPr/>
    </w:tblStylePr>
    <w:tblStylePr w:type="swCell">
      <w:rPr>
        <w:color w:val="000080"/>
      </w:rPr>
      <w:tblPr/>
    </w:tblStylePr>
  </w:style>
  <w:style w:type="table" w:styleId="97">
    <w:name w:val="Table Simple 1"/>
    <w:basedOn w:val="88"/>
    <w:qFormat/>
    <w:uiPriority w:val="0"/>
    <w:pPr>
      <w:widowControl w:val="0"/>
      <w:jc w:val="both"/>
    </w:pPr>
    <w:tblPr>
      <w:tblBorders>
        <w:top w:val="single" w:color="008000" w:sz="12" w:space="0"/>
        <w:bottom w:val="single" w:color="008000" w:sz="12" w:space="0"/>
      </w:tblBorders>
    </w:tblPr>
    <w:tcPr>
      <w:shd w:val="clear" w:color="auto" w:fill="auto"/>
    </w:tcPr>
    <w:tblStylePr w:type="firstRow">
      <w:tblPr/>
      <w:tcPr>
        <w:tcBorders>
          <w:top w:val="nil"/>
          <w:left w:val="nil"/>
          <w:bottom w:val="single" w:color="008000" w:sz="6" w:space="0"/>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98">
    <w:name w:val="Table Simple 2"/>
    <w:basedOn w:val="88"/>
    <w:qFormat/>
    <w:uiPriority w:val="0"/>
    <w:pPr>
      <w:widowControl w:val="0"/>
      <w:spacing w:line="480" w:lineRule="exact"/>
      <w:ind w:firstLine="200" w:firstLineChars="200"/>
      <w:jc w:val="both"/>
    </w:pPr>
    <w:tblPr/>
    <w:tblStylePr w:type="firstRow">
      <w:rPr>
        <w:b/>
        <w:bCs/>
      </w:rPr>
      <w:tblPr/>
      <w:tcPr>
        <w:tcBorders>
          <w:bottom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left w:val="single" w:color="000000" w:sz="6" w:space="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99">
    <w:name w:val="Table Simple 3"/>
    <w:basedOn w:val="88"/>
    <w:qFormat/>
    <w:uiPriority w:val="0"/>
    <w:pPr>
      <w:widowControl w:val="0"/>
      <w:spacing w:line="480" w:lineRule="exact"/>
      <w:jc w:val="both"/>
    </w:p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00">
    <w:name w:val="Table Subtle 1"/>
    <w:basedOn w:val="88"/>
    <w:qFormat/>
    <w:uiPriority w:val="0"/>
    <w:pPr>
      <w:widowControl w:val="0"/>
      <w:snapToGrid w:val="0"/>
      <w:spacing w:line="360" w:lineRule="auto"/>
      <w:ind w:firstLine="200" w:firstLineChars="200"/>
      <w:jc w:val="both"/>
    </w:pPr>
    <w:tblPr>
      <w:tblStyleRowBandSize w:val="1"/>
    </w:tblPr>
    <w:tblStylePr w:type="firstRow">
      <w:rPr>
        <w:rFonts w:cs="Times New Roman"/>
      </w:rPr>
      <w:tblPr/>
      <w:tcPr>
        <w:tcBorders>
          <w:top w:val="single" w:color="000000" w:sz="6" w:space="0"/>
          <w:bottom w:val="single" w:color="000000" w:sz="12" w:space="0"/>
          <w:tl2br w:val="nil"/>
          <w:tr2bl w:val="nil"/>
        </w:tcBorders>
      </w:tcPr>
    </w:tblStylePr>
    <w:tblStylePr w:type="lastRow">
      <w:rPr>
        <w:rFonts w:cs="Times New Roman"/>
      </w:rPr>
      <w:tblPr/>
      <w:tcPr>
        <w:tcBorders>
          <w:top w:val="single" w:color="000000" w:sz="12" w:space="0"/>
          <w:tl2br w:val="nil"/>
          <w:tr2bl w:val="nil"/>
        </w:tcBorders>
        <w:shd w:val="pct25" w:color="800080" w:fill="FFFFFF"/>
      </w:tcPr>
    </w:tblStylePr>
    <w:tblStylePr w:type="firstCol">
      <w:rPr>
        <w:rFonts w:cs="Times New Roman"/>
      </w:rPr>
      <w:tblPr/>
      <w:tcPr>
        <w:tcBorders>
          <w:right w:val="single" w:color="000000" w:sz="12" w:space="0"/>
          <w:tl2br w:val="nil"/>
          <w:tr2bl w:val="nil"/>
        </w:tcBorders>
      </w:tcPr>
    </w:tblStylePr>
    <w:tblStylePr w:type="lastCol">
      <w:rPr>
        <w:rFonts w:cs="Times New Roman"/>
      </w:rPr>
      <w:tblPr/>
      <w:tcPr>
        <w:tcBorders>
          <w:left w:val="single" w:color="000000" w:sz="12" w:space="0"/>
          <w:tl2br w:val="nil"/>
          <w:tr2bl w:val="nil"/>
        </w:tcBorders>
      </w:tcPr>
    </w:tblStylePr>
    <w:tblStylePr w:type="band1Horz">
      <w:rPr>
        <w:rFonts w:cs="Times New Roman"/>
      </w:rPr>
      <w:tblPr/>
      <w:tcPr>
        <w:tcBorders>
          <w:bottom w:val="single" w:color="000000" w:sz="6" w:space="0"/>
          <w:tl2br w:val="nil"/>
          <w:tr2bl w:val="nil"/>
        </w:tcBorders>
        <w:shd w:val="pct25" w:color="8080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101">
    <w:name w:val="Table Subtle 2"/>
    <w:basedOn w:val="88"/>
    <w:qFormat/>
    <w:uiPriority w:val="0"/>
    <w:pPr>
      <w:widowControl w:val="0"/>
      <w:snapToGrid w:val="0"/>
      <w:spacing w:line="360" w:lineRule="auto"/>
      <w:ind w:firstLine="200" w:firstLineChars="200"/>
      <w:jc w:val="both"/>
    </w:pPr>
    <w:tblPr>
      <w:tblBorders>
        <w:left w:val="single" w:color="000000" w:sz="6" w:space="0"/>
        <w:right w:val="single" w:color="000000" w:sz="6" w:space="0"/>
      </w:tblBorders>
    </w:tblPr>
    <w:tblStylePr w:type="firstRow">
      <w:tblPr/>
      <w:tcPr>
        <w:tcBorders>
          <w:bottom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left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2">
    <w:name w:val="Table List 1"/>
    <w:basedOn w:val="88"/>
    <w:qFormat/>
    <w:uiPriority w:val="0"/>
    <w:pPr>
      <w:widowControl w:val="0"/>
      <w:spacing w:line="480" w:lineRule="exact"/>
      <w:ind w:firstLine="200" w:firstLineChars="200"/>
      <w:jc w:val="both"/>
    </w:p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bottom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03">
    <w:name w:val="Table List 3"/>
    <w:basedOn w:val="88"/>
    <w:qFormat/>
    <w:uiPriority w:val="0"/>
    <w:pPr>
      <w:widowControl w:val="0"/>
      <w:spacing w:line="480" w:lineRule="exact"/>
      <w:ind w:firstLine="200" w:firstLineChars="200"/>
      <w:jc w:val="both"/>
    </w:p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blStylePr>
  </w:style>
  <w:style w:type="table" w:styleId="104">
    <w:name w:val="Table List 5"/>
    <w:basedOn w:val="88"/>
    <w:qFormat/>
    <w:uiPriority w:val="0"/>
    <w:pPr>
      <w:widowControl w:val="0"/>
      <w:spacing w:line="480" w:lineRule="exact"/>
      <w:jc w:val="both"/>
    </w:p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bottom w:val="single" w:color="000000" w:sz="12" w:space="0"/>
          <w:tl2br w:val="nil"/>
          <w:tr2bl w:val="nil"/>
        </w:tcBorders>
      </w:tcPr>
    </w:tblStylePr>
    <w:tblStylePr w:type="firstCol">
      <w:rPr>
        <w:b/>
        <w:bCs/>
      </w:rPr>
      <w:tblPr/>
      <w:tcPr>
        <w:tcBorders>
          <w:tl2br w:val="nil"/>
          <w:tr2bl w:val="nil"/>
        </w:tcBorders>
      </w:tcPr>
    </w:tblStylePr>
  </w:style>
  <w:style w:type="table" w:styleId="105">
    <w:name w:val="Table List 6"/>
    <w:basedOn w:val="88"/>
    <w:qFormat/>
    <w:uiPriority w:val="0"/>
    <w:pPr>
      <w:widowControl w:val="0"/>
      <w:snapToGrid w:val="0"/>
      <w:spacing w:line="360" w:lineRule="auto"/>
      <w:ind w:firstLine="200" w:firstLineChars="200"/>
      <w:jc w:val="both"/>
    </w:p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bottom w:val="single" w:color="000000" w:sz="12" w:space="0"/>
          <w:tl2br w:val="nil"/>
          <w:tr2bl w:val="nil"/>
        </w:tcBorders>
      </w:tcPr>
    </w:tblStylePr>
    <w:tblStylePr w:type="firstCol">
      <w:rPr>
        <w:b/>
        <w:bCs/>
      </w:rPr>
      <w:tblPr/>
      <w:tcPr>
        <w:tcBorders>
          <w:right w:val="single" w:color="000000" w:sz="12" w:space="0"/>
          <w:tl2br w:val="nil"/>
          <w:tr2bl w:val="nil"/>
        </w:tcBorders>
      </w:tcPr>
    </w:tblStylePr>
    <w:tblStylePr w:type="band1Horz">
      <w:tblPr/>
      <w:tcPr>
        <w:tcBorders>
          <w:tl2br w:val="nil"/>
          <w:tr2bl w:val="nil"/>
        </w:tcBorders>
        <w:shd w:val="pct25" w:color="000000" w:fill="FFFFFF"/>
      </w:tcPr>
    </w:tblStylePr>
    <w:tblStylePr w:type="nwCell">
      <w:tblPr/>
      <w:tcPr>
        <w:tcBorders>
          <w:tl2br w:val="single" w:color="000000" w:sz="6" w:space="0"/>
          <w:tr2bl w:val="nil"/>
        </w:tcBorders>
      </w:tcPr>
    </w:tblStylePr>
  </w:style>
  <w:style w:type="table" w:styleId="106">
    <w:name w:val="Table Columns 3"/>
    <w:basedOn w:val="88"/>
    <w:qFormat/>
    <w:uiPriority w:val="0"/>
    <w:pPr>
      <w:widowControl w:val="0"/>
      <w:spacing w:line="500" w:lineRule="exact"/>
      <w:ind w:firstLine="200" w:firstLineChars="20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07">
    <w:name w:val="Table Grid 1"/>
    <w:basedOn w:val="88"/>
    <w:qFormat/>
    <w:uiPriority w:val="0"/>
    <w:pPr>
      <w:widowControl w:val="0"/>
    </w:pPr>
    <w:rPr>
      <w:szCs w:val="21"/>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blStylePr>
    <w:tblStylePr w:type="lastCol">
      <w:rPr>
        <w:i/>
        <w:iCs/>
      </w:rPr>
      <w:tblPr/>
    </w:tblStylePr>
    <w:tblStylePr w:type="nwCell">
      <w:tblPr/>
      <w:tcPr>
        <w:tcBorders>
          <w:top w:val="nil"/>
          <w:left w:val="nil"/>
          <w:bottom w:val="nil"/>
          <w:right w:val="nil"/>
          <w:insideH w:val="nil"/>
          <w:insideV w:val="nil"/>
          <w:tl2br w:val="single" w:color="000000" w:sz="6" w:space="0"/>
          <w:tr2bl w:val="nil"/>
        </w:tcBorders>
      </w:tcPr>
    </w:tblStylePr>
  </w:style>
  <w:style w:type="table" w:styleId="108">
    <w:name w:val="Table Grid 2"/>
    <w:basedOn w:val="88"/>
    <w:qFormat/>
    <w:uiPriority w:val="0"/>
    <w:pPr>
      <w:widowControl w:val="0"/>
      <w:spacing w:line="480" w:lineRule="exact"/>
      <w:ind w:firstLine="200" w:firstLineChars="200"/>
      <w:jc w:val="both"/>
    </w:pPr>
    <w:tblPr>
      <w:tblBorders>
        <w:insideH w:val="single" w:color="000000" w:sz="6" w:space="0"/>
        <w:insideV w:val="single" w:color="000000" w:sz="6" w:space="0"/>
      </w:tblBorders>
    </w:tblPr>
    <w:tcPr>
      <w:shd w:val="clear" w:color="auto" w:fill="auto"/>
    </w:tcPr>
    <w:tblStylePr w:type="firstRow">
      <w:rPr>
        <w:b/>
        <w:bCs/>
      </w:rPr>
      <w:tbl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blStylePr>
    <w:tblStylePr w:type="lastCol">
      <w:rPr>
        <w:b/>
        <w:bCs/>
      </w:rPr>
      <w:tblPr/>
    </w:tblStylePr>
  </w:style>
  <w:style w:type="table" w:styleId="109">
    <w:name w:val="Table Grid 3"/>
    <w:basedOn w:val="88"/>
    <w:qFormat/>
    <w:uiPriority w:val="0"/>
    <w:pPr>
      <w:widowControl w:val="0"/>
      <w:spacing w:line="480" w:lineRule="exact"/>
      <w:ind w:firstLine="200" w:firstLineChars="200"/>
      <w:jc w:val="both"/>
    </w:p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rPr>
      <w:tblPr/>
    </w:tblStylePr>
    <w:tblStylePr w:type="lastCol">
      <w:rPr>
        <w:b/>
        <w:bCs/>
      </w:rPr>
      <w:tblPr/>
    </w:tblStylePr>
    <w:tblStylePr w:type="nwCell">
      <w:tblPr/>
      <w:tcPr>
        <w:tcBorders>
          <w:top w:val="nil"/>
          <w:left w:val="nil"/>
          <w:bottom w:val="nil"/>
          <w:right w:val="nil"/>
          <w:insideH w:val="nil"/>
          <w:insideV w:val="nil"/>
          <w:tl2br w:val="single" w:color="000000" w:sz="6" w:space="0"/>
          <w:tr2bl w:val="nil"/>
        </w:tcBorders>
      </w:tcPr>
    </w:tblStylePr>
  </w:style>
  <w:style w:type="table" w:styleId="110">
    <w:name w:val="Table Grid 8"/>
    <w:basedOn w:val="88"/>
    <w:qFormat/>
    <w:uiPriority w:val="0"/>
    <w:pPr>
      <w:widowControl w:val="0"/>
      <w:spacing w:line="480" w:lineRule="exact"/>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shd w:val="solid" w:color="000080" w:fill="FFFFFF"/>
      </w:tcPr>
    </w:tblStylePr>
    <w:tblStylePr w:type="lastRow">
      <w:rPr>
        <w:b/>
        <w:bCs/>
        <w:color w:val="auto"/>
      </w:rPr>
      <w:tblPr/>
    </w:tblStylePr>
    <w:tblStylePr w:type="lastCol">
      <w:rPr>
        <w:b/>
        <w:bCs/>
        <w:color w:val="auto"/>
      </w:rPr>
      <w:tblPr/>
    </w:tblStylePr>
  </w:style>
  <w:style w:type="table" w:styleId="111">
    <w:name w:val="Table Web 1"/>
    <w:basedOn w:val="88"/>
    <w:qFormat/>
    <w:uiPriority w:val="0"/>
    <w:pPr>
      <w:widowControl w:val="0"/>
      <w:spacing w:line="480" w:lineRule="exact"/>
      <w:ind w:firstLine="200" w:firstLineChars="20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blStylePr>
  </w:style>
  <w:style w:type="table" w:styleId="112">
    <w:name w:val="Table Web 2"/>
    <w:basedOn w:val="88"/>
    <w:qFormat/>
    <w:uiPriority w:val="0"/>
    <w:pPr>
      <w:widowControl w:val="0"/>
      <w:spacing w:line="480" w:lineRule="exact"/>
      <w:ind w:firstLine="200" w:firstLineChars="20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blStylePr>
  </w:style>
  <w:style w:type="table" w:styleId="113">
    <w:name w:val="Table Web 3"/>
    <w:basedOn w:val="88"/>
    <w:qFormat/>
    <w:uiPriority w:val="0"/>
    <w:pPr>
      <w:widowControl w:val="0"/>
      <w:spacing w:line="480" w:lineRule="exact"/>
      <w:ind w:firstLine="200" w:firstLineChars="20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blStylePr>
  </w:style>
  <w:style w:type="table" w:styleId="114">
    <w:name w:val="Table Professional"/>
    <w:basedOn w:val="88"/>
    <w:qFormat/>
    <w:uiPriority w:val="0"/>
    <w:pPr>
      <w:widowControl w:val="0"/>
      <w:spacing w:line="360" w:lineRule="auto"/>
      <w:ind w:firstLine="640" w:firstLineChars="200"/>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shd w:val="solid" w:color="000000" w:fill="FFFFFF"/>
      </w:tcPr>
    </w:tblStylePr>
  </w:style>
  <w:style w:type="table" w:styleId="115">
    <w:name w:val="Light List Accent 3"/>
    <w:basedOn w:val="88"/>
    <w:qFormat/>
    <w:uiPriority w:val="0"/>
    <w:rPr>
      <w:rFonts w:ascii="Calibri" w:hAnsi="Calibri"/>
      <w:sz w:val="22"/>
    </w:rPr>
    <w:tblPr>
      <w:tblBorders>
        <w:top w:val="single" w:color="9BBB59" w:sz="8" w:space="0"/>
        <w:left w:val="single" w:color="9BBB59" w:sz="8" w:space="0"/>
        <w:bottom w:val="single" w:color="9BBB59" w:sz="8" w:space="0"/>
        <w:right w:val="single" w:color="9BBB59" w:sz="8" w:space="0"/>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insideH w:val="nil"/>
          <w:insideV w:val="nil"/>
          <w:tl2br w:val="nil"/>
          <w:tr2bl w:val="nil"/>
        </w:tcBorders>
      </w:tcPr>
    </w:tblStylePr>
    <w:tblStylePr w:type="firstCol">
      <w:rPr>
        <w:b/>
        <w:bCs/>
      </w:rPr>
    </w:tblStylePr>
    <w:tblStylePr w:type="lastCol">
      <w:rPr>
        <w:b/>
        <w:bCs/>
      </w:rPr>
    </w:tblStylePr>
    <w:tblStylePr w:type="band1Vert">
      <w:tblPr/>
      <w:tcPr>
        <w:tcBorders>
          <w:top w:val="single" w:color="9BBB59" w:sz="8" w:space="0"/>
          <w:left w:val="single" w:color="9BBB59" w:sz="8" w:space="0"/>
          <w:bottom w:val="single" w:color="9BBB59" w:sz="8" w:space="0"/>
          <w:right w:val="single" w:color="9BBB59" w:sz="8" w:space="0"/>
          <w:insideH w:val="nil"/>
          <w:insideV w:val="nil"/>
          <w:tl2br w:val="nil"/>
          <w:tr2bl w:val="nil"/>
        </w:tcBorders>
      </w:tcPr>
    </w:tblStylePr>
    <w:tblStylePr w:type="band1Horz">
      <w:tblPr/>
      <w:tcPr>
        <w:tcBorders>
          <w:top w:val="single" w:color="9BBB59" w:sz="8" w:space="0"/>
          <w:left w:val="single" w:color="9BBB59" w:sz="8" w:space="0"/>
          <w:bottom w:val="single" w:color="9BBB59" w:sz="8" w:space="0"/>
          <w:right w:val="single" w:color="9BBB59" w:sz="8" w:space="0"/>
          <w:insideH w:val="nil"/>
          <w:insideV w:val="nil"/>
          <w:tl2br w:val="nil"/>
          <w:tr2bl w:val="nil"/>
        </w:tcBorders>
      </w:tcPr>
    </w:tblStylePr>
  </w:style>
  <w:style w:type="table" w:styleId="116">
    <w:name w:val="Light List Accent 5"/>
    <w:basedOn w:val="88"/>
    <w:qFormat/>
    <w:uiPriority w:val="61"/>
    <w:tblPr>
      <w:tblBorders>
        <w:top w:val="single" w:color="4BACC6" w:sz="8" w:space="0"/>
        <w:left w:val="single" w:color="4BACC6" w:sz="8" w:space="0"/>
        <w:bottom w:val="single" w:color="4BACC6" w:sz="8" w:space="0"/>
        <w:right w:val="single" w:color="4BACC6" w:sz="8" w:space="0"/>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color="4BACC6" w:sz="6" w:space="0"/>
          <w:left w:val="single" w:color="4BACC6" w:sz="8" w:space="0"/>
          <w:bottom w:val="single" w:color="4BACC6" w:sz="8" w:space="0"/>
          <w:right w:val="single" w:color="4BACC6" w:sz="8" w:space="0"/>
          <w:insideH w:val="nil"/>
          <w:insideV w:val="nil"/>
          <w:tl2br w:val="nil"/>
          <w:tr2bl w:val="nil"/>
        </w:tcBorders>
      </w:tcPr>
    </w:tblStylePr>
    <w:tblStylePr w:type="firstCol">
      <w:rPr>
        <w:b/>
        <w:bCs/>
      </w:rPr>
    </w:tblStylePr>
    <w:tblStylePr w:type="lastCol">
      <w:rPr>
        <w:b/>
        <w:bCs/>
      </w:rPr>
    </w:tblStylePr>
    <w:tblStylePr w:type="band1Vert">
      <w:tblPr/>
      <w:tcPr>
        <w:tcBorders>
          <w:top w:val="single" w:color="4BACC6" w:sz="8" w:space="0"/>
          <w:left w:val="single" w:color="4BACC6" w:sz="8" w:space="0"/>
          <w:bottom w:val="single" w:color="4BACC6" w:sz="8" w:space="0"/>
          <w:right w:val="single" w:color="4BACC6" w:sz="8" w:space="0"/>
          <w:insideH w:val="nil"/>
          <w:insideV w:val="nil"/>
          <w:tl2br w:val="nil"/>
          <w:tr2bl w:val="nil"/>
        </w:tcBorders>
      </w:tcPr>
    </w:tblStylePr>
    <w:tblStylePr w:type="band1Horz">
      <w:tblPr/>
      <w:tcPr>
        <w:tcBorders>
          <w:top w:val="single" w:color="4BACC6" w:sz="8" w:space="0"/>
          <w:left w:val="single" w:color="4BACC6" w:sz="8" w:space="0"/>
          <w:bottom w:val="single" w:color="4BACC6" w:sz="8" w:space="0"/>
          <w:right w:val="single" w:color="4BACC6" w:sz="8" w:space="0"/>
          <w:insideH w:val="nil"/>
          <w:insideV w:val="nil"/>
          <w:tl2br w:val="nil"/>
          <w:tr2bl w:val="nil"/>
        </w:tcBorders>
      </w:tcPr>
    </w:tblStylePr>
  </w:style>
  <w:style w:type="table" w:styleId="117">
    <w:name w:val="Light Grid Accent 5"/>
    <w:basedOn w:val="88"/>
    <w:qFormat/>
    <w:uiPriority w:val="62"/>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blStylePr w:type="firstRow">
      <w:pPr>
        <w:spacing w:before="0" w:after="0" w:line="240" w:lineRule="auto"/>
      </w:pPr>
      <w:rPr>
        <w:rFonts w:ascii="Cambria" w:hAnsi="Cambria" w:eastAsia="宋体" w:cs="Times New Roman"/>
        <w:b/>
        <w:bCs/>
      </w:rPr>
      <w:tblPr/>
      <w:tcPr>
        <w:tcBorders>
          <w:top w:val="single" w:color="4BACC6" w:sz="8" w:space="0"/>
          <w:left w:val="single" w:color="4BACC6" w:sz="8" w:space="0"/>
          <w:bottom w:val="single" w:color="4BACC6" w:sz="18" w:space="0"/>
          <w:right w:val="single" w:color="4BACC6" w:sz="8" w:space="0"/>
          <w:insideH w:val="nil"/>
          <w:insideV w:val="nil"/>
          <w:tl2br w:val="nil"/>
          <w:tr2bl w:val="nil"/>
        </w:tcBorders>
      </w:tcPr>
    </w:tblStylePr>
    <w:tblStylePr w:type="lastRow">
      <w:pPr>
        <w:spacing w:before="0" w:after="0" w:line="240" w:lineRule="auto"/>
      </w:pPr>
      <w:rPr>
        <w:rFonts w:ascii="Cambria" w:hAnsi="Cambria" w:eastAsia="宋体" w:cs="Times New Roman"/>
        <w:b/>
        <w:bCs/>
      </w:rPr>
      <w:tblPr/>
      <w:tcPr>
        <w:tcBorders>
          <w:top w:val="double" w:color="4BACC6" w:sz="6" w:space="0"/>
          <w:left w:val="single" w:color="4BACC6" w:sz="8" w:space="0"/>
          <w:bottom w:val="single" w:color="4BACC6" w:sz="8" w:space="0"/>
          <w:right w:val="single" w:color="4BACC6" w:sz="8" w:space="0"/>
          <w:insideH w:val="nil"/>
          <w:insideV w:val="nil"/>
          <w:tl2br w:val="nil"/>
          <w:tr2bl w:val="nil"/>
        </w:tcBorders>
      </w:tcPr>
    </w:tblStylePr>
    <w:tblStylePr w:type="firstCol">
      <w:rPr>
        <w:rFonts w:ascii="Cambria" w:hAnsi="Cambria" w:eastAsia="宋体" w:cs="Times New Roman"/>
        <w:b/>
        <w:bCs/>
      </w:rPr>
    </w:tblStylePr>
    <w:tblStylePr w:type="lastCol">
      <w:rPr>
        <w:rFonts w:ascii="Cambria" w:hAnsi="Cambria" w:eastAsia="宋体" w:cs="Times New Roman"/>
        <w:b/>
        <w:bCs/>
      </w:rPr>
      <w:tblPr/>
      <w:tcPr>
        <w:tcBorders>
          <w:top w:val="single" w:color="4BACC6" w:sz="8" w:space="0"/>
          <w:left w:val="single" w:color="4BACC6" w:sz="8" w:space="0"/>
          <w:bottom w:val="single" w:color="4BACC6" w:sz="8" w:space="0"/>
          <w:right w:val="single" w:color="4BACC6" w:sz="8" w:space="0"/>
          <w:insideH w:val="nil"/>
          <w:insideV w:val="nil"/>
          <w:tl2br w:val="nil"/>
          <w:tr2bl w:val="nil"/>
        </w:tcBorders>
      </w:tcPr>
    </w:tblStylePr>
    <w:tblStylePr w:type="band1Vert">
      <w:tblPr/>
      <w:tcPr>
        <w:tcBorders>
          <w:top w:val="single" w:color="4BACC6" w:sz="8" w:space="0"/>
          <w:left w:val="single" w:color="4BACC6" w:sz="8" w:space="0"/>
          <w:bottom w:val="single" w:color="4BACC6" w:sz="8" w:space="0"/>
          <w:right w:val="single" w:color="4BACC6" w:sz="8" w:space="0"/>
          <w:insideH w:val="nil"/>
          <w:insideV w:val="nil"/>
          <w:tl2br w:val="nil"/>
          <w:tr2bl w:val="nil"/>
        </w:tcBorders>
        <w:shd w:val="clear" w:color="auto" w:fill="D2EAF1"/>
      </w:tcPr>
    </w:tblStylePr>
    <w:tblStylePr w:type="band1Horz">
      <w:tblPr/>
      <w:tcPr>
        <w:tcBorders>
          <w:top w:val="single" w:color="4BACC6" w:sz="8" w:space="0"/>
          <w:left w:val="single" w:color="4BACC6" w:sz="8" w:space="0"/>
          <w:bottom w:val="single" w:color="4BACC6" w:sz="8" w:space="0"/>
          <w:right w:val="single" w:color="4BACC6" w:sz="8" w:space="0"/>
          <w:insideH w:val="nil"/>
          <w:insideV w:val="nil"/>
          <w:tl2br w:val="nil"/>
          <w:tr2bl w:val="nil"/>
        </w:tcBorders>
        <w:shd w:val="clear" w:color="auto" w:fill="D2EAF1"/>
      </w:tcPr>
    </w:tblStylePr>
    <w:tblStylePr w:type="band2Horz">
      <w:tblPr/>
      <w:tcPr>
        <w:tcBorders>
          <w:top w:val="single" w:color="4BACC6" w:sz="8" w:space="0"/>
          <w:left w:val="single" w:color="4BACC6" w:sz="8" w:space="0"/>
          <w:bottom w:val="single" w:color="4BACC6" w:sz="8" w:space="0"/>
          <w:right w:val="single" w:color="4BACC6" w:sz="8" w:space="0"/>
          <w:insideH w:val="nil"/>
          <w:insideV w:val="nil"/>
          <w:tl2br w:val="nil"/>
          <w:tr2bl w:val="nil"/>
        </w:tcBorders>
      </w:tcPr>
    </w:tblStylePr>
  </w:style>
  <w:style w:type="table" w:styleId="118">
    <w:name w:val="Medium Shading 2 Accent 5"/>
    <w:basedOn w:val="88"/>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l2br w:val="nil"/>
          <w:tr2bl w:val="nil"/>
        </w:tcBorders>
        <w:shd w:val="clear" w:color="auto" w:fill="4BACC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l2br w:val="nil"/>
          <w:tr2bl w:val="nil"/>
        </w:tcBorders>
        <w:shd w:val="clear" w:color="auto" w:fill="4BACC6"/>
      </w:tcPr>
    </w:tblStylePr>
    <w:tblStylePr w:type="lastCol">
      <w:rPr>
        <w:b/>
        <w:bCs/>
        <w:color w:val="FFFFFF"/>
      </w:rPr>
      <w:tblPr/>
      <w:tcPr>
        <w:tcBorders>
          <w:top w:val="nil"/>
          <w:left w:val="nil"/>
          <w:bottom w:val="nil"/>
          <w:right w:val="nil"/>
          <w:insideH w:val="nil"/>
          <w:insideV w:val="nil"/>
          <w:tl2br w:val="nil"/>
          <w:tr2bl w:val="nil"/>
        </w:tcBorders>
        <w:shd w:val="clear" w:color="auto" w:fill="4BACC6"/>
      </w:tcPr>
    </w:tblStylePr>
    <w:tblStylePr w:type="band1Vert">
      <w:tblPr/>
      <w:tcPr>
        <w:tcBorders>
          <w:top w:val="nil"/>
          <w:left w:val="nil"/>
          <w:bottom w:val="nil"/>
          <w:right w:val="nil"/>
          <w:insideH w:val="nil"/>
          <w:insideV w:val="nil"/>
          <w:tl2br w:val="nil"/>
          <w:tr2bl w:val="nil"/>
        </w:tcBorders>
        <w:shd w:val="clear" w:color="auto" w:fill="D8D8D8"/>
      </w:tcPr>
    </w:tblStylePr>
    <w:tblStylePr w:type="band1Horz">
      <w:tblPr/>
      <w:tcPr>
        <w:shd w:val="clear" w:color="auto" w:fill="D8D8D8"/>
      </w:tcPr>
    </w:tblStylePr>
    <w:tblStylePr w:type="neCell">
      <w:tblPr/>
      <w:tcPr>
        <w:tcBorders>
          <w:top w:val="single" w:color="auto" w:sz="18" w:space="0"/>
          <w:left w:val="nil"/>
          <w:bottom w:val="single" w:color="auto" w:sz="18" w:space="0"/>
          <w:right w:val="nil"/>
          <w:insideH w:val="nil"/>
          <w:insideV w:val="nil"/>
          <w:tl2br w:val="nil"/>
          <w:tr2bl w:val="nil"/>
        </w:tcBorders>
      </w:tcPr>
    </w:tblStylePr>
    <w:tblStylePr w:type="nwCell">
      <w:rPr>
        <w:color w:val="FFFFFF"/>
      </w:rPr>
      <w:tblPr/>
      <w:tcPr>
        <w:tcBorders>
          <w:top w:val="single" w:color="auto" w:sz="18" w:space="0"/>
          <w:left w:val="nil"/>
          <w:bottom w:val="single" w:color="auto" w:sz="18" w:space="0"/>
          <w:right w:val="nil"/>
          <w:insideH w:val="nil"/>
          <w:insideV w:val="nil"/>
          <w:tl2br w:val="nil"/>
          <w:tr2bl w:val="nil"/>
        </w:tcBorders>
      </w:tcPr>
    </w:tblStylePr>
  </w:style>
  <w:style w:type="table" w:styleId="119">
    <w:name w:val="Medium Grid 2 Accent 1"/>
    <w:basedOn w:val="88"/>
    <w:qFormat/>
    <w:uiPriority w:val="68"/>
    <w:rPr>
      <w:rFonts w:ascii="Cambria" w:hAnsi="Cambria"/>
      <w:color w:val="000000"/>
    </w:rPr>
    <w:tblPr>
      <w:tblBorders>
        <w:top w:val="single" w:color="4F81BD" w:sz="8" w:space="0"/>
        <w:left w:val="single" w:color="4F81BD" w:sz="8" w:space="0"/>
        <w:bottom w:val="single" w:color="4F81BD" w:sz="8" w:space="0"/>
        <w:right w:val="single" w:color="4F81BD" w:sz="8" w:space="0"/>
        <w:insideH w:val="single" w:color="4F81BD" w:sz="8" w:space="0"/>
        <w:insideV w:val="single" w:color="4F81BD" w:sz="8" w:space="0"/>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color="000000" w:sz="12" w:space="0"/>
          <w:left w:val="nil"/>
          <w:bottom w:val="nil"/>
          <w:right w:val="nil"/>
          <w:insideH w:val="nil"/>
          <w:insideV w:val="nil"/>
          <w:tl2br w:val="nil"/>
          <w:tr2bl w:val="nil"/>
        </w:tcBorders>
        <w:shd w:val="clear" w:color="auto" w:fill="FFFFFF"/>
      </w:tcPr>
    </w:tblStylePr>
    <w:tblStylePr w:type="firstCol">
      <w:rPr>
        <w:b/>
        <w:bCs/>
        <w:color w:val="000000"/>
      </w:rPr>
      <w:tblPr/>
      <w:tcPr>
        <w:tcBorders>
          <w:top w:val="nil"/>
          <w:left w:val="nil"/>
          <w:bottom w:val="nil"/>
          <w:right w:val="nil"/>
          <w:insideH w:val="nil"/>
          <w:insideV w:val="nil"/>
          <w:tl2br w:val="nil"/>
          <w:tr2bl w:val="nil"/>
        </w:tcBorders>
        <w:shd w:val="clear" w:color="auto" w:fill="FFFFFF"/>
      </w:tcPr>
    </w:tblStylePr>
    <w:tblStylePr w:type="lastCol">
      <w:rPr>
        <w:b w:val="0"/>
        <w:bCs w:val="0"/>
        <w:color w:val="000000"/>
      </w:rPr>
      <w:tblPr/>
      <w:tcPr>
        <w:tcBorders>
          <w:top w:val="nil"/>
          <w:left w:val="nil"/>
          <w:bottom w:val="nil"/>
          <w:right w:val="nil"/>
          <w:insideH w:val="nil"/>
          <w:insideV w:val="nil"/>
          <w:tl2br w:val="nil"/>
          <w:tr2bl w:val="nil"/>
        </w:tcBorders>
        <w:shd w:val="clear" w:color="auto" w:fill="DBE5F1"/>
      </w:tcPr>
    </w:tblStylePr>
    <w:tblStylePr w:type="band1Vert">
      <w:tblPr/>
      <w:tcPr>
        <w:shd w:val="clear" w:color="auto" w:fill="A7BFDE"/>
      </w:tcPr>
    </w:tblStylePr>
    <w:tblStylePr w:type="band1Horz">
      <w:tblPr/>
      <w:tcPr>
        <w:shd w:val="clear" w:color="auto" w:fill="A7BFDE"/>
      </w:tcPr>
    </w:tblStylePr>
    <w:tblStylePr w:type="nwCell">
      <w:tblPr/>
      <w:tcPr>
        <w:shd w:val="clear" w:color="auto" w:fill="FFFFFF"/>
      </w:tcPr>
    </w:tblStylePr>
  </w:style>
  <w:style w:type="table" w:styleId="120">
    <w:name w:val="Medium Grid 3 Accent 1"/>
    <w:basedOn w:val="88"/>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3DFEE"/>
    </w:tcPr>
    <w:tblStylePr w:type="firstRow">
      <w:rPr>
        <w:b/>
        <w:bCs/>
        <w:i w:val="0"/>
        <w:iCs w:val="0"/>
        <w:color w:val="FFFFFF"/>
      </w:rPr>
      <w:tblPr/>
      <w:tcPr>
        <w:tcBorders>
          <w:top w:val="single" w:color="FFFFFF" w:sz="8" w:space="0"/>
          <w:left w:val="single" w:color="FFFFFF" w:sz="8" w:space="0"/>
          <w:bottom w:val="single" w:color="FFFFFF" w:sz="24" w:space="0"/>
          <w:right w:val="single" w:color="FFFFFF" w:sz="8" w:space="0"/>
          <w:insideH w:val="nil"/>
          <w:insideV w:val="nil"/>
          <w:tl2br w:val="nil"/>
          <w:tr2bl w:val="nil"/>
        </w:tcBorders>
        <w:shd w:val="clear" w:color="auto" w:fill="4F81BD"/>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nil"/>
          <w:tl2br w:val="nil"/>
          <w:tr2bl w:val="nil"/>
        </w:tcBorders>
        <w:shd w:val="clear" w:color="auto" w:fill="4F81BD"/>
      </w:tcPr>
    </w:tblStylePr>
    <w:tblStylePr w:type="firstCol">
      <w:rPr>
        <w:b/>
        <w:bCs/>
        <w:i w:val="0"/>
        <w:iCs w:val="0"/>
        <w:color w:val="FFFFFF"/>
      </w:rPr>
      <w:tblPr/>
      <w:tcPr>
        <w:tcBorders>
          <w:top w:val="nil"/>
          <w:left w:val="single" w:color="FFFFFF" w:sz="8" w:space="0"/>
          <w:bottom w:val="nil"/>
          <w:right w:val="single" w:color="FFFFFF" w:sz="24" w:space="0"/>
          <w:insideH w:val="nil"/>
          <w:insideV w:val="nil"/>
          <w:tl2br w:val="nil"/>
          <w:tr2bl w:val="nil"/>
        </w:tcBorders>
        <w:shd w:val="clear" w:color="auto" w:fill="4F81BD"/>
      </w:tcPr>
    </w:tblStylePr>
    <w:tblStylePr w:type="lastCol">
      <w:rPr>
        <w:b/>
        <w:bCs/>
        <w:i w:val="0"/>
        <w:iCs w:val="0"/>
        <w:color w:val="FFFFFF"/>
      </w:rPr>
      <w:tblPr/>
      <w:tcPr>
        <w:tcBorders>
          <w:top w:val="nil"/>
          <w:left w:val="single" w:color="FFFFFF" w:sz="24" w:space="0"/>
          <w:bottom w:val="nil"/>
          <w:right w:val="nil"/>
          <w:insideH w:val="nil"/>
          <w:insideV w:val="nil"/>
          <w:tl2br w:val="nil"/>
          <w:tr2bl w:val="nil"/>
        </w:tcBorders>
        <w:shd w:val="clear" w:color="auto" w:fill="4F81BD"/>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l2br w:val="nil"/>
          <w:tr2bl w:val="nil"/>
        </w:tcBorders>
        <w:shd w:val="clear" w:color="auto" w:fill="A7BFDE"/>
      </w:tcPr>
    </w:tblStylePr>
    <w:tblStylePr w:type="band1Horz">
      <w:tblPr/>
      <w:tcPr>
        <w:tcBorders>
          <w:top w:val="single" w:color="FFFFFF" w:sz="8" w:space="0"/>
          <w:left w:val="single" w:color="FFFFFF" w:sz="8" w:space="0"/>
          <w:bottom w:val="single" w:color="FFFFFF" w:sz="8" w:space="0"/>
          <w:right w:val="single" w:color="FFFFFF" w:sz="8" w:space="0"/>
          <w:insideH w:val="nil"/>
          <w:insideV w:val="nil"/>
          <w:tl2br w:val="nil"/>
          <w:tr2bl w:val="nil"/>
        </w:tcBorders>
        <w:shd w:val="clear" w:color="auto" w:fill="A7BFDE"/>
      </w:tcPr>
    </w:tblStylePr>
  </w:style>
  <w:style w:type="table" w:styleId="121">
    <w:name w:val="Colorful Grid Accent 1"/>
    <w:basedOn w:val="88"/>
    <w:qFormat/>
    <w:uiPriority w:val="0"/>
    <w:rPr>
      <w:color w:val="000000"/>
    </w:rPr>
    <w:tblPr>
      <w:tblBorders>
        <w:insideH w:val="single" w:color="FFFFFF" w:sz="4" w:space="0"/>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styleId="123">
    <w:name w:val="Strong"/>
    <w:qFormat/>
    <w:uiPriority w:val="0"/>
    <w:rPr>
      <w:b/>
      <w:bCs/>
    </w:rPr>
  </w:style>
  <w:style w:type="character" w:styleId="124">
    <w:name w:val="endnote reference"/>
    <w:qFormat/>
    <w:uiPriority w:val="0"/>
    <w:rPr>
      <w:vertAlign w:val="superscript"/>
    </w:rPr>
  </w:style>
  <w:style w:type="character" w:styleId="125">
    <w:name w:val="page number"/>
    <w:basedOn w:val="122"/>
    <w:qFormat/>
    <w:uiPriority w:val="0"/>
  </w:style>
  <w:style w:type="character" w:styleId="126">
    <w:name w:val="FollowedHyperlink"/>
    <w:basedOn w:val="122"/>
    <w:unhideWhenUsed/>
    <w:qFormat/>
    <w:uiPriority w:val="99"/>
    <w:rPr>
      <w:color w:val="800080" w:themeColor="followedHyperlink"/>
      <w:u w:val="single"/>
      <w14:textFill>
        <w14:solidFill>
          <w14:schemeClr w14:val="folHlink"/>
        </w14:solidFill>
      </w14:textFill>
    </w:rPr>
  </w:style>
  <w:style w:type="character" w:styleId="127">
    <w:name w:val="Emphasis"/>
    <w:qFormat/>
    <w:uiPriority w:val="0"/>
    <w:rPr>
      <w:color w:val="CC0000"/>
    </w:rPr>
  </w:style>
  <w:style w:type="character" w:styleId="128">
    <w:name w:val="line number"/>
    <w:qFormat/>
    <w:uiPriority w:val="0"/>
  </w:style>
  <w:style w:type="character" w:styleId="129">
    <w:name w:val="HTML Definition"/>
    <w:qFormat/>
    <w:uiPriority w:val="0"/>
    <w:rPr>
      <w:i/>
      <w:iCs/>
    </w:rPr>
  </w:style>
  <w:style w:type="character" w:styleId="130">
    <w:name w:val="HTML Typewriter"/>
    <w:qFormat/>
    <w:uiPriority w:val="0"/>
    <w:rPr>
      <w:rFonts w:ascii="宋体" w:hAnsi="宋体" w:eastAsia="宋体" w:cs="宋体"/>
      <w:sz w:val="24"/>
      <w:szCs w:val="24"/>
    </w:rPr>
  </w:style>
  <w:style w:type="character" w:styleId="131">
    <w:name w:val="HTML Acronym"/>
    <w:qFormat/>
    <w:uiPriority w:val="0"/>
  </w:style>
  <w:style w:type="character" w:styleId="132">
    <w:name w:val="HTML Variable"/>
    <w:qFormat/>
    <w:uiPriority w:val="0"/>
    <w:rPr>
      <w:i/>
      <w:iCs/>
    </w:rPr>
  </w:style>
  <w:style w:type="character" w:styleId="133">
    <w:name w:val="Hyperlink"/>
    <w:qFormat/>
    <w:uiPriority w:val="99"/>
    <w:rPr>
      <w:color w:val="0000FF"/>
      <w:u w:val="single"/>
    </w:rPr>
  </w:style>
  <w:style w:type="character" w:styleId="134">
    <w:name w:val="HTML Code"/>
    <w:qFormat/>
    <w:uiPriority w:val="0"/>
    <w:rPr>
      <w:rFonts w:ascii="Courier New" w:hAnsi="Courier New" w:cs="Courier New"/>
      <w:sz w:val="20"/>
      <w:szCs w:val="20"/>
    </w:rPr>
  </w:style>
  <w:style w:type="character" w:styleId="135">
    <w:name w:val="annotation reference"/>
    <w:qFormat/>
    <w:uiPriority w:val="99"/>
    <w:rPr>
      <w:sz w:val="21"/>
      <w:szCs w:val="21"/>
    </w:rPr>
  </w:style>
  <w:style w:type="character" w:styleId="136">
    <w:name w:val="HTML Cite"/>
    <w:qFormat/>
    <w:uiPriority w:val="0"/>
    <w:rPr>
      <w:rFonts w:cs="Times New Roman"/>
      <w:i/>
      <w:iCs/>
    </w:rPr>
  </w:style>
  <w:style w:type="character" w:styleId="137">
    <w:name w:val="footnote reference"/>
    <w:qFormat/>
    <w:uiPriority w:val="0"/>
    <w:rPr>
      <w:vertAlign w:val="superscript"/>
    </w:rPr>
  </w:style>
  <w:style w:type="character" w:styleId="138">
    <w:name w:val="HTML Keyboard"/>
    <w:qFormat/>
    <w:uiPriority w:val="0"/>
    <w:rPr>
      <w:rFonts w:ascii="Courier New" w:hAnsi="Courier New" w:cs="Courier New"/>
      <w:sz w:val="20"/>
      <w:szCs w:val="20"/>
    </w:rPr>
  </w:style>
  <w:style w:type="character" w:styleId="139">
    <w:name w:val="HTML Sample"/>
    <w:qFormat/>
    <w:uiPriority w:val="0"/>
    <w:rPr>
      <w:rFonts w:ascii="Courier New" w:hAnsi="Courier New" w:cs="Courier New"/>
    </w:rPr>
  </w:style>
  <w:style w:type="character" w:customStyle="1" w:styleId="140">
    <w:name w:val="标题 2 字符2"/>
    <w:link w:val="4"/>
    <w:qFormat/>
    <w:uiPriority w:val="99"/>
    <w:rPr>
      <w:rFonts w:eastAsia="仿宋"/>
      <w:b/>
      <w:bCs/>
      <w:kern w:val="2"/>
      <w:sz w:val="36"/>
      <w:szCs w:val="28"/>
    </w:rPr>
  </w:style>
  <w:style w:type="character" w:customStyle="1" w:styleId="141">
    <w:name w:val="标题 3 字符"/>
    <w:link w:val="5"/>
    <w:qFormat/>
    <w:uiPriority w:val="99"/>
    <w:rPr>
      <w:rFonts w:eastAsia="仿宋"/>
      <w:b/>
      <w:bCs/>
      <w:kern w:val="2"/>
      <w:sz w:val="30"/>
      <w:szCs w:val="30"/>
      <w:lang w:val="zh-CN"/>
    </w:rPr>
  </w:style>
  <w:style w:type="paragraph" w:customStyle="1" w:styleId="142">
    <w:name w:val="样式 首行缩进:  2 字符"/>
    <w:basedOn w:val="1"/>
    <w:link w:val="144"/>
    <w:qFormat/>
    <w:uiPriority w:val="0"/>
    <w:pPr>
      <w:spacing w:before="120" w:beforeLines="50" w:after="120" w:afterLines="50"/>
      <w:ind w:firstLine="560" w:firstLineChars="200"/>
    </w:pPr>
    <w:rPr>
      <w:color w:val="FF0000"/>
      <w:szCs w:val="20"/>
      <w:lang w:val="zh-CN"/>
    </w:rPr>
  </w:style>
  <w:style w:type="paragraph" w:customStyle="1" w:styleId="143">
    <w:name w:val="表格文字图表文字  ctrl+q"/>
    <w:basedOn w:val="1"/>
    <w:autoRedefine/>
    <w:qFormat/>
    <w:uiPriority w:val="0"/>
    <w:pPr>
      <w:snapToGrid w:val="0"/>
      <w:spacing w:before="20" w:after="20" w:line="240" w:lineRule="auto"/>
      <w:jc w:val="center"/>
    </w:pPr>
    <w:rPr>
      <w:rFonts w:cs="宋体"/>
      <w:sz w:val="24"/>
      <w:szCs w:val="20"/>
    </w:rPr>
  </w:style>
  <w:style w:type="character" w:customStyle="1" w:styleId="144">
    <w:name w:val="样式 首行缩进:  2 字符 Char1"/>
    <w:link w:val="142"/>
    <w:qFormat/>
    <w:uiPriority w:val="0"/>
    <w:rPr>
      <w:rFonts w:eastAsia="仿宋"/>
      <w:color w:val="FF0000"/>
      <w:kern w:val="2"/>
      <w:sz w:val="28"/>
      <w:lang w:val="zh-CN" w:eastAsia="zh-CN"/>
    </w:rPr>
  </w:style>
  <w:style w:type="character" w:customStyle="1" w:styleId="145">
    <w:name w:val="标题 5 字符"/>
    <w:link w:val="7"/>
    <w:qFormat/>
    <w:uiPriority w:val="99"/>
    <w:rPr>
      <w:rFonts w:ascii="仿宋" w:hAnsi="仿宋" w:eastAsia="仿宋"/>
      <w:bCs/>
      <w:kern w:val="2"/>
      <w:sz w:val="28"/>
      <w:szCs w:val="28"/>
      <w:lang w:val="zh-CN"/>
    </w:rPr>
  </w:style>
  <w:style w:type="character" w:customStyle="1" w:styleId="146">
    <w:name w:val="标题 6 字符"/>
    <w:link w:val="8"/>
    <w:qFormat/>
    <w:uiPriority w:val="9"/>
    <w:rPr>
      <w:rFonts w:eastAsia="仿宋"/>
      <w:bCs/>
      <w:kern w:val="2"/>
      <w:sz w:val="28"/>
      <w:szCs w:val="24"/>
      <w:lang w:val="zh-CN"/>
    </w:rPr>
  </w:style>
  <w:style w:type="character" w:customStyle="1" w:styleId="147">
    <w:name w:val="标题 7 字符"/>
    <w:link w:val="9"/>
    <w:qFormat/>
    <w:uiPriority w:val="9"/>
    <w:rPr>
      <w:rFonts w:eastAsia="仿宋"/>
      <w:bCs/>
      <w:kern w:val="2"/>
      <w:sz w:val="28"/>
      <w:szCs w:val="24"/>
      <w:lang w:val="zh-CN"/>
    </w:rPr>
  </w:style>
  <w:style w:type="paragraph" w:customStyle="1" w:styleId="148">
    <w:name w:val="表格文字"/>
    <w:basedOn w:val="143"/>
    <w:link w:val="541"/>
    <w:autoRedefine/>
    <w:qFormat/>
    <w:uiPriority w:val="0"/>
  </w:style>
  <w:style w:type="character" w:customStyle="1" w:styleId="149">
    <w:name w:val="标题 字符"/>
    <w:link w:val="84"/>
    <w:qFormat/>
    <w:uiPriority w:val="0"/>
    <w:rPr>
      <w:rFonts w:ascii="Cambria" w:hAnsi="Cambria" w:eastAsia="仿宋"/>
      <w:b/>
      <w:bCs/>
      <w:kern w:val="2"/>
      <w:sz w:val="36"/>
      <w:szCs w:val="32"/>
      <w:lang w:val="zh-CN"/>
    </w:rPr>
  </w:style>
  <w:style w:type="paragraph" w:customStyle="1" w:styleId="150">
    <w:name w:val="样式 表格文字图表文字  ctrl+b"/>
    <w:basedOn w:val="143"/>
    <w:autoRedefine/>
    <w:qFormat/>
    <w:uiPriority w:val="0"/>
    <w:pPr>
      <w:jc w:val="left"/>
    </w:pPr>
  </w:style>
  <w:style w:type="paragraph" w:styleId="151">
    <w:name w:val="List Paragraph"/>
    <w:basedOn w:val="1"/>
    <w:link w:val="201"/>
    <w:qFormat/>
    <w:uiPriority w:val="34"/>
    <w:pPr>
      <w:spacing w:line="240" w:lineRule="auto"/>
      <w:ind w:firstLine="420" w:firstLineChars="200"/>
    </w:pPr>
    <w:rPr>
      <w:sz w:val="21"/>
      <w:szCs w:val="20"/>
    </w:rPr>
  </w:style>
  <w:style w:type="character" w:customStyle="1" w:styleId="152">
    <w:name w:val="已访问的超链接1"/>
    <w:qFormat/>
    <w:uiPriority w:val="99"/>
    <w:rPr>
      <w:color w:val="800080"/>
      <w:u w:val="single"/>
    </w:rPr>
  </w:style>
  <w:style w:type="character" w:customStyle="1" w:styleId="153">
    <w:name w:val="正文文本 字符"/>
    <w:link w:val="34"/>
    <w:qFormat/>
    <w:uiPriority w:val="99"/>
    <w:rPr>
      <w:kern w:val="2"/>
      <w:sz w:val="24"/>
      <w:szCs w:val="24"/>
      <w:lang w:val="zh-CN" w:eastAsia="zh-CN"/>
    </w:rPr>
  </w:style>
  <w:style w:type="character" w:customStyle="1" w:styleId="154">
    <w:name w:val="正文文本首行缩进 字符"/>
    <w:link w:val="86"/>
    <w:qFormat/>
    <w:uiPriority w:val="99"/>
    <w:rPr>
      <w:kern w:val="2"/>
      <w:sz w:val="28"/>
      <w:szCs w:val="24"/>
      <w:lang w:val="zh-CN" w:eastAsia="zh-CN"/>
    </w:rPr>
  </w:style>
  <w:style w:type="paragraph" w:customStyle="1" w:styleId="155">
    <w:name w:val="TOC 标题1"/>
    <w:basedOn w:val="3"/>
    <w:next w:val="1"/>
    <w:unhideWhenUsed/>
    <w:qFormat/>
    <w:uiPriority w:val="39"/>
    <w:pPr>
      <w:keepNext/>
      <w:keepLines/>
      <w:widowControl/>
      <w:numPr>
        <w:numId w:val="0"/>
      </w:numPr>
      <w:spacing w:before="480" w:after="0" w:line="276" w:lineRule="auto"/>
      <w:outlineLvl w:val="9"/>
    </w:pPr>
    <w:rPr>
      <w:rFonts w:ascii="Cambria" w:hAnsi="Cambria" w:eastAsia="宋体"/>
      <w:b w:val="0"/>
      <w:color w:val="365F91"/>
      <w:kern w:val="0"/>
      <w:sz w:val="28"/>
      <w:szCs w:val="28"/>
    </w:rPr>
  </w:style>
  <w:style w:type="paragraph" w:customStyle="1" w:styleId="156">
    <w:name w:val="修订1"/>
    <w:hidden/>
    <w:semiHidden/>
    <w:qFormat/>
    <w:uiPriority w:val="99"/>
    <w:rPr>
      <w:rFonts w:ascii="Times New Roman" w:hAnsi="Times New Roman" w:eastAsia="宋体" w:cs="Times New Roman"/>
      <w:kern w:val="2"/>
      <w:sz w:val="24"/>
      <w:szCs w:val="24"/>
      <w:lang w:val="en-US" w:eastAsia="zh-CN" w:bidi="ar-SA"/>
    </w:rPr>
  </w:style>
  <w:style w:type="character" w:customStyle="1" w:styleId="157">
    <w:name w:val="正文文本缩进 字符"/>
    <w:link w:val="35"/>
    <w:qFormat/>
    <w:uiPriority w:val="0"/>
    <w:rPr>
      <w:kern w:val="2"/>
      <w:sz w:val="24"/>
      <w:szCs w:val="24"/>
      <w:lang w:val="zh-CN" w:eastAsia="zh-CN"/>
    </w:rPr>
  </w:style>
  <w:style w:type="character" w:customStyle="1" w:styleId="158">
    <w:name w:val="正文文本缩进 3 字符"/>
    <w:link w:val="70"/>
    <w:qFormat/>
    <w:uiPriority w:val="99"/>
    <w:rPr>
      <w:kern w:val="2"/>
      <w:sz w:val="16"/>
      <w:lang w:val="zh-CN" w:eastAsia="zh-CN"/>
    </w:rPr>
  </w:style>
  <w:style w:type="character" w:customStyle="1" w:styleId="159">
    <w:name w:val="日期 字符"/>
    <w:link w:val="50"/>
    <w:qFormat/>
    <w:uiPriority w:val="99"/>
    <w:rPr>
      <w:rFonts w:ascii="宋体"/>
      <w:sz w:val="28"/>
      <w:lang w:val="zh-CN" w:eastAsia="zh-CN"/>
    </w:rPr>
  </w:style>
  <w:style w:type="character" w:customStyle="1" w:styleId="160">
    <w:name w:val="正文文本 2 字符"/>
    <w:link w:val="76"/>
    <w:qFormat/>
    <w:uiPriority w:val="99"/>
    <w:rPr>
      <w:kern w:val="2"/>
      <w:sz w:val="21"/>
      <w:lang w:val="zh-CN" w:eastAsia="zh-CN"/>
    </w:rPr>
  </w:style>
  <w:style w:type="character" w:customStyle="1" w:styleId="161">
    <w:name w:val="称呼 字符"/>
    <w:link w:val="30"/>
    <w:qFormat/>
    <w:uiPriority w:val="99"/>
    <w:rPr>
      <w:rFonts w:ascii="宋体" w:hAnsi="Arial"/>
      <w:sz w:val="24"/>
      <w:lang w:val="zh-CN" w:eastAsia="zh-CN"/>
    </w:rPr>
  </w:style>
  <w:style w:type="character" w:customStyle="1" w:styleId="162">
    <w:name w:val="纯文本 字符"/>
    <w:link w:val="45"/>
    <w:qFormat/>
    <w:uiPriority w:val="99"/>
    <w:rPr>
      <w:rFonts w:ascii="宋体" w:hAnsi="Courier New"/>
      <w:kern w:val="2"/>
      <w:sz w:val="21"/>
      <w:lang w:val="zh-CN" w:eastAsia="zh-CN"/>
    </w:rPr>
  </w:style>
  <w:style w:type="character" w:customStyle="1" w:styleId="163">
    <w:name w:val="正文文本缩进 2 字符"/>
    <w:link w:val="51"/>
    <w:qFormat/>
    <w:uiPriority w:val="0"/>
    <w:rPr>
      <w:kern w:val="2"/>
      <w:sz w:val="21"/>
      <w:lang w:val="zh-CN" w:eastAsia="zh-CN"/>
    </w:rPr>
  </w:style>
  <w:style w:type="character" w:customStyle="1" w:styleId="164">
    <w:name w:val="信息标题 字符"/>
    <w:link w:val="79"/>
    <w:qFormat/>
    <w:uiPriority w:val="0"/>
    <w:rPr>
      <w:rFonts w:ascii="Arial" w:hAnsi="Arial"/>
      <w:kern w:val="2"/>
      <w:sz w:val="24"/>
      <w:szCs w:val="24"/>
      <w:shd w:val="pct20" w:color="auto" w:fill="auto"/>
      <w:lang w:val="zh-CN" w:eastAsia="zh-CN"/>
    </w:rPr>
  </w:style>
  <w:style w:type="character" w:customStyle="1" w:styleId="165">
    <w:name w:val="明显强调1"/>
    <w:qFormat/>
    <w:uiPriority w:val="21"/>
    <w:rPr>
      <w:b/>
      <w:bCs/>
      <w:caps/>
      <w:color w:val="27405E"/>
      <w:spacing w:val="10"/>
    </w:rPr>
  </w:style>
  <w:style w:type="character" w:customStyle="1" w:styleId="166">
    <w:name w:val="签名 字符"/>
    <w:link w:val="58"/>
    <w:qFormat/>
    <w:uiPriority w:val="99"/>
    <w:rPr>
      <w:sz w:val="24"/>
      <w:szCs w:val="24"/>
      <w:lang w:val="zh-CN" w:eastAsia="zh-CN"/>
    </w:rPr>
  </w:style>
  <w:style w:type="character" w:customStyle="1" w:styleId="167">
    <w:name w:val="正文文本 3 字符"/>
    <w:link w:val="31"/>
    <w:qFormat/>
    <w:uiPriority w:val="99"/>
    <w:rPr>
      <w:rFonts w:ascii="Plotter" w:hAnsi="Plotter"/>
      <w:bCs/>
      <w:color w:val="0000FF"/>
      <w:kern w:val="6"/>
      <w:sz w:val="18"/>
      <w:szCs w:val="21"/>
      <w:lang w:val="zh-CN" w:eastAsia="zh-CN"/>
    </w:rPr>
  </w:style>
  <w:style w:type="character" w:customStyle="1" w:styleId="168">
    <w:name w:val="注释标题 字符"/>
    <w:basedOn w:val="122"/>
    <w:link w:val="16"/>
    <w:qFormat/>
    <w:uiPriority w:val="0"/>
  </w:style>
  <w:style w:type="character" w:customStyle="1" w:styleId="169">
    <w:name w:val="电子邮件签名 字符"/>
    <w:basedOn w:val="122"/>
    <w:link w:val="19"/>
    <w:qFormat/>
    <w:uiPriority w:val="0"/>
  </w:style>
  <w:style w:type="character" w:customStyle="1" w:styleId="170">
    <w:name w:val="结束语 字符"/>
    <w:basedOn w:val="122"/>
    <w:link w:val="32"/>
    <w:qFormat/>
    <w:uiPriority w:val="0"/>
  </w:style>
  <w:style w:type="character" w:customStyle="1" w:styleId="171">
    <w:name w:val="HTML 地址 字符"/>
    <w:link w:val="41"/>
    <w:qFormat/>
    <w:uiPriority w:val="0"/>
    <w:rPr>
      <w:i/>
      <w:iCs/>
      <w:lang w:val="zh-CN" w:eastAsia="zh-CN"/>
    </w:rPr>
  </w:style>
  <w:style w:type="character" w:customStyle="1" w:styleId="172">
    <w:name w:val="正文文本首行缩进 2 字符"/>
    <w:link w:val="87"/>
    <w:qFormat/>
    <w:uiPriority w:val="99"/>
    <w:rPr>
      <w:kern w:val="2"/>
      <w:sz w:val="28"/>
      <w:szCs w:val="24"/>
      <w:lang w:val="zh-CN" w:eastAsia="zh-CN"/>
    </w:rPr>
  </w:style>
  <w:style w:type="character" w:customStyle="1" w:styleId="173">
    <w:name w:val="副标题 字符"/>
    <w:link w:val="64"/>
    <w:qFormat/>
    <w:uiPriority w:val="0"/>
    <w:rPr>
      <w:rFonts w:ascii="Arial" w:hAnsi="Arial"/>
      <w:b/>
      <w:bCs/>
      <w:kern w:val="28"/>
      <w:sz w:val="32"/>
      <w:szCs w:val="32"/>
      <w:lang w:val="zh-CN" w:eastAsia="zh-CN"/>
    </w:rPr>
  </w:style>
  <w:style w:type="character" w:customStyle="1" w:styleId="174">
    <w:name w:val="HTML 预设格式 字符"/>
    <w:link w:val="80"/>
    <w:qFormat/>
    <w:uiPriority w:val="99"/>
    <w:rPr>
      <w:rFonts w:ascii="Courier New" w:hAnsi="Courier New"/>
      <w:lang w:val="zh-CN" w:eastAsia="zh-CN"/>
    </w:rPr>
  </w:style>
  <w:style w:type="paragraph" w:styleId="175">
    <w:name w:val="No Spacing"/>
    <w:autoRedefine/>
    <w:qFormat/>
    <w:uiPriority w:val="1"/>
    <w:pPr>
      <w:widowControl w:val="0"/>
      <w:jc w:val="center"/>
    </w:pPr>
    <w:rPr>
      <w:rFonts w:ascii="Times New Roman" w:hAnsi="Times New Roman" w:eastAsia="宋体" w:cs="Times New Roman"/>
      <w:kern w:val="2"/>
      <w:sz w:val="24"/>
      <w:szCs w:val="24"/>
      <w:lang w:val="en-US" w:eastAsia="zh-CN" w:bidi="ar-SA"/>
    </w:rPr>
  </w:style>
  <w:style w:type="character" w:customStyle="1" w:styleId="176">
    <w:name w:val="不明显强调1"/>
    <w:qFormat/>
    <w:uiPriority w:val="19"/>
    <w:rPr>
      <w:i/>
      <w:iCs/>
      <w:color w:val="808080"/>
    </w:rPr>
  </w:style>
  <w:style w:type="paragraph" w:styleId="177">
    <w:name w:val="Quote"/>
    <w:basedOn w:val="1"/>
    <w:next w:val="1"/>
    <w:link w:val="178"/>
    <w:qFormat/>
    <w:uiPriority w:val="0"/>
    <w:pPr>
      <w:spacing w:line="360" w:lineRule="auto"/>
      <w:ind w:firstLine="200" w:firstLineChars="200"/>
    </w:pPr>
    <w:rPr>
      <w:rFonts w:ascii="ˎ̥" w:hAnsi="ˎ̥"/>
      <w:i/>
      <w:iCs/>
      <w:color w:val="000000"/>
      <w:szCs w:val="21"/>
      <w:lang w:val="zh-CN"/>
    </w:rPr>
  </w:style>
  <w:style w:type="character" w:customStyle="1" w:styleId="178">
    <w:name w:val="引用 字符"/>
    <w:link w:val="177"/>
    <w:qFormat/>
    <w:uiPriority w:val="0"/>
    <w:rPr>
      <w:rFonts w:ascii="ˎ̥" w:hAnsi="ˎ̥" w:cs="宋体"/>
      <w:i/>
      <w:iCs/>
      <w:color w:val="000000"/>
      <w:kern w:val="2"/>
      <w:sz w:val="24"/>
      <w:szCs w:val="21"/>
    </w:rPr>
  </w:style>
  <w:style w:type="paragraph" w:styleId="179">
    <w:name w:val="Intense Quote"/>
    <w:basedOn w:val="1"/>
    <w:next w:val="1"/>
    <w:link w:val="180"/>
    <w:qFormat/>
    <w:uiPriority w:val="30"/>
    <w:pPr>
      <w:pBdr>
        <w:bottom w:val="single" w:color="4F81BD" w:sz="4" w:space="4"/>
      </w:pBdr>
      <w:spacing w:before="200" w:after="280"/>
      <w:ind w:left="936" w:right="936" w:firstLine="200" w:firstLineChars="200"/>
    </w:pPr>
    <w:rPr>
      <w:b/>
      <w:bCs/>
      <w:i/>
      <w:iCs/>
      <w:color w:val="4F81BD"/>
      <w:szCs w:val="20"/>
      <w:lang w:val="zh-CN"/>
    </w:rPr>
  </w:style>
  <w:style w:type="character" w:customStyle="1" w:styleId="180">
    <w:name w:val="明显引用 字符"/>
    <w:link w:val="179"/>
    <w:qFormat/>
    <w:uiPriority w:val="30"/>
    <w:rPr>
      <w:rFonts w:eastAsia="仿宋" w:cs="宋体"/>
      <w:b/>
      <w:bCs/>
      <w:i/>
      <w:iCs/>
      <w:color w:val="4F81BD"/>
      <w:kern w:val="2"/>
      <w:sz w:val="28"/>
    </w:rPr>
  </w:style>
  <w:style w:type="paragraph" w:customStyle="1" w:styleId="181">
    <w:name w:val="z-窗体底端1"/>
    <w:basedOn w:val="1"/>
    <w:next w:val="1"/>
    <w:link w:val="182"/>
    <w:qFormat/>
    <w:uiPriority w:val="0"/>
    <w:pPr>
      <w:pBdr>
        <w:top w:val="single" w:color="auto" w:sz="6" w:space="1"/>
      </w:pBdr>
      <w:spacing w:line="240" w:lineRule="auto"/>
      <w:jc w:val="center"/>
    </w:pPr>
    <w:rPr>
      <w:rFonts w:ascii="Arial" w:hAnsi="Arial"/>
      <w:vanish/>
      <w:spacing w:val="-20"/>
      <w:sz w:val="16"/>
      <w:szCs w:val="16"/>
      <w:lang w:val="zh-CN"/>
    </w:rPr>
  </w:style>
  <w:style w:type="character" w:customStyle="1" w:styleId="182">
    <w:name w:val="z-窗体底端 字符"/>
    <w:link w:val="181"/>
    <w:qFormat/>
    <w:uiPriority w:val="0"/>
    <w:rPr>
      <w:rFonts w:ascii="Arial" w:hAnsi="Arial" w:cs="Arial"/>
      <w:vanish/>
      <w:spacing w:val="-20"/>
      <w:kern w:val="2"/>
      <w:sz w:val="16"/>
      <w:szCs w:val="16"/>
    </w:rPr>
  </w:style>
  <w:style w:type="paragraph" w:customStyle="1" w:styleId="183">
    <w:name w:val="z-窗体顶端1"/>
    <w:basedOn w:val="1"/>
    <w:next w:val="1"/>
    <w:link w:val="184"/>
    <w:qFormat/>
    <w:uiPriority w:val="0"/>
    <w:pPr>
      <w:pBdr>
        <w:bottom w:val="single" w:color="auto" w:sz="6" w:space="1"/>
      </w:pBdr>
      <w:spacing w:line="240" w:lineRule="auto"/>
      <w:jc w:val="center"/>
    </w:pPr>
    <w:rPr>
      <w:rFonts w:ascii="Arial" w:hAnsi="Arial"/>
      <w:vanish/>
      <w:spacing w:val="-20"/>
      <w:sz w:val="16"/>
      <w:szCs w:val="16"/>
      <w:lang w:val="zh-CN"/>
    </w:rPr>
  </w:style>
  <w:style w:type="character" w:customStyle="1" w:styleId="184">
    <w:name w:val="z-窗体顶端 字符"/>
    <w:link w:val="183"/>
    <w:qFormat/>
    <w:uiPriority w:val="0"/>
    <w:rPr>
      <w:rFonts w:ascii="Arial" w:hAnsi="Arial" w:cs="Arial"/>
      <w:vanish/>
      <w:spacing w:val="-20"/>
      <w:kern w:val="2"/>
      <w:sz w:val="16"/>
      <w:szCs w:val="16"/>
    </w:rPr>
  </w:style>
  <w:style w:type="character" w:customStyle="1" w:styleId="185">
    <w:name w:val="不明显参考1"/>
    <w:qFormat/>
    <w:uiPriority w:val="31"/>
    <w:rPr>
      <w:smallCaps/>
      <w:color w:val="C0504D"/>
      <w:u w:val="single"/>
    </w:rPr>
  </w:style>
  <w:style w:type="paragraph" w:customStyle="1" w:styleId="186">
    <w:name w:val="已访问的超级链接"/>
    <w:qFormat/>
    <w:uiPriority w:val="0"/>
    <w:pPr>
      <w:widowControl w:val="0"/>
      <w:spacing w:line="480" w:lineRule="exact"/>
      <w:jc w:val="both"/>
    </w:pPr>
    <w:rPr>
      <w:rFonts w:ascii="Times New Roman" w:hAnsi="Times New Roman" w:eastAsia="宋体" w:cs="Times New Roman"/>
      <w:kern w:val="2"/>
      <w:sz w:val="24"/>
      <w:szCs w:val="24"/>
      <w:lang w:val="en-US" w:eastAsia="zh-CN" w:bidi="ar-SA"/>
    </w:rPr>
  </w:style>
  <w:style w:type="paragraph" w:customStyle="1" w:styleId="187">
    <w:name w:val="样式 样式 首行缩进:  2 字符 + 首行缩进:  2 字符 段前: 0.5 行 段后: 0.5 行"/>
    <w:basedOn w:val="142"/>
    <w:qFormat/>
    <w:uiPriority w:val="0"/>
    <w:pPr>
      <w:ind w:firstLine="480"/>
    </w:pPr>
    <w:rPr>
      <w:rFonts w:cs="宋体"/>
      <w:color w:val="auto"/>
    </w:rPr>
  </w:style>
  <w:style w:type="paragraph" w:customStyle="1" w:styleId="188">
    <w:name w:val="样式 首行缩进:  0.85 厘米"/>
    <w:basedOn w:val="1"/>
    <w:qFormat/>
    <w:uiPriority w:val="0"/>
    <w:pPr>
      <w:ind w:firstLine="480"/>
    </w:pPr>
    <w:rPr>
      <w:rFonts w:cs="宋体"/>
      <w:szCs w:val="20"/>
    </w:rPr>
  </w:style>
  <w:style w:type="table" w:customStyle="1" w:styleId="189">
    <w:name w:val="网格型2"/>
    <w:basedOn w:val="88"/>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
    <w:name w:val="网格型4"/>
    <w:basedOn w:val="88"/>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91">
    <w:name w:val="未处理的提及1"/>
    <w:basedOn w:val="122"/>
    <w:semiHidden/>
    <w:unhideWhenUsed/>
    <w:qFormat/>
    <w:uiPriority w:val="99"/>
    <w:rPr>
      <w:color w:val="605E5C"/>
      <w:shd w:val="clear" w:color="auto" w:fill="E1DFDD"/>
    </w:rPr>
  </w:style>
  <w:style w:type="character" w:customStyle="1" w:styleId="192">
    <w:name w:val="批注文字 字符"/>
    <w:basedOn w:val="122"/>
    <w:link w:val="28"/>
    <w:qFormat/>
    <w:uiPriority w:val="99"/>
    <w:rPr>
      <w:rFonts w:eastAsia="仿宋"/>
      <w:kern w:val="2"/>
      <w:sz w:val="28"/>
      <w:szCs w:val="24"/>
    </w:rPr>
  </w:style>
  <w:style w:type="character" w:customStyle="1" w:styleId="193">
    <w:name w:val="批注文字 字符3"/>
    <w:qFormat/>
    <w:uiPriority w:val="99"/>
    <w:rPr>
      <w:rFonts w:ascii="宋体" w:hAnsi="宋体"/>
      <w:bCs/>
      <w:spacing w:val="20"/>
      <w:kern w:val="2"/>
      <w:sz w:val="28"/>
      <w:szCs w:val="24"/>
    </w:rPr>
  </w:style>
  <w:style w:type="character" w:customStyle="1" w:styleId="194">
    <w:name w:val="应答文本 Char Char"/>
    <w:qFormat/>
    <w:uiPriority w:val="0"/>
    <w:rPr>
      <w:rFonts w:ascii="Arial" w:hAnsi="Arial" w:eastAsia="楷体_GB2312" w:cs="宋体"/>
      <w:spacing w:val="10"/>
      <w:kern w:val="2"/>
      <w:sz w:val="21"/>
      <w:szCs w:val="24"/>
      <w:lang w:val="en-US" w:eastAsia="zh-CN" w:bidi="ar-SA"/>
    </w:rPr>
  </w:style>
  <w:style w:type="character" w:customStyle="1" w:styleId="195">
    <w:name w:val="标题 3 Char Char Char Char Char Char Char Char Char Char Char Char Char Char Char Char Char Char Char Char Char Char Char Char Char Char Char Char Char Char Char Char Char Char Char Char Char Char Char Char Char Char Char Char Char Char Char Char Char Cha"/>
    <w:qFormat/>
    <w:uiPriority w:val="0"/>
    <w:rPr>
      <w:rFonts w:hAnsi="宋体" w:eastAsia="黑体"/>
      <w:kern w:val="2"/>
      <w:sz w:val="21"/>
      <w:lang w:val="en-US" w:eastAsia="zh-CN" w:bidi="ar-SA"/>
    </w:rPr>
  </w:style>
  <w:style w:type="character" w:customStyle="1" w:styleId="196">
    <w:name w:val="批注框文本 字符"/>
    <w:qFormat/>
    <w:uiPriority w:val="99"/>
    <w:rPr>
      <w:rFonts w:ascii="Times New Roman" w:hAnsi="Times New Roman" w:eastAsia="宋体" w:cs="Times New Roman"/>
      <w:sz w:val="18"/>
      <w:szCs w:val="18"/>
    </w:rPr>
  </w:style>
  <w:style w:type="character" w:customStyle="1" w:styleId="197">
    <w:name w:val="4级 Char"/>
    <w:link w:val="198"/>
    <w:qFormat/>
    <w:uiPriority w:val="0"/>
    <w:rPr>
      <w:rFonts w:ascii="宋体"/>
      <w:b/>
      <w:spacing w:val="10"/>
      <w:w w:val="95"/>
      <w:kern w:val="2"/>
      <w:sz w:val="24"/>
      <w:szCs w:val="24"/>
    </w:rPr>
  </w:style>
  <w:style w:type="paragraph" w:customStyle="1" w:styleId="198">
    <w:name w:val="4级"/>
    <w:basedOn w:val="199"/>
    <w:link w:val="197"/>
    <w:qFormat/>
    <w:uiPriority w:val="0"/>
    <w:pPr>
      <w:numPr>
        <w:ilvl w:val="0"/>
        <w:numId w:val="4"/>
      </w:numPr>
      <w:tabs>
        <w:tab w:val="left" w:pos="992"/>
      </w:tabs>
      <w:spacing w:before="0" w:after="0"/>
      <w:outlineLvl w:val="3"/>
    </w:pPr>
    <w:rPr>
      <w:sz w:val="24"/>
    </w:rPr>
  </w:style>
  <w:style w:type="paragraph" w:customStyle="1" w:styleId="199">
    <w:name w:val="招标文件1.1.1.1"/>
    <w:basedOn w:val="1"/>
    <w:link w:val="215"/>
    <w:qFormat/>
    <w:uiPriority w:val="0"/>
    <w:pPr>
      <w:numPr>
        <w:ilvl w:val="4"/>
        <w:numId w:val="5"/>
      </w:numPr>
      <w:spacing w:before="120" w:after="120"/>
      <w:jc w:val="left"/>
      <w:outlineLvl w:val="4"/>
    </w:pPr>
    <w:rPr>
      <w:rFonts w:ascii="宋体" w:eastAsia="宋体"/>
      <w:b/>
      <w:spacing w:val="10"/>
      <w:w w:val="95"/>
      <w:sz w:val="21"/>
    </w:rPr>
  </w:style>
  <w:style w:type="character" w:customStyle="1" w:styleId="200">
    <w:name w:val="标题 2 字符1"/>
    <w:qFormat/>
    <w:uiPriority w:val="0"/>
    <w:rPr>
      <w:rFonts w:ascii="宋体" w:hAnsi="宋体" w:eastAsia="宋体" w:cs="Times New Roman"/>
      <w:b/>
      <w:sz w:val="24"/>
      <w:szCs w:val="24"/>
    </w:rPr>
  </w:style>
  <w:style w:type="character" w:customStyle="1" w:styleId="201">
    <w:name w:val="列表段落 字符"/>
    <w:link w:val="151"/>
    <w:qFormat/>
    <w:locked/>
    <w:uiPriority w:val="0"/>
    <w:rPr>
      <w:rFonts w:eastAsia="仿宋"/>
      <w:kern w:val="2"/>
      <w:sz w:val="21"/>
    </w:rPr>
  </w:style>
  <w:style w:type="character" w:customStyle="1" w:styleId="202">
    <w:name w:val="段 Char"/>
    <w:link w:val="203"/>
    <w:qFormat/>
    <w:uiPriority w:val="99"/>
    <w:rPr>
      <w:rFonts w:ascii="宋体"/>
      <w:sz w:val="21"/>
      <w:lang w:val="en-US" w:eastAsia="zh-CN"/>
    </w:rPr>
  </w:style>
  <w:style w:type="paragraph" w:customStyle="1" w:styleId="203">
    <w:name w:val="段"/>
    <w:link w:val="202"/>
    <w:qFormat/>
    <w:uiPriority w:val="99"/>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04">
    <w:name w:val="标书原文本 Char"/>
    <w:link w:val="205"/>
    <w:qFormat/>
    <w:uiPriority w:val="0"/>
    <w:rPr>
      <w:rFonts w:ascii="宋体" w:hAnsi="宋体" w:cs="宋体"/>
      <w:kern w:val="2"/>
      <w:sz w:val="21"/>
      <w:szCs w:val="21"/>
    </w:rPr>
  </w:style>
  <w:style w:type="paragraph" w:customStyle="1" w:styleId="205">
    <w:name w:val="标书原文本"/>
    <w:basedOn w:val="1"/>
    <w:link w:val="204"/>
    <w:qFormat/>
    <w:uiPriority w:val="0"/>
    <w:pPr>
      <w:spacing w:afterLines="50" w:line="320" w:lineRule="exact"/>
      <w:ind w:firstLine="407"/>
    </w:pPr>
    <w:rPr>
      <w:rFonts w:ascii="宋体" w:hAnsi="宋体" w:eastAsia="宋体" w:cs="宋体"/>
      <w:sz w:val="21"/>
      <w:szCs w:val="21"/>
    </w:rPr>
  </w:style>
  <w:style w:type="character" w:customStyle="1" w:styleId="206">
    <w:name w:val="标题 4 字符1"/>
    <w:qFormat/>
    <w:locked/>
    <w:uiPriority w:val="0"/>
    <w:rPr>
      <w:rFonts w:ascii="Arial" w:hAnsi="Arial" w:cs="Arial"/>
      <w:sz w:val="21"/>
      <w:szCs w:val="21"/>
    </w:rPr>
  </w:style>
  <w:style w:type="character" w:customStyle="1" w:styleId="207">
    <w:name w:val="Char Char12"/>
    <w:qFormat/>
    <w:uiPriority w:val="0"/>
    <w:rPr>
      <w:sz w:val="18"/>
      <w:szCs w:val="18"/>
    </w:rPr>
  </w:style>
  <w:style w:type="character" w:customStyle="1" w:styleId="208">
    <w:name w:val="样式 标题 2标题 2hy标题 1.1编号标题22 headlinehheadlineS&amp;R2ERMH2Ann... Char Char"/>
    <w:link w:val="209"/>
    <w:qFormat/>
    <w:uiPriority w:val="0"/>
    <w:rPr>
      <w:rFonts w:ascii="Arial" w:hAnsi="Arial" w:eastAsia="黑体"/>
      <w:b/>
      <w:bCs/>
      <w:color w:val="FF0000"/>
      <w:kern w:val="2"/>
      <w:sz w:val="32"/>
      <w:szCs w:val="32"/>
    </w:rPr>
  </w:style>
  <w:style w:type="paragraph" w:customStyle="1" w:styleId="209">
    <w:name w:val="样式 标题 2标题 2hy标题 1.1编号标题22 headlinehheadlineS&amp;R2ERMH2Ann..."/>
    <w:basedOn w:val="4"/>
    <w:next w:val="34"/>
    <w:link w:val="208"/>
    <w:qFormat/>
    <w:uiPriority w:val="0"/>
    <w:pPr>
      <w:keepNext/>
      <w:keepLines/>
      <w:numPr>
        <w:numId w:val="6"/>
      </w:numPr>
      <w:tabs>
        <w:tab w:val="left" w:pos="1440"/>
      </w:tabs>
      <w:snapToGrid w:val="0"/>
      <w:spacing w:before="0" w:after="0" w:line="360" w:lineRule="auto"/>
    </w:pPr>
    <w:rPr>
      <w:rFonts w:ascii="Arial" w:hAnsi="Arial" w:eastAsia="黑体"/>
      <w:color w:val="FF0000"/>
      <w:sz w:val="32"/>
      <w:szCs w:val="32"/>
    </w:rPr>
  </w:style>
  <w:style w:type="character" w:customStyle="1" w:styleId="210">
    <w:name w:val="标题 6 字符1"/>
    <w:qFormat/>
    <w:uiPriority w:val="0"/>
    <w:rPr>
      <w:bCs/>
      <w:snapToGrid w:val="0"/>
      <w:kern w:val="28"/>
      <w:sz w:val="28"/>
      <w:szCs w:val="28"/>
    </w:rPr>
  </w:style>
  <w:style w:type="character" w:customStyle="1" w:styleId="211">
    <w:name w:val="1 Char"/>
    <w:qFormat/>
    <w:uiPriority w:val="0"/>
    <w:rPr>
      <w:rFonts w:ascii="宋体" w:hAnsi="宋体" w:eastAsia="宋体"/>
      <w:b/>
      <w:bCs/>
      <w:sz w:val="28"/>
      <w:lang w:val="en-US" w:eastAsia="zh-CN" w:bidi="ar-SA"/>
    </w:rPr>
  </w:style>
  <w:style w:type="character" w:customStyle="1" w:styleId="212">
    <w:name w:val="标题 9 字符"/>
    <w:qFormat/>
    <w:uiPriority w:val="0"/>
    <w:rPr>
      <w:rFonts w:ascii="Arial" w:hAnsi="Arial" w:eastAsia="黑体" w:cs="Times New Roman"/>
      <w:szCs w:val="20"/>
    </w:rPr>
  </w:style>
  <w:style w:type="character" w:customStyle="1" w:styleId="213">
    <w:name w:val="55 Char Char"/>
    <w:qFormat/>
    <w:uiPriority w:val="0"/>
    <w:rPr>
      <w:rFonts w:eastAsia="宋体"/>
      <w:b/>
      <w:bCs/>
      <w:kern w:val="2"/>
      <w:sz w:val="28"/>
      <w:szCs w:val="28"/>
      <w:lang w:val="en-US" w:eastAsia="zh-CN" w:bidi="ar-SA"/>
    </w:rPr>
  </w:style>
  <w:style w:type="character" w:customStyle="1" w:styleId="214">
    <w:name w:val="文档结构图 字符"/>
    <w:link w:val="26"/>
    <w:qFormat/>
    <w:uiPriority w:val="0"/>
    <w:rPr>
      <w:rFonts w:eastAsia="仿宋"/>
      <w:kern w:val="2"/>
      <w:sz w:val="28"/>
      <w:szCs w:val="24"/>
      <w:shd w:val="clear" w:color="auto" w:fill="000080"/>
    </w:rPr>
  </w:style>
  <w:style w:type="character" w:customStyle="1" w:styleId="215">
    <w:name w:val="招标文件1.1.1.1 Char"/>
    <w:link w:val="199"/>
    <w:qFormat/>
    <w:uiPriority w:val="0"/>
    <w:rPr>
      <w:rFonts w:ascii="宋体"/>
      <w:b/>
      <w:spacing w:val="10"/>
      <w:w w:val="95"/>
      <w:kern w:val="2"/>
      <w:sz w:val="21"/>
      <w:szCs w:val="24"/>
    </w:rPr>
  </w:style>
  <w:style w:type="character" w:customStyle="1" w:styleId="216">
    <w:name w:val="eee"/>
    <w:basedOn w:val="122"/>
    <w:qFormat/>
    <w:uiPriority w:val="0"/>
  </w:style>
  <w:style w:type="character" w:customStyle="1" w:styleId="217">
    <w:name w:val="题注 字符"/>
    <w:link w:val="22"/>
    <w:qFormat/>
    <w:uiPriority w:val="0"/>
    <w:rPr>
      <w:rFonts w:ascii="Arial" w:hAnsi="Arial" w:eastAsia="黑体" w:cs="Arial"/>
      <w:kern w:val="2"/>
    </w:rPr>
  </w:style>
  <w:style w:type="character" w:customStyle="1" w:styleId="218">
    <w:name w:val="第三层条 字符"/>
    <w:link w:val="219"/>
    <w:qFormat/>
    <w:uiPriority w:val="0"/>
    <w:rPr>
      <w:rFonts w:ascii="宋体" w:hAnsi="宋体"/>
      <w:b/>
      <w:bCs/>
      <w:kern w:val="2"/>
      <w:sz w:val="24"/>
      <w:szCs w:val="21"/>
    </w:rPr>
  </w:style>
  <w:style w:type="paragraph" w:customStyle="1" w:styleId="219">
    <w:name w:val="第三层条"/>
    <w:basedOn w:val="6"/>
    <w:link w:val="218"/>
    <w:qFormat/>
    <w:uiPriority w:val="0"/>
    <w:pPr>
      <w:keepNext/>
      <w:keepLines/>
      <w:numPr>
        <w:ilvl w:val="0"/>
        <w:numId w:val="7"/>
      </w:numPr>
      <w:spacing w:line="360" w:lineRule="auto"/>
      <w:jc w:val="both"/>
    </w:pPr>
    <w:rPr>
      <w:rFonts w:ascii="宋体" w:hAnsi="宋体" w:eastAsia="宋体"/>
      <w:sz w:val="24"/>
      <w:szCs w:val="21"/>
    </w:rPr>
  </w:style>
  <w:style w:type="character" w:customStyle="1" w:styleId="220">
    <w:name w:val="Table Heading Char1"/>
    <w:link w:val="221"/>
    <w:qFormat/>
    <w:uiPriority w:val="0"/>
    <w:rPr>
      <w:rFonts w:ascii="Book Antiqua" w:hAnsi="Book Antiqua" w:eastAsia="黑体" w:cs="Book Antiqua"/>
      <w:bCs/>
      <w:sz w:val="21"/>
      <w:szCs w:val="21"/>
    </w:rPr>
  </w:style>
  <w:style w:type="paragraph" w:customStyle="1" w:styleId="221">
    <w:name w:val="Table Heading"/>
    <w:basedOn w:val="1"/>
    <w:link w:val="220"/>
    <w:qFormat/>
    <w:uiPriority w:val="0"/>
    <w:pPr>
      <w:keepNext/>
      <w:topLinePunct/>
      <w:adjustRightInd w:val="0"/>
      <w:snapToGrid w:val="0"/>
      <w:spacing w:before="80" w:after="80" w:line="240" w:lineRule="atLeast"/>
      <w:jc w:val="left"/>
    </w:pPr>
    <w:rPr>
      <w:rFonts w:ascii="Book Antiqua" w:hAnsi="Book Antiqua" w:eastAsia="黑体" w:cs="Book Antiqua"/>
      <w:bCs/>
      <w:kern w:val="0"/>
      <w:sz w:val="21"/>
      <w:szCs w:val="21"/>
    </w:rPr>
  </w:style>
  <w:style w:type="character" w:customStyle="1" w:styleId="222">
    <w:name w:val="标题 4 字符"/>
    <w:qFormat/>
    <w:uiPriority w:val="99"/>
    <w:rPr>
      <w:rFonts w:ascii="Arial" w:hAnsi="Arial" w:eastAsia="宋体" w:cs="Times New Roman"/>
      <w:bCs/>
      <w:szCs w:val="28"/>
    </w:rPr>
  </w:style>
  <w:style w:type="character" w:customStyle="1" w:styleId="223">
    <w:name w:val="标题 2 字符"/>
    <w:qFormat/>
    <w:uiPriority w:val="99"/>
    <w:rPr>
      <w:rFonts w:ascii="等线 Light" w:hAnsi="等线 Light" w:eastAsia="等线 Light" w:cs="Times New Roman"/>
      <w:b/>
      <w:bCs/>
      <w:sz w:val="32"/>
      <w:szCs w:val="32"/>
    </w:rPr>
  </w:style>
  <w:style w:type="character" w:customStyle="1" w:styleId="224">
    <w:name w:val="表格文字图表文字 Char"/>
    <w:link w:val="225"/>
    <w:qFormat/>
    <w:uiPriority w:val="0"/>
    <w:rPr>
      <w:rFonts w:cs="宋体"/>
      <w:kern w:val="2"/>
      <w:sz w:val="21"/>
      <w:szCs w:val="21"/>
    </w:rPr>
  </w:style>
  <w:style w:type="paragraph" w:customStyle="1" w:styleId="225">
    <w:name w:val="表格文字图表文字"/>
    <w:basedOn w:val="1"/>
    <w:link w:val="224"/>
    <w:qFormat/>
    <w:uiPriority w:val="0"/>
    <w:pPr>
      <w:adjustRightInd w:val="0"/>
      <w:snapToGrid w:val="0"/>
      <w:spacing w:line="240" w:lineRule="auto"/>
      <w:jc w:val="center"/>
    </w:pPr>
    <w:rPr>
      <w:rFonts w:eastAsia="宋体" w:cs="宋体"/>
      <w:sz w:val="21"/>
      <w:szCs w:val="21"/>
    </w:rPr>
  </w:style>
  <w:style w:type="character" w:customStyle="1" w:styleId="226">
    <w:name w:val="样式 样式 首行缩进:  2 字符 段前: 4.65 磅 + 首行缩进:  2 字符 Char"/>
    <w:link w:val="227"/>
    <w:qFormat/>
    <w:uiPriority w:val="0"/>
    <w:rPr>
      <w:kern w:val="2"/>
      <w:sz w:val="24"/>
    </w:rPr>
  </w:style>
  <w:style w:type="paragraph" w:customStyle="1" w:styleId="227">
    <w:name w:val="样式 样式 首行缩进:  2 字符 段前: 4.65 磅 + 首行缩进:  2 字符"/>
    <w:basedOn w:val="1"/>
    <w:link w:val="226"/>
    <w:qFormat/>
    <w:uiPriority w:val="0"/>
    <w:pPr>
      <w:topLinePunct/>
      <w:spacing w:before="93" w:line="360" w:lineRule="auto"/>
      <w:ind w:firstLine="480" w:firstLineChars="200"/>
    </w:pPr>
    <w:rPr>
      <w:rFonts w:eastAsia="宋体"/>
      <w:sz w:val="24"/>
      <w:szCs w:val="20"/>
    </w:rPr>
  </w:style>
  <w:style w:type="character" w:customStyle="1" w:styleId="228">
    <w:name w:val="标题 4 字符2"/>
    <w:link w:val="6"/>
    <w:qFormat/>
    <w:uiPriority w:val="99"/>
    <w:rPr>
      <w:rFonts w:eastAsia="仿宋"/>
      <w:b/>
      <w:bCs/>
      <w:kern w:val="2"/>
      <w:sz w:val="28"/>
      <w:szCs w:val="28"/>
    </w:rPr>
  </w:style>
  <w:style w:type="character" w:customStyle="1" w:styleId="229">
    <w:name w:val="Char Char1"/>
    <w:semiHidden/>
    <w:qFormat/>
    <w:uiPriority w:val="0"/>
    <w:rPr>
      <w:rFonts w:ascii="宋体" w:hAnsi="宋体"/>
      <w:bCs/>
      <w:spacing w:val="20"/>
      <w:kern w:val="2"/>
      <w:sz w:val="28"/>
      <w:szCs w:val="24"/>
    </w:rPr>
  </w:style>
  <w:style w:type="character" w:customStyle="1" w:styleId="230">
    <w:name w:val="页脚 字符1"/>
    <w:link w:val="55"/>
    <w:qFormat/>
    <w:uiPriority w:val="99"/>
    <w:rPr>
      <w:rFonts w:eastAsia="仿宋"/>
      <w:kern w:val="2"/>
      <w:sz w:val="18"/>
      <w:szCs w:val="18"/>
    </w:rPr>
  </w:style>
  <w:style w:type="character" w:customStyle="1" w:styleId="231">
    <w:name w:val="目录 1 Char"/>
    <w:qFormat/>
    <w:uiPriority w:val="0"/>
    <w:rPr>
      <w:rFonts w:ascii="Times New Roman" w:hAnsi="Times New Roman" w:eastAsia="黑体"/>
      <w:b/>
      <w:caps/>
      <w:sz w:val="32"/>
    </w:rPr>
  </w:style>
  <w:style w:type="character" w:customStyle="1" w:styleId="232">
    <w:name w:val="样式 样式 标题 1 + 五号 + (符号) 宋体 Char"/>
    <w:qFormat/>
    <w:uiPriority w:val="0"/>
    <w:rPr>
      <w:rFonts w:eastAsia="宋体"/>
      <w:b/>
      <w:bCs/>
      <w:kern w:val="44"/>
      <w:sz w:val="28"/>
      <w:szCs w:val="28"/>
      <w:lang w:val="en-US" w:eastAsia="zh-CN" w:bidi="ar-SA"/>
    </w:rPr>
  </w:style>
  <w:style w:type="character" w:customStyle="1" w:styleId="233">
    <w:name w:val="样式 标题 1 + 五号1 Char"/>
    <w:qFormat/>
    <w:uiPriority w:val="0"/>
    <w:rPr>
      <w:rFonts w:eastAsia="宋体"/>
      <w:b/>
      <w:bCs/>
      <w:kern w:val="44"/>
      <w:sz w:val="28"/>
      <w:szCs w:val="28"/>
      <w:lang w:val="en-US" w:eastAsia="zh-CN" w:bidi="ar-SA"/>
    </w:rPr>
  </w:style>
  <w:style w:type="character" w:customStyle="1" w:styleId="234">
    <w:name w:val="符号 Char"/>
    <w:link w:val="235"/>
    <w:qFormat/>
    <w:uiPriority w:val="0"/>
    <w:rPr>
      <w:kern w:val="2"/>
      <w:sz w:val="24"/>
      <w:szCs w:val="24"/>
    </w:rPr>
  </w:style>
  <w:style w:type="paragraph" w:customStyle="1" w:styleId="235">
    <w:name w:val="符号"/>
    <w:basedOn w:val="1"/>
    <w:link w:val="234"/>
    <w:qFormat/>
    <w:uiPriority w:val="0"/>
    <w:pPr>
      <w:tabs>
        <w:tab w:val="left" w:pos="425"/>
      </w:tabs>
      <w:topLinePunct/>
      <w:spacing w:line="360" w:lineRule="auto"/>
      <w:ind w:left="425" w:hanging="425"/>
    </w:pPr>
    <w:rPr>
      <w:rFonts w:eastAsia="宋体"/>
      <w:sz w:val="24"/>
    </w:rPr>
  </w:style>
  <w:style w:type="character" w:customStyle="1" w:styleId="236">
    <w:name w:val="Char Char"/>
    <w:qFormat/>
    <w:uiPriority w:val="0"/>
    <w:rPr>
      <w:rFonts w:eastAsia="宋体"/>
      <w:kern w:val="2"/>
      <w:sz w:val="21"/>
      <w:szCs w:val="24"/>
      <w:lang w:val="en-US" w:eastAsia="zh-CN" w:bidi="ar-SA"/>
    </w:rPr>
  </w:style>
  <w:style w:type="character" w:customStyle="1" w:styleId="237">
    <w:name w:val="Item List Char"/>
    <w:link w:val="238"/>
    <w:qFormat/>
    <w:uiPriority w:val="0"/>
    <w:rPr>
      <w:rFonts w:cs="Arial"/>
      <w:kern w:val="2"/>
      <w:sz w:val="21"/>
      <w:szCs w:val="21"/>
    </w:rPr>
  </w:style>
  <w:style w:type="paragraph" w:customStyle="1" w:styleId="238">
    <w:name w:val="Item List"/>
    <w:link w:val="237"/>
    <w:qFormat/>
    <w:uiPriority w:val="0"/>
    <w:pPr>
      <w:numPr>
        <w:ilvl w:val="0"/>
        <w:numId w:val="8"/>
      </w:numPr>
      <w:tabs>
        <w:tab w:val="left" w:pos="2126"/>
      </w:tabs>
      <w:adjustRightInd w:val="0"/>
      <w:snapToGrid w:val="0"/>
      <w:spacing w:before="80" w:after="80" w:line="240" w:lineRule="atLeast"/>
    </w:pPr>
    <w:rPr>
      <w:rFonts w:ascii="Times New Roman" w:hAnsi="Times New Roman" w:eastAsia="宋体" w:cs="Arial"/>
      <w:kern w:val="2"/>
      <w:sz w:val="21"/>
      <w:szCs w:val="21"/>
      <w:lang w:val="en-US" w:eastAsia="zh-CN" w:bidi="ar-SA"/>
    </w:rPr>
  </w:style>
  <w:style w:type="character" w:customStyle="1" w:styleId="239">
    <w:name w:val="*正文 Char"/>
    <w:link w:val="240"/>
    <w:qFormat/>
    <w:uiPriority w:val="0"/>
    <w:rPr>
      <w:rFonts w:ascii="宋体" w:hAnsi="宋体"/>
      <w:kern w:val="2"/>
      <w:sz w:val="24"/>
      <w:szCs w:val="22"/>
    </w:rPr>
  </w:style>
  <w:style w:type="paragraph" w:customStyle="1" w:styleId="240">
    <w:name w:val="*正文"/>
    <w:basedOn w:val="1"/>
    <w:link w:val="239"/>
    <w:qFormat/>
    <w:uiPriority w:val="0"/>
    <w:pPr>
      <w:spacing w:line="360" w:lineRule="auto"/>
      <w:ind w:firstLine="480" w:firstLineChars="200"/>
    </w:pPr>
    <w:rPr>
      <w:rFonts w:ascii="宋体" w:hAnsi="宋体" w:eastAsia="宋体"/>
      <w:sz w:val="24"/>
      <w:szCs w:val="22"/>
    </w:rPr>
  </w:style>
  <w:style w:type="character" w:customStyle="1" w:styleId="241">
    <w:name w:val="标题 8 字符1"/>
    <w:link w:val="10"/>
    <w:qFormat/>
    <w:uiPriority w:val="9"/>
    <w:rPr>
      <w:rFonts w:ascii="Arial" w:hAnsi="Arial" w:eastAsia="仿宋"/>
      <w:kern w:val="2"/>
      <w:sz w:val="28"/>
      <w:szCs w:val="24"/>
    </w:rPr>
  </w:style>
  <w:style w:type="character" w:customStyle="1" w:styleId="242">
    <w:name w:val="标题（4） Char"/>
    <w:link w:val="243"/>
    <w:qFormat/>
    <w:uiPriority w:val="0"/>
    <w:rPr>
      <w:kern w:val="2"/>
      <w:sz w:val="24"/>
      <w:szCs w:val="24"/>
    </w:rPr>
  </w:style>
  <w:style w:type="paragraph" w:customStyle="1" w:styleId="243">
    <w:name w:val="标题（4）"/>
    <w:basedOn w:val="1"/>
    <w:link w:val="242"/>
    <w:qFormat/>
    <w:uiPriority w:val="0"/>
    <w:pPr>
      <w:topLinePunct/>
      <w:spacing w:line="360" w:lineRule="auto"/>
      <w:jc w:val="left"/>
      <w:outlineLvl w:val="3"/>
    </w:pPr>
    <w:rPr>
      <w:rFonts w:eastAsia="宋体"/>
      <w:sz w:val="24"/>
    </w:rPr>
  </w:style>
  <w:style w:type="character" w:customStyle="1" w:styleId="244">
    <w:name w:val="标题 1 字符"/>
    <w:qFormat/>
    <w:uiPriority w:val="99"/>
    <w:rPr>
      <w:rFonts w:ascii="宋体" w:hAnsi="宋体" w:eastAsia="宋体" w:cs="Times New Roman"/>
      <w:b/>
      <w:bCs/>
      <w:kern w:val="0"/>
      <w:szCs w:val="20"/>
    </w:rPr>
  </w:style>
  <w:style w:type="character" w:customStyle="1" w:styleId="245">
    <w:name w:val="本文縮排 2 字元 Char"/>
    <w:qFormat/>
    <w:uiPriority w:val="0"/>
    <w:rPr>
      <w:rFonts w:eastAsia="PMingLiU"/>
      <w:snapToGrid w:val="0"/>
      <w:kern w:val="2"/>
      <w:sz w:val="24"/>
      <w:szCs w:val="24"/>
      <w:lang w:val="en-GB" w:eastAsia="zh-TW" w:bidi="ar-SA"/>
    </w:rPr>
  </w:style>
  <w:style w:type="character" w:customStyle="1" w:styleId="246">
    <w:name w:val="页眉 字符"/>
    <w:qFormat/>
    <w:uiPriority w:val="0"/>
    <w:rPr>
      <w:rFonts w:ascii="Times New Roman" w:hAnsi="Times New Roman" w:eastAsia="宋体" w:cs="Times New Roman"/>
      <w:sz w:val="18"/>
      <w:szCs w:val="18"/>
    </w:rPr>
  </w:style>
  <w:style w:type="character" w:customStyle="1" w:styleId="247">
    <w:name w:val="一 Char"/>
    <w:qFormat/>
    <w:uiPriority w:val="0"/>
    <w:rPr>
      <w:rFonts w:ascii="宋体" w:hAnsi="宋体" w:eastAsia="宋体"/>
      <w:b/>
      <w:bCs/>
      <w:sz w:val="28"/>
      <w:lang w:val="en-US" w:eastAsia="zh-CN" w:bidi="ar-SA"/>
    </w:rPr>
  </w:style>
  <w:style w:type="character" w:customStyle="1" w:styleId="248">
    <w:name w:val="正文文本 字符1"/>
    <w:qFormat/>
    <w:uiPriority w:val="99"/>
    <w:rPr>
      <w:sz w:val="21"/>
    </w:rPr>
  </w:style>
  <w:style w:type="character" w:customStyle="1" w:styleId="249">
    <w:name w:val="表图名称 Char Char"/>
    <w:link w:val="250"/>
    <w:qFormat/>
    <w:uiPriority w:val="0"/>
    <w:rPr>
      <w:rFonts w:ascii="黑体" w:hAnsi="宋体" w:eastAsia="黑体"/>
      <w:kern w:val="2"/>
      <w:sz w:val="24"/>
      <w:szCs w:val="24"/>
    </w:rPr>
  </w:style>
  <w:style w:type="paragraph" w:customStyle="1" w:styleId="250">
    <w:name w:val="表图名称"/>
    <w:link w:val="249"/>
    <w:qFormat/>
    <w:uiPriority w:val="0"/>
    <w:pPr>
      <w:widowControl w:val="0"/>
      <w:tabs>
        <w:tab w:val="left" w:pos="6120"/>
        <w:tab w:val="left" w:pos="13784"/>
      </w:tabs>
      <w:adjustRightInd w:val="0"/>
      <w:snapToGrid w:val="0"/>
      <w:spacing w:line="360" w:lineRule="auto"/>
      <w:jc w:val="center"/>
    </w:pPr>
    <w:rPr>
      <w:rFonts w:ascii="黑体" w:hAnsi="宋体" w:eastAsia="黑体" w:cs="Times New Roman"/>
      <w:kern w:val="2"/>
      <w:sz w:val="24"/>
      <w:szCs w:val="24"/>
      <w:lang w:val="en-US" w:eastAsia="zh-CN" w:bidi="ar-SA"/>
    </w:rPr>
  </w:style>
  <w:style w:type="character" w:customStyle="1" w:styleId="251">
    <w:name w:val="明显参考1"/>
    <w:qFormat/>
    <w:uiPriority w:val="32"/>
    <w:rPr>
      <w:b/>
      <w:bCs/>
      <w:smallCaps/>
      <w:color w:val="4472C4"/>
      <w:spacing w:val="5"/>
    </w:rPr>
  </w:style>
  <w:style w:type="character" w:customStyle="1" w:styleId="252">
    <w:name w:val="批注主题 字符"/>
    <w:qFormat/>
    <w:uiPriority w:val="0"/>
    <w:rPr>
      <w:rFonts w:ascii="Times New Roman" w:hAnsi="Times New Roman" w:eastAsia="宋体" w:cs="Times New Roman"/>
      <w:b/>
      <w:bCs/>
      <w:spacing w:val="20"/>
      <w:sz w:val="28"/>
      <w:szCs w:val="24"/>
    </w:rPr>
  </w:style>
  <w:style w:type="character" w:customStyle="1" w:styleId="253">
    <w:name w:val="批注文字 字符2"/>
    <w:qFormat/>
    <w:uiPriority w:val="99"/>
    <w:rPr>
      <w:rFonts w:ascii="宋体" w:hAnsi="宋体" w:eastAsia="宋体" w:cs="Times New Roman"/>
      <w:bCs/>
      <w:spacing w:val="20"/>
      <w:sz w:val="28"/>
      <w:szCs w:val="24"/>
    </w:rPr>
  </w:style>
  <w:style w:type="character" w:customStyle="1" w:styleId="254">
    <w:name w:val="样式 标题 1 + 五号 Char"/>
    <w:qFormat/>
    <w:uiPriority w:val="0"/>
    <w:rPr>
      <w:rFonts w:eastAsia="宋体"/>
      <w:b/>
      <w:bCs/>
      <w:kern w:val="44"/>
      <w:sz w:val="24"/>
      <w:szCs w:val="24"/>
      <w:lang w:val="en-US" w:eastAsia="zh-CN" w:bidi="ar-SA"/>
    </w:rPr>
  </w:style>
  <w:style w:type="character" w:customStyle="1" w:styleId="255">
    <w:name w:val="页脚 字符"/>
    <w:qFormat/>
    <w:uiPriority w:val="99"/>
    <w:rPr>
      <w:rFonts w:ascii="Times New Roman" w:hAnsi="Times New Roman" w:eastAsia="宋体" w:cs="Times New Roman"/>
      <w:sz w:val="18"/>
      <w:szCs w:val="18"/>
    </w:rPr>
  </w:style>
  <w:style w:type="character" w:customStyle="1" w:styleId="256">
    <w:name w:val="标题 8 字符"/>
    <w:qFormat/>
    <w:uiPriority w:val="0"/>
    <w:rPr>
      <w:rFonts w:ascii="Arial" w:hAnsi="Arial" w:eastAsia="黑体" w:cs="Times New Roman"/>
      <w:sz w:val="24"/>
      <w:szCs w:val="20"/>
    </w:rPr>
  </w:style>
  <w:style w:type="character" w:customStyle="1" w:styleId="257">
    <w:name w:val="列表框1 Char Char"/>
    <w:qFormat/>
    <w:uiPriority w:val="0"/>
    <w:rPr>
      <w:rFonts w:ascii="Arial" w:hAnsi="Arial" w:eastAsia="楷体_GB2312" w:cs="Arial"/>
      <w:spacing w:val="10"/>
      <w:kern w:val="2"/>
      <w:sz w:val="21"/>
      <w:szCs w:val="24"/>
      <w:lang w:val="en-US" w:eastAsia="zh-CN" w:bidi="ar-SA"/>
    </w:rPr>
  </w:style>
  <w:style w:type="character" w:customStyle="1" w:styleId="258">
    <w:name w:val="Table Text Char"/>
    <w:link w:val="259"/>
    <w:qFormat/>
    <w:uiPriority w:val="0"/>
    <w:rPr>
      <w:rFonts w:cs="Arial"/>
      <w:sz w:val="21"/>
      <w:szCs w:val="21"/>
    </w:rPr>
  </w:style>
  <w:style w:type="paragraph" w:customStyle="1" w:styleId="259">
    <w:name w:val="Table Text"/>
    <w:basedOn w:val="1"/>
    <w:link w:val="258"/>
    <w:qFormat/>
    <w:uiPriority w:val="0"/>
    <w:pPr>
      <w:topLinePunct/>
      <w:adjustRightInd w:val="0"/>
      <w:snapToGrid w:val="0"/>
      <w:spacing w:before="80" w:after="80" w:line="240" w:lineRule="atLeast"/>
      <w:jc w:val="left"/>
    </w:pPr>
    <w:rPr>
      <w:rFonts w:eastAsia="宋体" w:cs="Arial"/>
      <w:kern w:val="0"/>
      <w:sz w:val="21"/>
      <w:szCs w:val="21"/>
    </w:rPr>
  </w:style>
  <w:style w:type="character" w:customStyle="1" w:styleId="260">
    <w:name w:val="表 Char"/>
    <w:link w:val="261"/>
    <w:qFormat/>
    <w:uiPriority w:val="0"/>
    <w:rPr>
      <w:rFonts w:ascii="宋体" w:hAnsi="宋体"/>
      <w:snapToGrid w:val="0"/>
      <w:kern w:val="24"/>
      <w:sz w:val="21"/>
      <w:szCs w:val="21"/>
    </w:rPr>
  </w:style>
  <w:style w:type="paragraph" w:customStyle="1" w:styleId="261">
    <w:name w:val="表"/>
    <w:basedOn w:val="1"/>
    <w:link w:val="260"/>
    <w:qFormat/>
    <w:uiPriority w:val="0"/>
    <w:pPr>
      <w:adjustRightInd w:val="0"/>
      <w:snapToGrid w:val="0"/>
      <w:spacing w:line="360" w:lineRule="auto"/>
      <w:jc w:val="center"/>
    </w:pPr>
    <w:rPr>
      <w:rFonts w:ascii="宋体" w:hAnsi="宋体" w:eastAsia="宋体"/>
      <w:snapToGrid w:val="0"/>
      <w:kern w:val="24"/>
      <w:sz w:val="21"/>
      <w:szCs w:val="21"/>
    </w:rPr>
  </w:style>
  <w:style w:type="character" w:customStyle="1" w:styleId="262">
    <w:name w:val="正文文本缩进 Char2"/>
    <w:qFormat/>
    <w:uiPriority w:val="0"/>
    <w:rPr>
      <w:rFonts w:ascii="宋体" w:hAnsi="宋体"/>
      <w:color w:val="000000"/>
      <w:kern w:val="2"/>
      <w:sz w:val="21"/>
      <w:szCs w:val="24"/>
    </w:rPr>
  </w:style>
  <w:style w:type="character" w:customStyle="1" w:styleId="263">
    <w:name w:val="2正文 Char"/>
    <w:link w:val="264"/>
    <w:qFormat/>
    <w:uiPriority w:val="0"/>
    <w:rPr>
      <w:rFonts w:ascii="宋体" w:hAnsi="宋体" w:cs="宋体"/>
      <w:kern w:val="2"/>
      <w:sz w:val="24"/>
      <w:szCs w:val="24"/>
    </w:rPr>
  </w:style>
  <w:style w:type="paragraph" w:customStyle="1" w:styleId="264">
    <w:name w:val="2正文"/>
    <w:basedOn w:val="1"/>
    <w:link w:val="263"/>
    <w:qFormat/>
    <w:uiPriority w:val="0"/>
    <w:pPr>
      <w:widowControl/>
      <w:spacing w:line="560" w:lineRule="exact"/>
      <w:ind w:firstLine="480" w:firstLineChars="200"/>
      <w:jc w:val="left"/>
    </w:pPr>
    <w:rPr>
      <w:rFonts w:ascii="宋体" w:hAnsi="宋体" w:eastAsia="宋体" w:cs="宋体"/>
      <w:sz w:val="24"/>
    </w:rPr>
  </w:style>
  <w:style w:type="character" w:customStyle="1" w:styleId="265">
    <w:name w:val="f1"/>
    <w:qFormat/>
    <w:uiPriority w:val="0"/>
    <w:rPr>
      <w:color w:val="676767"/>
    </w:rPr>
  </w:style>
  <w:style w:type="character" w:customStyle="1" w:styleId="266">
    <w:name w:val="页眉 字符1"/>
    <w:link w:val="57"/>
    <w:qFormat/>
    <w:uiPriority w:val="99"/>
    <w:rPr>
      <w:rFonts w:eastAsia="仿宋"/>
      <w:kern w:val="2"/>
      <w:sz w:val="18"/>
      <w:szCs w:val="18"/>
    </w:rPr>
  </w:style>
  <w:style w:type="character" w:customStyle="1" w:styleId="267">
    <w:name w:val="Table Text Char1"/>
    <w:qFormat/>
    <w:uiPriority w:val="0"/>
    <w:rPr>
      <w:rFonts w:ascii="Times New Roman" w:hAnsi="Times New Roman" w:eastAsia="宋体" w:cs="Arial"/>
      <w:snapToGrid/>
      <w:kern w:val="0"/>
      <w:szCs w:val="21"/>
    </w:rPr>
  </w:style>
  <w:style w:type="character" w:customStyle="1" w:styleId="268">
    <w:name w:val="Char Char8"/>
    <w:semiHidden/>
    <w:qFormat/>
    <w:uiPriority w:val="0"/>
    <w:rPr>
      <w:rFonts w:ascii="宋体" w:hAnsi="宋体" w:eastAsia="宋体"/>
      <w:bCs/>
      <w:spacing w:val="20"/>
      <w:kern w:val="2"/>
      <w:sz w:val="28"/>
      <w:szCs w:val="24"/>
      <w:lang w:val="en-US" w:eastAsia="zh-CN" w:bidi="ar-SA"/>
    </w:rPr>
  </w:style>
  <w:style w:type="character" w:customStyle="1" w:styleId="269">
    <w:name w:val="标题 9 字符1"/>
    <w:link w:val="11"/>
    <w:qFormat/>
    <w:uiPriority w:val="9"/>
    <w:rPr>
      <w:rFonts w:ascii="Arial" w:hAnsi="Arial" w:eastAsia="仿宋"/>
      <w:kern w:val="2"/>
      <w:sz w:val="28"/>
      <w:szCs w:val="21"/>
    </w:rPr>
  </w:style>
  <w:style w:type="character" w:customStyle="1" w:styleId="270">
    <w:name w:val="应答文本 Char Char Char Char Char Char"/>
    <w:qFormat/>
    <w:uiPriority w:val="0"/>
    <w:rPr>
      <w:rFonts w:ascii="Arial" w:hAnsi="Arial" w:eastAsia="楷体_GB2312" w:cs="宋体"/>
      <w:spacing w:val="10"/>
      <w:kern w:val="2"/>
      <w:sz w:val="21"/>
      <w:szCs w:val="24"/>
      <w:lang w:val="en-US" w:eastAsia="zh-CN" w:bidi="ar-SA"/>
    </w:rPr>
  </w:style>
  <w:style w:type="character" w:customStyle="1" w:styleId="271">
    <w:name w:val="样式 题注 + 首行缩进:  2 字符2 Char"/>
    <w:link w:val="272"/>
    <w:qFormat/>
    <w:uiPriority w:val="0"/>
    <w:rPr>
      <w:rFonts w:ascii="Arial" w:hAnsi="Arial" w:cs="宋体"/>
      <w:snapToGrid w:val="0"/>
      <w:kern w:val="24"/>
      <w:sz w:val="24"/>
      <w:szCs w:val="24"/>
    </w:rPr>
  </w:style>
  <w:style w:type="paragraph" w:customStyle="1" w:styleId="272">
    <w:name w:val="样式 题注 + 首行缩进:  2 字符2"/>
    <w:basedOn w:val="22"/>
    <w:link w:val="271"/>
    <w:qFormat/>
    <w:uiPriority w:val="0"/>
    <w:pPr>
      <w:adjustRightInd w:val="0"/>
      <w:snapToGrid w:val="0"/>
      <w:spacing w:before="152" w:beforeLines="50" w:line="240" w:lineRule="auto"/>
      <w:jc w:val="center"/>
    </w:pPr>
    <w:rPr>
      <w:rFonts w:eastAsia="宋体" w:cs="宋体"/>
      <w:snapToGrid w:val="0"/>
      <w:kern w:val="24"/>
      <w:sz w:val="24"/>
      <w:szCs w:val="24"/>
    </w:rPr>
  </w:style>
  <w:style w:type="character" w:customStyle="1" w:styleId="273">
    <w:name w:val="无编号正文 Char"/>
    <w:link w:val="274"/>
    <w:qFormat/>
    <w:uiPriority w:val="0"/>
    <w:rPr>
      <w:kern w:val="2"/>
      <w:sz w:val="24"/>
    </w:rPr>
  </w:style>
  <w:style w:type="paragraph" w:customStyle="1" w:styleId="274">
    <w:name w:val="无编号正文"/>
    <w:basedOn w:val="34"/>
    <w:next w:val="1"/>
    <w:link w:val="273"/>
    <w:qFormat/>
    <w:uiPriority w:val="0"/>
    <w:pPr>
      <w:spacing w:after="0" w:line="360" w:lineRule="auto"/>
      <w:ind w:left="200" w:leftChars="200" w:firstLine="200" w:firstLineChars="200"/>
    </w:pPr>
    <w:rPr>
      <w:rFonts w:eastAsia="宋体"/>
      <w:sz w:val="24"/>
      <w:szCs w:val="20"/>
      <w:lang w:val="en-US"/>
    </w:rPr>
  </w:style>
  <w:style w:type="character" w:customStyle="1" w:styleId="275">
    <w:name w:val="标题 6 Char1"/>
    <w:qFormat/>
    <w:uiPriority w:val="0"/>
    <w:rPr>
      <w:rFonts w:ascii="Times New Roman" w:hAnsi="Times New Roman" w:eastAsia="宋体" w:cs="Times New Roman"/>
      <w:sz w:val="28"/>
      <w:szCs w:val="20"/>
    </w:rPr>
  </w:style>
  <w:style w:type="character" w:customStyle="1" w:styleId="276">
    <w:name w:val="批注框文本 字符1"/>
    <w:link w:val="54"/>
    <w:qFormat/>
    <w:uiPriority w:val="99"/>
    <w:rPr>
      <w:rFonts w:eastAsia="仿宋"/>
      <w:kern w:val="2"/>
      <w:sz w:val="18"/>
      <w:szCs w:val="18"/>
    </w:rPr>
  </w:style>
  <w:style w:type="character" w:customStyle="1" w:styleId="277">
    <w:name w:val="列表编号3 Char Char"/>
    <w:qFormat/>
    <w:uiPriority w:val="0"/>
    <w:rPr>
      <w:rFonts w:eastAsia="宋体"/>
      <w:kern w:val="2"/>
      <w:sz w:val="28"/>
      <w:lang w:val="en-US" w:eastAsia="zh-CN" w:bidi="ar-SA"/>
    </w:rPr>
  </w:style>
  <w:style w:type="character" w:customStyle="1" w:styleId="278">
    <w:name w:val="style11"/>
    <w:qFormat/>
    <w:uiPriority w:val="0"/>
    <w:rPr>
      <w:b/>
      <w:bCs/>
      <w:color w:val="FF0000"/>
      <w:sz w:val="24"/>
      <w:szCs w:val="24"/>
    </w:rPr>
  </w:style>
  <w:style w:type="character" w:customStyle="1" w:styleId="279">
    <w:name w:val="标题 5 字符1"/>
    <w:qFormat/>
    <w:uiPriority w:val="9"/>
    <w:rPr>
      <w:b/>
      <w:bCs/>
      <w:kern w:val="2"/>
      <w:sz w:val="28"/>
      <w:szCs w:val="28"/>
    </w:rPr>
  </w:style>
  <w:style w:type="character" w:customStyle="1" w:styleId="280">
    <w:name w:val="正文段落格式 Char"/>
    <w:link w:val="281"/>
    <w:qFormat/>
    <w:locked/>
    <w:uiPriority w:val="0"/>
    <w:rPr>
      <w:color w:val="000000"/>
      <w:kern w:val="2"/>
      <w:sz w:val="24"/>
      <w:szCs w:val="24"/>
    </w:rPr>
  </w:style>
  <w:style w:type="paragraph" w:customStyle="1" w:styleId="281">
    <w:name w:val="正文段落格式"/>
    <w:basedOn w:val="1"/>
    <w:link w:val="280"/>
    <w:qFormat/>
    <w:uiPriority w:val="0"/>
    <w:pPr>
      <w:spacing w:line="360" w:lineRule="auto"/>
      <w:ind w:firstLine="480" w:firstLineChars="200"/>
    </w:pPr>
    <w:rPr>
      <w:rFonts w:eastAsia="宋体"/>
      <w:color w:val="000000"/>
      <w:sz w:val="24"/>
    </w:rPr>
  </w:style>
  <w:style w:type="character" w:customStyle="1" w:styleId="282">
    <w:name w:val="标题 1 字符1"/>
    <w:link w:val="3"/>
    <w:qFormat/>
    <w:uiPriority w:val="99"/>
    <w:rPr>
      <w:rFonts w:eastAsia="仿宋"/>
      <w:b/>
      <w:bCs/>
      <w:kern w:val="44"/>
      <w:sz w:val="36"/>
      <w:szCs w:val="44"/>
    </w:rPr>
  </w:style>
  <w:style w:type="character" w:customStyle="1" w:styleId="283">
    <w:name w:val="标题 4 Char Char Char"/>
    <w:qFormat/>
    <w:uiPriority w:val="0"/>
    <w:rPr>
      <w:rFonts w:ascii="Arial" w:hAnsi="Arial" w:eastAsia="黑体"/>
      <w:b/>
      <w:bCs/>
      <w:kern w:val="2"/>
      <w:sz w:val="28"/>
      <w:szCs w:val="28"/>
      <w:lang w:val="en-US" w:eastAsia="zh-CN" w:bidi="ar-SA"/>
    </w:rPr>
  </w:style>
  <w:style w:type="character" w:customStyle="1" w:styleId="284">
    <w:name w:val="标题 4 Char Char Char1"/>
    <w:qFormat/>
    <w:uiPriority w:val="0"/>
    <w:rPr>
      <w:rFonts w:ascii="Arial" w:hAnsi="Arial" w:eastAsia="宋体" w:cs="Times New Roman"/>
      <w:bCs/>
      <w:szCs w:val="28"/>
    </w:rPr>
  </w:style>
  <w:style w:type="character" w:customStyle="1" w:styleId="285">
    <w:name w:val="批注文字 字符1"/>
    <w:qFormat/>
    <w:uiPriority w:val="99"/>
    <w:rPr>
      <w:rFonts w:ascii="宋体" w:hAnsi="宋体" w:eastAsia="宋体" w:cs="Times New Roman"/>
      <w:bCs/>
      <w:spacing w:val="20"/>
      <w:sz w:val="28"/>
      <w:szCs w:val="24"/>
    </w:rPr>
  </w:style>
  <w:style w:type="character" w:customStyle="1" w:styleId="286">
    <w:name w:val="样式 宋体 小四1"/>
    <w:qFormat/>
    <w:uiPriority w:val="0"/>
    <w:rPr>
      <w:rFonts w:ascii="宋体" w:hAnsi="宋体"/>
      <w:sz w:val="24"/>
    </w:rPr>
  </w:style>
  <w:style w:type="character" w:customStyle="1" w:styleId="287">
    <w:name w:val="批注主题 字符1"/>
    <w:link w:val="85"/>
    <w:qFormat/>
    <w:uiPriority w:val="99"/>
    <w:rPr>
      <w:rFonts w:eastAsia="仿宋"/>
      <w:b/>
      <w:bCs/>
      <w:kern w:val="2"/>
      <w:sz w:val="28"/>
      <w:szCs w:val="24"/>
    </w:rPr>
  </w:style>
  <w:style w:type="paragraph" w:customStyle="1" w:styleId="288">
    <w:name w:val="正文段落"/>
    <w:basedOn w:val="1"/>
    <w:qFormat/>
    <w:uiPriority w:val="0"/>
    <w:pPr>
      <w:autoSpaceDE w:val="0"/>
      <w:autoSpaceDN w:val="0"/>
      <w:adjustRightInd w:val="0"/>
      <w:spacing w:line="360" w:lineRule="auto"/>
      <w:ind w:firstLine="567"/>
      <w:textAlignment w:val="baseline"/>
    </w:pPr>
    <w:rPr>
      <w:rFonts w:ascii="宋体" w:hAnsi="Tms Rmn" w:eastAsia="宋体"/>
      <w:kern w:val="0"/>
      <w:szCs w:val="20"/>
    </w:rPr>
  </w:style>
  <w:style w:type="paragraph" w:customStyle="1" w:styleId="289">
    <w:name w:val="落款样式"/>
    <w:basedOn w:val="1"/>
    <w:qFormat/>
    <w:uiPriority w:val="0"/>
    <w:pPr>
      <w:spacing w:line="240" w:lineRule="auto"/>
      <w:ind w:left="2465" w:firstLine="420"/>
      <w:jc w:val="left"/>
    </w:pPr>
    <w:rPr>
      <w:rFonts w:eastAsia="宋体" w:cs="宋体"/>
      <w:kern w:val="0"/>
      <w:sz w:val="24"/>
      <w:szCs w:val="20"/>
    </w:rPr>
  </w:style>
  <w:style w:type="paragraph" w:customStyle="1" w:styleId="290">
    <w:name w:val="应答文本 Char Char Char Char Char"/>
    <w:basedOn w:val="1"/>
    <w:qFormat/>
    <w:uiPriority w:val="0"/>
    <w:pPr>
      <w:adjustRightInd w:val="0"/>
      <w:spacing w:afterLines="50" w:line="320" w:lineRule="exact"/>
      <w:ind w:left="300" w:leftChars="300" w:firstLine="200" w:firstLineChars="200"/>
      <w:jc w:val="left"/>
    </w:pPr>
    <w:rPr>
      <w:rFonts w:ascii="Arial" w:hAnsi="Arial" w:eastAsia="楷体_GB2312" w:cs="宋体"/>
      <w:spacing w:val="10"/>
      <w:sz w:val="21"/>
    </w:rPr>
  </w:style>
  <w:style w:type="paragraph" w:customStyle="1" w:styleId="291">
    <w:name w:val="7"/>
    <w:basedOn w:val="1"/>
    <w:next w:val="35"/>
    <w:qFormat/>
    <w:uiPriority w:val="0"/>
    <w:pPr>
      <w:spacing w:line="360" w:lineRule="auto"/>
      <w:ind w:left="718" w:leftChars="342"/>
    </w:pPr>
    <w:rPr>
      <w:rFonts w:ascii="宋体" w:hAnsi="宋体" w:eastAsia="宋体"/>
      <w:color w:val="000000"/>
      <w:sz w:val="21"/>
    </w:rPr>
  </w:style>
  <w:style w:type="paragraph" w:customStyle="1" w:styleId="29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293">
    <w:name w:val="标题2"/>
    <w:basedOn w:val="1"/>
    <w:qFormat/>
    <w:uiPriority w:val="0"/>
    <w:pPr>
      <w:numPr>
        <w:ilvl w:val="1"/>
        <w:numId w:val="2"/>
      </w:numPr>
      <w:spacing w:line="240" w:lineRule="auto"/>
    </w:pPr>
    <w:rPr>
      <w:rFonts w:eastAsia="宋体"/>
      <w:sz w:val="21"/>
    </w:rPr>
  </w:style>
  <w:style w:type="paragraph" w:customStyle="1" w:styleId="294">
    <w:name w:val="(1)"/>
    <w:basedOn w:val="1"/>
    <w:next w:val="1"/>
    <w:qFormat/>
    <w:uiPriority w:val="0"/>
    <w:pPr>
      <w:spacing w:line="360" w:lineRule="auto"/>
    </w:pPr>
    <w:rPr>
      <w:rFonts w:ascii="宋体" w:hAnsi="宋体" w:eastAsia="宋体"/>
      <w:kern w:val="0"/>
      <w:sz w:val="24"/>
    </w:rPr>
  </w:style>
  <w:style w:type="paragraph" w:customStyle="1" w:styleId="295">
    <w:name w:val="CM124"/>
    <w:basedOn w:val="292"/>
    <w:next w:val="292"/>
    <w:qFormat/>
    <w:uiPriority w:val="0"/>
    <w:pPr>
      <w:spacing w:after="285"/>
    </w:pPr>
    <w:rPr>
      <w:rFonts w:cs="Times New Roman"/>
      <w:color w:val="auto"/>
    </w:rPr>
  </w:style>
  <w:style w:type="paragraph" w:customStyle="1" w:styleId="296">
    <w:name w:val="02表格、图表（修改）"/>
    <w:basedOn w:val="1"/>
    <w:qFormat/>
    <w:uiPriority w:val="0"/>
    <w:pPr>
      <w:snapToGrid w:val="0"/>
      <w:spacing w:line="240" w:lineRule="auto"/>
      <w:jc w:val="center"/>
    </w:pPr>
    <w:rPr>
      <w:rFonts w:eastAsia="宋体" w:cs="宋体"/>
      <w:sz w:val="21"/>
      <w:szCs w:val="20"/>
    </w:rPr>
  </w:style>
  <w:style w:type="paragraph" w:customStyle="1" w:styleId="297">
    <w:name w:val="招标文件1）"/>
    <w:qFormat/>
    <w:uiPriority w:val="0"/>
    <w:pPr>
      <w:numPr>
        <w:ilvl w:val="5"/>
        <w:numId w:val="5"/>
      </w:numPr>
      <w:spacing w:before="120" w:after="120" w:line="300" w:lineRule="auto"/>
      <w:outlineLvl w:val="5"/>
    </w:pPr>
    <w:rPr>
      <w:rFonts w:ascii="宋体" w:hAnsi="Times New Roman" w:eastAsia="宋体" w:cs="Times New Roman"/>
      <w:spacing w:val="10"/>
      <w:w w:val="95"/>
      <w:sz w:val="21"/>
      <w:lang w:val="en-US" w:eastAsia="zh-CN" w:bidi="ar-SA"/>
    </w:rPr>
  </w:style>
  <w:style w:type="paragraph" w:customStyle="1" w:styleId="298">
    <w:name w:val="CM42"/>
    <w:basedOn w:val="292"/>
    <w:next w:val="292"/>
    <w:qFormat/>
    <w:uiPriority w:val="0"/>
    <w:rPr>
      <w:rFonts w:cs="Times New Roman"/>
      <w:color w:val="auto"/>
    </w:rPr>
  </w:style>
  <w:style w:type="paragraph" w:customStyle="1" w:styleId="299">
    <w:name w:val="条文 0"/>
    <w:next w:val="1"/>
    <w:qFormat/>
    <w:uiPriority w:val="0"/>
    <w:pPr>
      <w:numPr>
        <w:ilvl w:val="0"/>
        <w:numId w:val="9"/>
      </w:numPr>
      <w:spacing w:before="240" w:after="240"/>
    </w:pPr>
    <w:rPr>
      <w:rFonts w:ascii="Times New Roman" w:hAnsi="Times New Roman" w:eastAsia="黑体" w:cs="Times New Roman"/>
      <w:sz w:val="21"/>
      <w:lang w:val="en-US" w:eastAsia="zh-CN" w:bidi="ar-SA"/>
    </w:rPr>
  </w:style>
  <w:style w:type="paragraph" w:customStyle="1" w:styleId="300">
    <w:name w:val="Char1"/>
    <w:basedOn w:val="1"/>
    <w:qFormat/>
    <w:uiPriority w:val="0"/>
    <w:pPr>
      <w:spacing w:line="240" w:lineRule="auto"/>
    </w:pPr>
    <w:rPr>
      <w:rFonts w:ascii="Tahoma" w:hAnsi="Tahoma" w:eastAsia="宋体" w:cs="仿宋_GB2312"/>
      <w:sz w:val="24"/>
      <w:szCs w:val="20"/>
    </w:rPr>
  </w:style>
  <w:style w:type="paragraph" w:customStyle="1" w:styleId="301">
    <w:name w:val="正文C"/>
    <w:qFormat/>
    <w:uiPriority w:val="0"/>
    <w:pPr>
      <w:widowControl w:val="0"/>
      <w:adjustRightInd w:val="0"/>
      <w:snapToGrid w:val="0"/>
      <w:spacing w:line="360" w:lineRule="auto"/>
      <w:ind w:right="31" w:rightChars="15" w:firstLine="420" w:firstLineChars="200"/>
      <w:jc w:val="both"/>
    </w:pPr>
    <w:rPr>
      <w:rFonts w:ascii="Times New Roman" w:hAnsi="Times New Roman" w:eastAsia="宋体" w:cs="宋体"/>
      <w:kern w:val="44"/>
      <w:sz w:val="24"/>
      <w:lang w:val="en-US" w:eastAsia="zh-CN" w:bidi="ar-SA"/>
    </w:rPr>
  </w:style>
  <w:style w:type="paragraph" w:customStyle="1" w:styleId="302">
    <w:name w:val="序号3"/>
    <w:basedOn w:val="1"/>
    <w:qFormat/>
    <w:uiPriority w:val="0"/>
    <w:pPr>
      <w:numPr>
        <w:ilvl w:val="0"/>
        <w:numId w:val="10"/>
      </w:numPr>
      <w:tabs>
        <w:tab w:val="left" w:pos="425"/>
      </w:tabs>
      <w:spacing w:line="500" w:lineRule="exact"/>
      <w:ind w:firstLine="0"/>
    </w:pPr>
    <w:rPr>
      <w:rFonts w:eastAsia="宋体"/>
      <w:kern w:val="0"/>
    </w:rPr>
  </w:style>
  <w:style w:type="paragraph" w:customStyle="1" w:styleId="303">
    <w:name w:val="CM8"/>
    <w:basedOn w:val="292"/>
    <w:next w:val="292"/>
    <w:qFormat/>
    <w:uiPriority w:val="0"/>
    <w:rPr>
      <w:rFonts w:cs="Times New Roman"/>
      <w:color w:val="auto"/>
    </w:rPr>
  </w:style>
  <w:style w:type="paragraph" w:customStyle="1" w:styleId="304">
    <w:name w:val="Char11"/>
    <w:basedOn w:val="1"/>
    <w:qFormat/>
    <w:uiPriority w:val="0"/>
    <w:pPr>
      <w:spacing w:line="240" w:lineRule="auto"/>
    </w:pPr>
    <w:rPr>
      <w:rFonts w:ascii="Tahoma" w:hAnsi="Tahoma" w:eastAsia="宋体"/>
      <w:sz w:val="24"/>
      <w:szCs w:val="20"/>
    </w:rPr>
  </w:style>
  <w:style w:type="paragraph" w:customStyle="1" w:styleId="305">
    <w:name w:val="Sub Item List in Table"/>
    <w:basedOn w:val="1"/>
    <w:qFormat/>
    <w:uiPriority w:val="0"/>
    <w:pPr>
      <w:widowControl/>
      <w:tabs>
        <w:tab w:val="left" w:pos="568"/>
      </w:tabs>
      <w:topLinePunct/>
      <w:adjustRightInd w:val="0"/>
      <w:snapToGrid w:val="0"/>
      <w:spacing w:before="80" w:after="80" w:line="240" w:lineRule="atLeast"/>
      <w:ind w:left="568" w:hanging="284"/>
      <w:jc w:val="left"/>
    </w:pPr>
    <w:rPr>
      <w:rFonts w:hint="eastAsia" w:eastAsia="宋体" w:cs="Arial"/>
      <w:sz w:val="21"/>
      <w:szCs w:val="21"/>
    </w:rPr>
  </w:style>
  <w:style w:type="paragraph" w:customStyle="1" w:styleId="306">
    <w:name w:val="条文 3"/>
    <w:next w:val="1"/>
    <w:qFormat/>
    <w:uiPriority w:val="0"/>
    <w:pPr>
      <w:numPr>
        <w:ilvl w:val="3"/>
        <w:numId w:val="9"/>
      </w:numPr>
      <w:spacing w:line="310" w:lineRule="exact"/>
    </w:pPr>
    <w:rPr>
      <w:rFonts w:ascii="Times New Roman" w:hAnsi="Times New Roman" w:eastAsia="黑体" w:cs="Times New Roman"/>
      <w:sz w:val="21"/>
      <w:lang w:val="en-US" w:eastAsia="zh-CN" w:bidi="ar-SA"/>
    </w:rPr>
  </w:style>
  <w:style w:type="paragraph" w:customStyle="1" w:styleId="307">
    <w:name w:val="条款"/>
    <w:basedOn w:val="45"/>
    <w:qFormat/>
    <w:uiPriority w:val="0"/>
    <w:pPr>
      <w:tabs>
        <w:tab w:val="left" w:pos="984"/>
      </w:tabs>
      <w:adjustRightInd w:val="0"/>
      <w:snapToGrid w:val="0"/>
      <w:spacing w:line="360" w:lineRule="auto"/>
      <w:ind w:left="84" w:leftChars="40"/>
      <w:jc w:val="center"/>
    </w:pPr>
    <w:rPr>
      <w:rFonts w:ascii="Times New Roman" w:hAnsi="Times New Roman" w:eastAsia="宋体"/>
      <w:bCs/>
      <w:sz w:val="24"/>
      <w:szCs w:val="24"/>
      <w:lang w:val="en-US"/>
    </w:rPr>
  </w:style>
  <w:style w:type="paragraph" w:customStyle="1" w:styleId="308">
    <w:name w:val="标书二级标题，自动编号"/>
    <w:basedOn w:val="1"/>
    <w:qFormat/>
    <w:uiPriority w:val="0"/>
    <w:pPr>
      <w:keepNext/>
      <w:keepLines/>
      <w:spacing w:before="160" w:after="160" w:line="415" w:lineRule="auto"/>
      <w:jc w:val="left"/>
      <w:outlineLvl w:val="2"/>
    </w:pPr>
    <w:rPr>
      <w:rFonts w:eastAsia="宋体"/>
      <w:b/>
      <w:bCs/>
      <w:szCs w:val="32"/>
    </w:rPr>
  </w:style>
  <w:style w:type="paragraph" w:customStyle="1" w:styleId="309">
    <w:name w:val="Char12"/>
    <w:basedOn w:val="1"/>
    <w:qFormat/>
    <w:uiPriority w:val="0"/>
    <w:pPr>
      <w:spacing w:line="240" w:lineRule="auto"/>
    </w:pPr>
    <w:rPr>
      <w:rFonts w:ascii="Tahoma" w:hAnsi="Tahoma" w:eastAsia="宋体"/>
      <w:sz w:val="24"/>
      <w:szCs w:val="20"/>
    </w:rPr>
  </w:style>
  <w:style w:type="paragraph" w:customStyle="1" w:styleId="310">
    <w:name w:val="标题-1"/>
    <w:qFormat/>
    <w:uiPriority w:val="0"/>
    <w:pPr>
      <w:spacing w:after="360"/>
      <w:ind w:left="851"/>
      <w:outlineLvl w:val="0"/>
    </w:pPr>
    <w:rPr>
      <w:rFonts w:ascii="Arial" w:hAnsi="Arial" w:eastAsia="黑体" w:cs="Times New Roman"/>
      <w:b/>
      <w:sz w:val="36"/>
      <w:lang w:val="en-US" w:eastAsia="zh-CN" w:bidi="ar-SA"/>
    </w:rPr>
  </w:style>
  <w:style w:type="paragraph" w:customStyle="1" w:styleId="311">
    <w:name w:val="表格1"/>
    <w:qFormat/>
    <w:uiPriority w:val="0"/>
    <w:pPr>
      <w:keepNext/>
      <w:jc w:val="center"/>
    </w:pPr>
    <w:rPr>
      <w:rFonts w:ascii="宋体" w:hAnsi="Times New Roman" w:eastAsia="宋体" w:cs="Times New Roman"/>
      <w:snapToGrid w:val="0"/>
      <w:spacing w:val="6"/>
      <w:w w:val="95"/>
      <w:sz w:val="24"/>
      <w:lang w:val="en-US" w:eastAsia="zh-CN" w:bidi="ar-SA"/>
    </w:rPr>
  </w:style>
  <w:style w:type="paragraph" w:customStyle="1" w:styleId="312">
    <w:name w:val="正文文本2"/>
    <w:qFormat/>
    <w:uiPriority w:val="0"/>
    <w:pPr>
      <w:widowControl w:val="0"/>
      <w:autoSpaceDE w:val="0"/>
      <w:autoSpaceDN w:val="0"/>
      <w:adjustRightInd w:val="0"/>
      <w:spacing w:before="170" w:line="300" w:lineRule="atLeast"/>
      <w:jc w:val="both"/>
    </w:pPr>
    <w:rPr>
      <w:rFonts w:ascii="宋体" w:hAnsi="宋体" w:eastAsia="宋体" w:cs="Times New Roman"/>
      <w:b/>
      <w:bCs/>
      <w:kern w:val="2"/>
      <w:sz w:val="24"/>
      <w:szCs w:val="24"/>
      <w:lang w:val="en-US" w:eastAsia="zh-CN" w:bidi="ar-SA"/>
    </w:rPr>
  </w:style>
  <w:style w:type="paragraph" w:customStyle="1" w:styleId="313">
    <w:name w:val="末级"/>
    <w:basedOn w:val="1"/>
    <w:qFormat/>
    <w:uiPriority w:val="0"/>
    <w:pPr>
      <w:tabs>
        <w:tab w:val="left" w:pos="960"/>
      </w:tabs>
      <w:spacing w:line="360" w:lineRule="auto"/>
      <w:ind w:firstLine="420" w:firstLineChars="200"/>
      <w:jc w:val="left"/>
    </w:pPr>
    <w:rPr>
      <w:rFonts w:eastAsia="宋体"/>
      <w:sz w:val="24"/>
    </w:rPr>
  </w:style>
  <w:style w:type="paragraph" w:customStyle="1" w:styleId="314">
    <w:name w:val="招标文件1"/>
    <w:basedOn w:val="1"/>
    <w:qFormat/>
    <w:uiPriority w:val="0"/>
    <w:pPr>
      <w:numPr>
        <w:ilvl w:val="1"/>
        <w:numId w:val="5"/>
      </w:numPr>
      <w:tabs>
        <w:tab w:val="left" w:pos="420"/>
      </w:tabs>
      <w:spacing w:before="120" w:after="120"/>
      <w:jc w:val="left"/>
      <w:outlineLvl w:val="1"/>
    </w:pPr>
    <w:rPr>
      <w:rFonts w:ascii="宋体" w:eastAsia="宋体"/>
      <w:b/>
      <w:spacing w:val="10"/>
      <w:w w:val="95"/>
      <w:kern w:val="0"/>
    </w:rPr>
  </w:style>
  <w:style w:type="paragraph" w:customStyle="1" w:styleId="315">
    <w:name w:val="表头样式"/>
    <w:basedOn w:val="316"/>
    <w:qFormat/>
    <w:uiPriority w:val="0"/>
    <w:pPr>
      <w:adjustRightInd w:val="0"/>
      <w:snapToGrid w:val="0"/>
      <w:spacing w:line="300" w:lineRule="exact"/>
    </w:pPr>
    <w:rPr>
      <w:rFonts w:eastAsia="楷体_GB2312" w:cs="宋体"/>
      <w:snapToGrid/>
      <w:color w:val="auto"/>
      <w:kern w:val="2"/>
    </w:rPr>
  </w:style>
  <w:style w:type="paragraph" w:customStyle="1" w:styleId="316">
    <w:name w:val="表格文本"/>
    <w:basedOn w:val="1"/>
    <w:qFormat/>
    <w:uiPriority w:val="0"/>
    <w:pPr>
      <w:spacing w:line="360" w:lineRule="auto"/>
      <w:jc w:val="center"/>
    </w:pPr>
    <w:rPr>
      <w:rFonts w:ascii="Arial" w:hAnsi="Arial" w:eastAsia="宋体" w:cs="Arial"/>
      <w:snapToGrid w:val="0"/>
      <w:color w:val="000000"/>
      <w:kern w:val="0"/>
      <w:sz w:val="21"/>
      <w:szCs w:val="20"/>
    </w:rPr>
  </w:style>
  <w:style w:type="paragraph" w:customStyle="1" w:styleId="317">
    <w:name w:val="节标题_1"/>
    <w:basedOn w:val="1"/>
    <w:next w:val="1"/>
    <w:qFormat/>
    <w:uiPriority w:val="0"/>
    <w:pPr>
      <w:keepNext/>
      <w:keepLines/>
      <w:widowControl/>
      <w:tabs>
        <w:tab w:val="left" w:pos="1418"/>
      </w:tabs>
      <w:spacing w:before="360" w:line="240" w:lineRule="auto"/>
      <w:ind w:left="1418" w:hanging="1418"/>
      <w:jc w:val="left"/>
    </w:pPr>
    <w:rPr>
      <w:rFonts w:ascii="Arial" w:hAnsi="Arial" w:eastAsia="黑体"/>
      <w:b/>
      <w:kern w:val="0"/>
      <w:sz w:val="32"/>
      <w:szCs w:val="20"/>
    </w:rPr>
  </w:style>
  <w:style w:type="paragraph" w:customStyle="1" w:styleId="318">
    <w:name w:val="Bullet 2"/>
    <w:basedOn w:val="1"/>
    <w:qFormat/>
    <w:uiPriority w:val="0"/>
    <w:pPr>
      <w:widowControl/>
      <w:tabs>
        <w:tab w:val="left" w:pos="360"/>
      </w:tabs>
      <w:spacing w:line="240" w:lineRule="auto"/>
      <w:ind w:left="360" w:hanging="360"/>
    </w:pPr>
    <w:rPr>
      <w:rFonts w:ascii="Arial" w:hAnsi="Arial" w:eastAsia="仿宋_GB2312"/>
      <w:kern w:val="0"/>
      <w:sz w:val="24"/>
      <w:szCs w:val="20"/>
      <w:lang w:val="en-GB" w:eastAsia="en-US"/>
    </w:rPr>
  </w:style>
  <w:style w:type="paragraph" w:customStyle="1" w:styleId="319">
    <w:name w:val="青岛正文"/>
    <w:basedOn w:val="1"/>
    <w:qFormat/>
    <w:uiPriority w:val="0"/>
    <w:pPr>
      <w:spacing w:line="360" w:lineRule="auto"/>
    </w:pPr>
    <w:rPr>
      <w:rFonts w:eastAsia="宋体"/>
    </w:rPr>
  </w:style>
  <w:style w:type="paragraph" w:customStyle="1" w:styleId="320">
    <w:name w:val="条文 5"/>
    <w:next w:val="1"/>
    <w:qFormat/>
    <w:uiPriority w:val="0"/>
    <w:pPr>
      <w:numPr>
        <w:ilvl w:val="6"/>
        <w:numId w:val="9"/>
      </w:numPr>
      <w:spacing w:line="310" w:lineRule="exact"/>
    </w:pPr>
    <w:rPr>
      <w:rFonts w:ascii="Times New Roman" w:hAnsi="Times New Roman" w:eastAsia="黑体" w:cs="Times New Roman"/>
      <w:sz w:val="21"/>
      <w:lang w:val="en-US" w:eastAsia="zh-CN" w:bidi="ar-SA"/>
    </w:rPr>
  </w:style>
  <w:style w:type="paragraph" w:customStyle="1" w:styleId="321">
    <w:name w:val="CM71"/>
    <w:basedOn w:val="292"/>
    <w:next w:val="292"/>
    <w:qFormat/>
    <w:uiPriority w:val="0"/>
    <w:pPr>
      <w:spacing w:after="195"/>
    </w:pPr>
    <w:rPr>
      <w:rFonts w:cs="Times New Roman"/>
      <w:color w:val="auto"/>
    </w:rPr>
  </w:style>
  <w:style w:type="paragraph" w:customStyle="1" w:styleId="322">
    <w:name w:val="图注"/>
    <w:qFormat/>
    <w:uiPriority w:val="0"/>
    <w:pPr>
      <w:widowControl w:val="0"/>
      <w:adjustRightInd w:val="0"/>
      <w:snapToGrid w:val="0"/>
      <w:spacing w:line="360" w:lineRule="auto"/>
      <w:jc w:val="center"/>
    </w:pPr>
    <w:rPr>
      <w:rFonts w:ascii="Times New Roman" w:hAnsi="Times New Roman" w:eastAsia="黑体" w:cs="Times New Roman"/>
      <w:b/>
      <w:sz w:val="24"/>
      <w:szCs w:val="21"/>
      <w:lang w:val="en-US" w:eastAsia="zh-CN" w:bidi="ar-SA"/>
    </w:rPr>
  </w:style>
  <w:style w:type="paragraph" w:customStyle="1" w:styleId="323">
    <w:name w:val="正文（首行缩进4字）"/>
    <w:basedOn w:val="21"/>
    <w:qFormat/>
    <w:uiPriority w:val="0"/>
    <w:pPr>
      <w:tabs>
        <w:tab w:val="left" w:pos="709"/>
      </w:tabs>
      <w:spacing w:line="500" w:lineRule="exact"/>
      <w:ind w:left="1120" w:firstLine="0"/>
    </w:pPr>
    <w:rPr>
      <w:rFonts w:eastAsia="宋体"/>
    </w:rPr>
  </w:style>
  <w:style w:type="paragraph" w:customStyle="1" w:styleId="324">
    <w:name w:val="列表框"/>
    <w:qFormat/>
    <w:uiPriority w:val="0"/>
    <w:pPr>
      <w:numPr>
        <w:ilvl w:val="0"/>
        <w:numId w:val="11"/>
      </w:numPr>
      <w:tabs>
        <w:tab w:val="left" w:pos="620"/>
        <w:tab w:val="left" w:pos="840"/>
      </w:tabs>
      <w:adjustRightInd w:val="0"/>
      <w:snapToGrid w:val="0"/>
      <w:spacing w:line="400" w:lineRule="exact"/>
    </w:pPr>
    <w:rPr>
      <w:rFonts w:ascii="Times New Roman" w:hAnsi="Times New Roman" w:eastAsia="宋体" w:cs="Times New Roman"/>
      <w:spacing w:val="10"/>
      <w:sz w:val="21"/>
      <w:szCs w:val="21"/>
      <w:lang w:val="en-US" w:eastAsia="zh-CN" w:bidi="ar-SA"/>
    </w:rPr>
  </w:style>
  <w:style w:type="paragraph" w:customStyle="1" w:styleId="325">
    <w:name w:val="a"/>
    <w:basedOn w:val="1"/>
    <w:qFormat/>
    <w:uiPriority w:val="0"/>
    <w:pPr>
      <w:widowControl/>
      <w:spacing w:before="100" w:beforeAutospacing="1" w:after="100" w:afterAutospacing="1" w:line="240" w:lineRule="auto"/>
      <w:jc w:val="left"/>
    </w:pPr>
    <w:rPr>
      <w:rFonts w:ascii="宋体" w:hAnsi="宋体" w:eastAsia="宋体" w:cs="宋体"/>
      <w:kern w:val="0"/>
      <w:sz w:val="24"/>
    </w:rPr>
  </w:style>
  <w:style w:type="paragraph" w:customStyle="1" w:styleId="326">
    <w:name w:val="列表框1 Char"/>
    <w:basedOn w:val="1"/>
    <w:next w:val="1"/>
    <w:qFormat/>
    <w:uiPriority w:val="0"/>
    <w:pPr>
      <w:numPr>
        <w:ilvl w:val="0"/>
        <w:numId w:val="12"/>
      </w:numPr>
      <w:tabs>
        <w:tab w:val="left" w:pos="2018"/>
        <w:tab w:val="left" w:pos="2086"/>
        <w:tab w:val="left" w:pos="2325"/>
      </w:tabs>
      <w:adjustRightInd w:val="0"/>
      <w:snapToGrid w:val="0"/>
      <w:spacing w:afterLines="50" w:line="320" w:lineRule="exact"/>
      <w:ind w:left="2031" w:leftChars="665" w:hanging="435" w:hangingChars="189"/>
      <w:jc w:val="left"/>
    </w:pPr>
    <w:rPr>
      <w:rFonts w:ascii="Arial" w:hAnsi="Arial" w:eastAsia="楷体_GB2312" w:cs="Arial"/>
      <w:spacing w:val="10"/>
      <w:sz w:val="21"/>
    </w:rPr>
  </w:style>
  <w:style w:type="paragraph" w:customStyle="1" w:styleId="327">
    <w:name w:val="标书一级标题，自动编号"/>
    <w:basedOn w:val="1"/>
    <w:qFormat/>
    <w:uiPriority w:val="0"/>
    <w:pPr>
      <w:keepNext/>
      <w:keepLines/>
      <w:spacing w:before="240" w:after="240" w:line="415" w:lineRule="auto"/>
      <w:jc w:val="left"/>
      <w:outlineLvl w:val="1"/>
    </w:pPr>
    <w:rPr>
      <w:rFonts w:ascii="Arial" w:hAnsi="Arial" w:eastAsia="黑体"/>
      <w:b/>
      <w:bCs/>
      <w:sz w:val="30"/>
      <w:szCs w:val="32"/>
    </w:rPr>
  </w:style>
  <w:style w:type="paragraph" w:customStyle="1" w:styleId="328">
    <w:name w:val="Headline"/>
    <w:qFormat/>
    <w:uiPriority w:val="0"/>
    <w:pPr>
      <w:pageBreakBefore/>
      <w:widowControl w:val="0"/>
      <w:tabs>
        <w:tab w:val="left" w:pos="2552"/>
      </w:tabs>
      <w:autoSpaceDE w:val="0"/>
      <w:autoSpaceDN w:val="0"/>
      <w:adjustRightInd w:val="0"/>
      <w:spacing w:before="400" w:after="400" w:line="900" w:lineRule="atLeast"/>
    </w:pPr>
    <w:rPr>
      <w:rFonts w:ascii="Arial" w:hAnsi="Arial" w:eastAsia="黑体" w:cs="Times New Roman"/>
      <w:b/>
      <w:sz w:val="52"/>
      <w:lang w:val="en-US" w:eastAsia="zh-CN" w:bidi="ar-SA"/>
    </w:rPr>
  </w:style>
  <w:style w:type="paragraph" w:customStyle="1" w:styleId="329">
    <w:name w:val="序号1"/>
    <w:basedOn w:val="1"/>
    <w:qFormat/>
    <w:uiPriority w:val="0"/>
    <w:pPr>
      <w:numPr>
        <w:ilvl w:val="0"/>
        <w:numId w:val="13"/>
      </w:numPr>
      <w:tabs>
        <w:tab w:val="left" w:pos="1134"/>
      </w:tabs>
      <w:spacing w:line="500" w:lineRule="exact"/>
      <w:ind w:left="0" w:firstLine="566" w:firstLineChars="202"/>
    </w:pPr>
    <w:rPr>
      <w:rFonts w:eastAsia="宋体"/>
      <w:kern w:val="0"/>
    </w:rPr>
  </w:style>
  <w:style w:type="paragraph" w:customStyle="1" w:styleId="330">
    <w:name w:val="CM125"/>
    <w:basedOn w:val="292"/>
    <w:next w:val="292"/>
    <w:qFormat/>
    <w:uiPriority w:val="0"/>
    <w:pPr>
      <w:spacing w:after="125"/>
    </w:pPr>
    <w:rPr>
      <w:rFonts w:cs="Times New Roman"/>
      <w:color w:val="auto"/>
    </w:rPr>
  </w:style>
  <w:style w:type="paragraph" w:customStyle="1" w:styleId="331">
    <w:name w:val="样式 标题 1 + 五号"/>
    <w:basedOn w:val="3"/>
    <w:qFormat/>
    <w:uiPriority w:val="0"/>
    <w:pPr>
      <w:keepNext/>
      <w:keepLines/>
      <w:numPr>
        <w:ilvl w:val="0"/>
        <w:numId w:val="14"/>
      </w:numPr>
      <w:tabs>
        <w:tab w:val="left" w:pos="454"/>
      </w:tabs>
      <w:spacing w:before="0" w:after="0" w:line="360" w:lineRule="auto"/>
      <w:jc w:val="both"/>
    </w:pPr>
    <w:rPr>
      <w:rFonts w:eastAsia="宋体"/>
      <w:sz w:val="24"/>
      <w:szCs w:val="24"/>
    </w:rPr>
  </w:style>
  <w:style w:type="paragraph" w:customStyle="1" w:styleId="332">
    <w:name w:val="条文 1"/>
    <w:next w:val="1"/>
    <w:qFormat/>
    <w:uiPriority w:val="0"/>
    <w:pPr>
      <w:numPr>
        <w:ilvl w:val="1"/>
        <w:numId w:val="9"/>
      </w:numPr>
      <w:spacing w:line="310" w:lineRule="exact"/>
    </w:pPr>
    <w:rPr>
      <w:rFonts w:ascii="Times New Roman" w:hAnsi="Times New Roman" w:eastAsia="黑体" w:cs="Times New Roman"/>
      <w:sz w:val="21"/>
      <w:lang w:val="en-US" w:eastAsia="zh-CN" w:bidi="ar-SA"/>
    </w:rPr>
  </w:style>
  <w:style w:type="paragraph" w:customStyle="1" w:styleId="333">
    <w:name w:val="Char Char Char"/>
    <w:basedOn w:val="1"/>
    <w:qFormat/>
    <w:uiPriority w:val="0"/>
    <w:pPr>
      <w:adjustRightInd w:val="0"/>
      <w:spacing w:line="360" w:lineRule="auto"/>
    </w:pPr>
    <w:rPr>
      <w:rFonts w:eastAsia="宋体"/>
      <w:kern w:val="0"/>
      <w:sz w:val="24"/>
      <w:szCs w:val="20"/>
    </w:rPr>
  </w:style>
  <w:style w:type="paragraph" w:customStyle="1" w:styleId="334">
    <w:name w:val="CM56"/>
    <w:basedOn w:val="292"/>
    <w:next w:val="292"/>
    <w:qFormat/>
    <w:uiPriority w:val="0"/>
    <w:rPr>
      <w:rFonts w:cs="Times New Roman"/>
      <w:color w:val="auto"/>
    </w:rPr>
  </w:style>
  <w:style w:type="paragraph" w:customStyle="1" w:styleId="335">
    <w:name w:val="样式 标题 2 + 五号"/>
    <w:basedOn w:val="4"/>
    <w:qFormat/>
    <w:uiPriority w:val="0"/>
    <w:pPr>
      <w:keepNext/>
      <w:keepLines/>
      <w:numPr>
        <w:numId w:val="14"/>
      </w:numPr>
      <w:tabs>
        <w:tab w:val="left" w:pos="794"/>
        <w:tab w:val="left" w:pos="992"/>
      </w:tabs>
      <w:adjustRightInd w:val="0"/>
      <w:spacing w:before="0" w:after="0" w:line="360" w:lineRule="auto"/>
      <w:ind w:left="794" w:hanging="340"/>
      <w:jc w:val="both"/>
    </w:pPr>
    <w:rPr>
      <w:rFonts w:ascii="Arial" w:hAnsi="Arial" w:eastAsia="黑体"/>
      <w:bCs w:val="0"/>
      <w:sz w:val="24"/>
      <w:szCs w:val="24"/>
    </w:rPr>
  </w:style>
  <w:style w:type="paragraph" w:customStyle="1" w:styleId="336">
    <w:name w:val="条文 表"/>
    <w:next w:val="1"/>
    <w:qFormat/>
    <w:uiPriority w:val="0"/>
    <w:pPr>
      <w:numPr>
        <w:ilvl w:val="7"/>
        <w:numId w:val="9"/>
      </w:numPr>
      <w:jc w:val="center"/>
    </w:pPr>
    <w:rPr>
      <w:rFonts w:ascii="Times New Roman" w:hAnsi="Times New Roman" w:eastAsia="黑体" w:cs="Times New Roman"/>
      <w:sz w:val="21"/>
      <w:lang w:val="en-US" w:eastAsia="zh-CN" w:bidi="ar-SA"/>
    </w:rPr>
  </w:style>
  <w:style w:type="paragraph" w:customStyle="1" w:styleId="337">
    <w:name w:val="五号线1"/>
    <w:qFormat/>
    <w:uiPriority w:val="0"/>
    <w:pPr>
      <w:pageBreakBefore/>
      <w:tabs>
        <w:tab w:val="left" w:pos="720"/>
        <w:tab w:val="left" w:pos="1385"/>
      </w:tabs>
      <w:spacing w:before="120" w:after="120" w:line="500" w:lineRule="exact"/>
      <w:ind w:left="720" w:hanging="720"/>
      <w:jc w:val="center"/>
    </w:pPr>
    <w:rPr>
      <w:rFonts w:ascii="宋体" w:hAnsi="Times New Roman" w:eastAsia="宋体" w:cs="Times New Roman"/>
      <w:b/>
      <w:spacing w:val="6"/>
      <w:w w:val="95"/>
      <w:sz w:val="36"/>
      <w:lang w:val="en-US" w:eastAsia="zh-CN" w:bidi="ar-SA"/>
    </w:rPr>
  </w:style>
  <w:style w:type="paragraph" w:customStyle="1" w:styleId="338">
    <w:name w:val="column"/>
    <w:basedOn w:val="1"/>
    <w:semiHidden/>
    <w:qFormat/>
    <w:uiPriority w:val="99"/>
    <w:pPr>
      <w:spacing w:before="100" w:beforeAutospacing="1" w:after="100" w:afterAutospacing="1" w:line="360" w:lineRule="auto"/>
    </w:pPr>
    <w:rPr>
      <w:rFonts w:ascii="Calibri" w:hAnsi="Calibri" w:eastAsia="宋体"/>
      <w:sz w:val="24"/>
      <w:szCs w:val="22"/>
    </w:rPr>
  </w:style>
  <w:style w:type="paragraph" w:customStyle="1" w:styleId="339">
    <w:name w:val="CM76"/>
    <w:basedOn w:val="292"/>
    <w:next w:val="292"/>
    <w:qFormat/>
    <w:uiPriority w:val="0"/>
    <w:pPr>
      <w:spacing w:after="603"/>
    </w:pPr>
    <w:rPr>
      <w:rFonts w:cs="Times New Roman"/>
      <w:color w:val="auto"/>
    </w:rPr>
  </w:style>
  <w:style w:type="paragraph" w:customStyle="1" w:styleId="340">
    <w:name w:val="样式 目录 2 + 左侧:  2 字符"/>
    <w:basedOn w:val="74"/>
    <w:qFormat/>
    <w:uiPriority w:val="0"/>
    <w:pPr>
      <w:spacing w:line="360" w:lineRule="auto"/>
      <w:ind w:left="480" w:leftChars="200"/>
      <w:jc w:val="both"/>
    </w:pPr>
    <w:rPr>
      <w:rFonts w:ascii="Times New Roman" w:hAnsi="Times New Roman" w:eastAsia="宋体" w:cs="宋体"/>
      <w:smallCaps w:val="0"/>
      <w:sz w:val="24"/>
    </w:rPr>
  </w:style>
  <w:style w:type="paragraph" w:customStyle="1" w:styleId="341">
    <w:name w:val="CM15"/>
    <w:basedOn w:val="292"/>
    <w:next w:val="292"/>
    <w:qFormat/>
    <w:uiPriority w:val="0"/>
    <w:pPr>
      <w:spacing w:line="540" w:lineRule="atLeast"/>
    </w:pPr>
    <w:rPr>
      <w:rFonts w:cs="Times New Roman"/>
      <w:color w:val="auto"/>
    </w:rPr>
  </w:style>
  <w:style w:type="paragraph" w:customStyle="1" w:styleId="342">
    <w:name w:val="Sub Item List in Table Step"/>
    <w:basedOn w:val="1"/>
    <w:qFormat/>
    <w:uiPriority w:val="0"/>
    <w:pPr>
      <w:widowControl/>
      <w:tabs>
        <w:tab w:val="left" w:pos="568"/>
      </w:tabs>
      <w:topLinePunct/>
      <w:adjustRightInd w:val="0"/>
      <w:snapToGrid w:val="0"/>
      <w:spacing w:before="80" w:after="80" w:line="240" w:lineRule="atLeast"/>
      <w:ind w:left="568" w:hanging="284"/>
      <w:jc w:val="left"/>
    </w:pPr>
    <w:rPr>
      <w:rFonts w:hint="eastAsia" w:eastAsia="宋体" w:cs="Arial"/>
      <w:sz w:val="21"/>
      <w:szCs w:val="21"/>
    </w:rPr>
  </w:style>
  <w:style w:type="paragraph" w:customStyle="1" w:styleId="343">
    <w:name w:val="Table of Contents"/>
    <w:basedOn w:val="84"/>
    <w:qFormat/>
    <w:uiPriority w:val="0"/>
    <w:pPr>
      <w:widowControl/>
      <w:numPr>
        <w:ilvl w:val="0"/>
        <w:numId w:val="0"/>
      </w:numPr>
      <w:spacing w:after="480" w:line="240" w:lineRule="auto"/>
    </w:pPr>
    <w:rPr>
      <w:rFonts w:ascii="B Frutiger Bold" w:hAnsi="B Frutiger Bold" w:eastAsia="宋体"/>
      <w:bCs w:val="0"/>
      <w:kern w:val="0"/>
      <w:sz w:val="24"/>
      <w:szCs w:val="20"/>
      <w:lang w:val="en-AU"/>
    </w:rPr>
  </w:style>
  <w:style w:type="paragraph" w:customStyle="1" w:styleId="344">
    <w:name w:val="CM4"/>
    <w:basedOn w:val="292"/>
    <w:next w:val="292"/>
    <w:qFormat/>
    <w:uiPriority w:val="0"/>
    <w:pPr>
      <w:spacing w:line="540" w:lineRule="atLeast"/>
    </w:pPr>
    <w:rPr>
      <w:rFonts w:cs="Times New Roman"/>
      <w:color w:val="auto"/>
    </w:rPr>
  </w:style>
  <w:style w:type="paragraph" w:customStyle="1" w:styleId="345">
    <w:name w:val="CAUTION Text Step"/>
    <w:basedOn w:val="1"/>
    <w:qFormat/>
    <w:uiPriority w:val="0"/>
    <w:pPr>
      <w:keepNext/>
      <w:keepLines/>
      <w:widowControl/>
      <w:pBdr>
        <w:bottom w:val="single" w:color="auto" w:sz="12" w:space="4"/>
      </w:pBdr>
      <w:tabs>
        <w:tab w:val="left" w:pos="1985"/>
      </w:tabs>
      <w:topLinePunct/>
      <w:adjustRightInd w:val="0"/>
      <w:snapToGrid w:val="0"/>
      <w:spacing w:before="80" w:after="80" w:line="240" w:lineRule="atLeast"/>
      <w:ind w:left="1985" w:hanging="284"/>
      <w:jc w:val="left"/>
    </w:pPr>
    <w:rPr>
      <w:rFonts w:hint="eastAsia" w:eastAsia="楷体_GB2312" w:cs="Arial"/>
      <w:iCs/>
      <w:sz w:val="21"/>
      <w:szCs w:val="21"/>
    </w:rPr>
  </w:style>
  <w:style w:type="paragraph" w:customStyle="1" w:styleId="346">
    <w:name w:val="小标题一"/>
    <w:basedOn w:val="1"/>
    <w:next w:val="1"/>
    <w:qFormat/>
    <w:uiPriority w:val="0"/>
    <w:pPr>
      <w:tabs>
        <w:tab w:val="left" w:pos="2556"/>
      </w:tabs>
      <w:spacing w:line="500" w:lineRule="exact"/>
      <w:ind w:left="2184"/>
    </w:pPr>
    <w:rPr>
      <w:rFonts w:eastAsia="宋体"/>
      <w:szCs w:val="20"/>
    </w:rPr>
  </w:style>
  <w:style w:type="paragraph" w:customStyle="1" w:styleId="347">
    <w:name w:val="Char21"/>
    <w:basedOn w:val="1"/>
    <w:qFormat/>
    <w:uiPriority w:val="0"/>
    <w:pPr>
      <w:spacing w:line="240" w:lineRule="auto"/>
    </w:pPr>
    <w:rPr>
      <w:rFonts w:ascii="Tahoma" w:hAnsi="Tahoma" w:eastAsia="宋体"/>
      <w:sz w:val="24"/>
      <w:szCs w:val="20"/>
    </w:rPr>
  </w:style>
  <w:style w:type="paragraph" w:customStyle="1" w:styleId="348">
    <w:name w:val="标书正文"/>
    <w:basedOn w:val="1"/>
    <w:qFormat/>
    <w:uiPriority w:val="0"/>
    <w:pPr>
      <w:spacing w:line="360" w:lineRule="auto"/>
      <w:ind w:firstLine="200" w:firstLineChars="200"/>
    </w:pPr>
    <w:rPr>
      <w:rFonts w:eastAsia="宋体"/>
      <w:sz w:val="24"/>
    </w:rPr>
  </w:style>
  <w:style w:type="paragraph" w:customStyle="1" w:styleId="349">
    <w:name w:val="CM7"/>
    <w:basedOn w:val="292"/>
    <w:next w:val="292"/>
    <w:qFormat/>
    <w:uiPriority w:val="0"/>
    <w:pPr>
      <w:spacing w:line="628" w:lineRule="atLeast"/>
    </w:pPr>
    <w:rPr>
      <w:rFonts w:cs="Times New Roman"/>
      <w:color w:val="auto"/>
    </w:rPr>
  </w:style>
  <w:style w:type="paragraph" w:customStyle="1" w:styleId="350">
    <w:name w:val="Body2a"/>
    <w:basedOn w:val="1"/>
    <w:next w:val="1"/>
    <w:qFormat/>
    <w:uiPriority w:val="0"/>
    <w:pPr>
      <w:keepNext/>
      <w:widowControl/>
      <w:tabs>
        <w:tab w:val="left" w:pos="2592"/>
      </w:tabs>
      <w:spacing w:line="240" w:lineRule="auto"/>
      <w:ind w:left="1152"/>
      <w:jc w:val="left"/>
    </w:pPr>
    <w:rPr>
      <w:rFonts w:ascii="Arial" w:hAnsi="Arial" w:eastAsia="PMingLiU"/>
      <w:kern w:val="0"/>
      <w:sz w:val="24"/>
      <w:szCs w:val="20"/>
      <w:lang w:val="en-GB" w:eastAsia="zh-TW"/>
    </w:rPr>
  </w:style>
  <w:style w:type="paragraph" w:customStyle="1" w:styleId="351">
    <w:name w:val="自由格式"/>
    <w:qFormat/>
    <w:uiPriority w:val="0"/>
    <w:rPr>
      <w:rFonts w:ascii="Times New Roman" w:hAnsi="Times New Roman" w:eastAsia="ヒラギノ角ゴ Pro W3" w:cs="Times New Roman"/>
      <w:color w:val="000000"/>
      <w:lang w:val="en-US" w:eastAsia="zh-CN" w:bidi="ar-SA"/>
    </w:rPr>
  </w:style>
  <w:style w:type="paragraph" w:customStyle="1" w:styleId="352">
    <w:name w:val="样式 样式 首行缩进:  2 字符 + 首行缩进:  2 字符 段前: 1 行"/>
    <w:basedOn w:val="142"/>
    <w:qFormat/>
    <w:uiPriority w:val="0"/>
    <w:pPr>
      <w:spacing w:before="0" w:beforeLines="0" w:after="0" w:afterLines="0" w:line="500" w:lineRule="exact"/>
      <w:ind w:firstLine="200"/>
    </w:pPr>
    <w:rPr>
      <w:rFonts w:eastAsia="宋体"/>
      <w:color w:val="auto"/>
      <w:kern w:val="0"/>
      <w:sz w:val="24"/>
      <w:lang w:val="en-US"/>
    </w:rPr>
  </w:style>
  <w:style w:type="paragraph" w:customStyle="1" w:styleId="353">
    <w:name w:val="样式 标题 4 + 宋体"/>
    <w:basedOn w:val="6"/>
    <w:qFormat/>
    <w:uiPriority w:val="0"/>
    <w:pPr>
      <w:numPr>
        <w:numId w:val="15"/>
      </w:numPr>
      <w:tabs>
        <w:tab w:val="left" w:pos="720"/>
        <w:tab w:val="left" w:pos="1134"/>
      </w:tabs>
      <w:autoSpaceDE w:val="0"/>
      <w:autoSpaceDN w:val="0"/>
      <w:spacing w:line="360" w:lineRule="auto"/>
    </w:pPr>
    <w:rPr>
      <w:rFonts w:ascii="宋体" w:hAnsi="宋体" w:eastAsia="宋体"/>
      <w:bCs w:val="0"/>
      <w:sz w:val="21"/>
      <w:szCs w:val="20"/>
      <w:shd w:val="clear" w:color="auto" w:fill="FFFFFF"/>
    </w:rPr>
  </w:style>
  <w:style w:type="paragraph" w:customStyle="1" w:styleId="354">
    <w:name w:val="CM21"/>
    <w:basedOn w:val="292"/>
    <w:next w:val="292"/>
    <w:qFormat/>
    <w:uiPriority w:val="0"/>
    <w:pPr>
      <w:spacing w:line="626" w:lineRule="atLeast"/>
    </w:pPr>
    <w:rPr>
      <w:rFonts w:cs="Times New Roman"/>
      <w:color w:val="auto"/>
    </w:rPr>
  </w:style>
  <w:style w:type="paragraph" w:customStyle="1" w:styleId="355">
    <w:name w:val="表格内文"/>
    <w:basedOn w:val="1"/>
    <w:qFormat/>
    <w:uiPriority w:val="0"/>
    <w:pPr>
      <w:spacing w:before="50" w:line="360" w:lineRule="auto"/>
      <w:jc w:val="center"/>
    </w:pPr>
    <w:rPr>
      <w:rFonts w:ascii="宋体" w:eastAsia="宋体"/>
      <w:sz w:val="21"/>
    </w:rPr>
  </w:style>
  <w:style w:type="paragraph" w:customStyle="1" w:styleId="356">
    <w:name w:val="样式 样式 标题 1 + 五号 + (符号) 宋体"/>
    <w:basedOn w:val="331"/>
    <w:qFormat/>
    <w:uiPriority w:val="0"/>
    <w:pPr>
      <w:ind w:left="454"/>
    </w:pPr>
    <w:rPr>
      <w:sz w:val="28"/>
      <w:szCs w:val="28"/>
    </w:rPr>
  </w:style>
  <w:style w:type="paragraph" w:customStyle="1" w:styleId="357">
    <w:name w:val="报告正文"/>
    <w:basedOn w:val="1"/>
    <w:qFormat/>
    <w:uiPriority w:val="0"/>
    <w:rPr>
      <w:rFonts w:ascii="宋体" w:eastAsia="宋体"/>
      <w:color w:val="0000FF"/>
      <w:szCs w:val="20"/>
    </w:rPr>
  </w:style>
  <w:style w:type="paragraph" w:customStyle="1" w:styleId="358">
    <w:name w:val="列表框2"/>
    <w:basedOn w:val="359"/>
    <w:qFormat/>
    <w:uiPriority w:val="0"/>
    <w:pPr>
      <w:numPr>
        <w:ilvl w:val="0"/>
        <w:numId w:val="16"/>
      </w:numPr>
      <w:tabs>
        <w:tab w:val="left" w:pos="2018"/>
        <w:tab w:val="left" w:pos="2086"/>
        <w:tab w:val="left" w:pos="2325"/>
      </w:tabs>
      <w:ind w:left="2859" w:leftChars="810" w:right="-12" w:hanging="915" w:hangingChars="398"/>
    </w:pPr>
  </w:style>
  <w:style w:type="paragraph" w:customStyle="1" w:styleId="359">
    <w:name w:val="列表框1"/>
    <w:basedOn w:val="360"/>
    <w:next w:val="360"/>
    <w:qFormat/>
    <w:uiPriority w:val="0"/>
    <w:pPr>
      <w:tabs>
        <w:tab w:val="left" w:pos="2018"/>
        <w:tab w:val="left" w:pos="2086"/>
        <w:tab w:val="left" w:pos="2325"/>
      </w:tabs>
      <w:snapToGrid w:val="0"/>
      <w:ind w:left="2031" w:leftChars="665" w:hanging="435" w:hangingChars="189"/>
    </w:pPr>
    <w:rPr>
      <w:rFonts w:cs="Arial"/>
    </w:rPr>
  </w:style>
  <w:style w:type="paragraph" w:customStyle="1" w:styleId="360">
    <w:name w:val="应答文本 Char Char Char Char"/>
    <w:basedOn w:val="1"/>
    <w:qFormat/>
    <w:uiPriority w:val="0"/>
    <w:pPr>
      <w:adjustRightInd w:val="0"/>
      <w:spacing w:afterLines="50" w:line="320" w:lineRule="exact"/>
      <w:ind w:left="300" w:leftChars="300" w:firstLine="200" w:firstLineChars="200"/>
      <w:jc w:val="left"/>
    </w:pPr>
    <w:rPr>
      <w:rFonts w:ascii="Arial" w:hAnsi="Arial" w:eastAsia="楷体_GB2312" w:cs="宋体"/>
      <w:spacing w:val="10"/>
      <w:kern w:val="0"/>
      <w:sz w:val="21"/>
      <w:szCs w:val="20"/>
    </w:rPr>
  </w:style>
  <w:style w:type="paragraph" w:customStyle="1" w:styleId="361">
    <w:name w:val="样式 宋体 小四 行距: 1.5 倍行距"/>
    <w:basedOn w:val="1"/>
    <w:qFormat/>
    <w:uiPriority w:val="0"/>
    <w:pPr>
      <w:spacing w:line="240" w:lineRule="auto"/>
    </w:pPr>
    <w:rPr>
      <w:rFonts w:ascii="宋体" w:hAnsi="宋体" w:eastAsia="宋体"/>
      <w:kern w:val="10"/>
      <w:sz w:val="24"/>
      <w:szCs w:val="20"/>
    </w:rPr>
  </w:style>
  <w:style w:type="paragraph" w:customStyle="1" w:styleId="362">
    <w:name w:val="图表小四中对齐"/>
    <w:basedOn w:val="1"/>
    <w:qFormat/>
    <w:uiPriority w:val="0"/>
    <w:pPr>
      <w:adjustRightInd w:val="0"/>
      <w:spacing w:line="360" w:lineRule="exact"/>
      <w:jc w:val="center"/>
      <w:textAlignment w:val="baseline"/>
    </w:pPr>
    <w:rPr>
      <w:rFonts w:eastAsia="宋体"/>
      <w:spacing w:val="-10"/>
      <w:sz w:val="24"/>
      <w:szCs w:val="21"/>
    </w:rPr>
  </w:style>
  <w:style w:type="paragraph" w:customStyle="1" w:styleId="363">
    <w:name w:val="AOTOCTitle"/>
    <w:basedOn w:val="1"/>
    <w:next w:val="1"/>
    <w:qFormat/>
    <w:uiPriority w:val="0"/>
    <w:pPr>
      <w:widowControl/>
      <w:spacing w:before="240" w:line="260" w:lineRule="atLeast"/>
      <w:jc w:val="center"/>
    </w:pPr>
    <w:rPr>
      <w:rFonts w:eastAsia="宋体"/>
      <w:b/>
      <w:caps/>
      <w:kern w:val="0"/>
      <w:sz w:val="22"/>
      <w:szCs w:val="20"/>
      <w:lang w:val="en-GB" w:eastAsia="en-US"/>
    </w:rPr>
  </w:style>
  <w:style w:type="paragraph" w:customStyle="1" w:styleId="364">
    <w:name w:val="CM6"/>
    <w:basedOn w:val="292"/>
    <w:next w:val="292"/>
    <w:qFormat/>
    <w:uiPriority w:val="0"/>
    <w:pPr>
      <w:spacing w:line="626" w:lineRule="atLeast"/>
    </w:pPr>
    <w:rPr>
      <w:rFonts w:cs="Times New Roman"/>
      <w:color w:val="auto"/>
    </w:rPr>
  </w:style>
  <w:style w:type="paragraph" w:customStyle="1" w:styleId="365">
    <w:name w:val="CM9"/>
    <w:basedOn w:val="292"/>
    <w:next w:val="292"/>
    <w:qFormat/>
    <w:uiPriority w:val="0"/>
    <w:pPr>
      <w:spacing w:line="540" w:lineRule="atLeast"/>
    </w:pPr>
    <w:rPr>
      <w:rFonts w:cs="Times New Roman"/>
      <w:color w:val="auto"/>
    </w:rPr>
  </w:style>
  <w:style w:type="paragraph" w:customStyle="1" w:styleId="366">
    <w:name w:val="Sub Item Step in Table"/>
    <w:qFormat/>
    <w:uiPriority w:val="0"/>
    <w:pPr>
      <w:tabs>
        <w:tab w:val="left" w:pos="284"/>
      </w:tabs>
      <w:adjustRightInd w:val="0"/>
      <w:snapToGrid w:val="0"/>
      <w:spacing w:before="80" w:after="80" w:line="240" w:lineRule="atLeast"/>
      <w:ind w:left="568" w:hanging="284"/>
    </w:pPr>
    <w:rPr>
      <w:rFonts w:hint="eastAsia" w:ascii="Times New Roman" w:hAnsi="Times New Roman" w:eastAsia="宋体" w:cs="Arial"/>
      <w:sz w:val="21"/>
      <w:szCs w:val="21"/>
      <w:lang w:val="en-US" w:eastAsia="zh-CN" w:bidi="ar-SA"/>
    </w:rPr>
  </w:style>
  <w:style w:type="paragraph" w:customStyle="1" w:styleId="367">
    <w:name w:val="样式 标题 1 + 五号1"/>
    <w:basedOn w:val="3"/>
    <w:qFormat/>
    <w:uiPriority w:val="0"/>
    <w:pPr>
      <w:keepNext/>
      <w:keepLines/>
      <w:numPr>
        <w:ilvl w:val="0"/>
        <w:numId w:val="0"/>
      </w:numPr>
      <w:tabs>
        <w:tab w:val="left" w:pos="425"/>
        <w:tab w:val="left" w:pos="454"/>
      </w:tabs>
      <w:spacing w:before="0" w:after="0" w:line="360" w:lineRule="auto"/>
      <w:ind w:left="198" w:hanging="425"/>
      <w:jc w:val="both"/>
    </w:pPr>
    <w:rPr>
      <w:rFonts w:eastAsia="宋体"/>
      <w:sz w:val="28"/>
      <w:szCs w:val="28"/>
    </w:rPr>
  </w:style>
  <w:style w:type="paragraph" w:customStyle="1" w:styleId="368">
    <w:name w:val="表名称"/>
    <w:basedOn w:val="1"/>
    <w:next w:val="1"/>
    <w:qFormat/>
    <w:uiPriority w:val="0"/>
    <w:pPr>
      <w:tabs>
        <w:tab w:val="left" w:pos="2268"/>
        <w:tab w:val="center" w:pos="4536"/>
        <w:tab w:val="right" w:pos="6615"/>
        <w:tab w:val="center" w:pos="10773"/>
        <w:tab w:val="right" w:pos="18522"/>
      </w:tabs>
      <w:adjustRightInd w:val="0"/>
      <w:snapToGrid w:val="0"/>
      <w:ind w:right="48" w:rightChars="23"/>
      <w:jc w:val="center"/>
    </w:pPr>
    <w:rPr>
      <w:rFonts w:ascii="宋体" w:eastAsia="宋体"/>
      <w:sz w:val="21"/>
      <w:szCs w:val="21"/>
    </w:rPr>
  </w:style>
  <w:style w:type="paragraph" w:customStyle="1" w:styleId="369">
    <w:name w:val="原文"/>
    <w:basedOn w:val="1"/>
    <w:qFormat/>
    <w:uiPriority w:val="0"/>
    <w:pPr>
      <w:spacing w:line="520" w:lineRule="exact"/>
      <w:ind w:firstLine="480" w:firstLineChars="200"/>
    </w:pPr>
    <w:rPr>
      <w:rFonts w:eastAsia="宋体" w:cs="宋体"/>
      <w:kern w:val="0"/>
      <w:sz w:val="24"/>
    </w:rPr>
  </w:style>
  <w:style w:type="paragraph" w:customStyle="1" w:styleId="370">
    <w:name w:val="样式 宋体 行距: 1.5 倍行距5"/>
    <w:basedOn w:val="1"/>
    <w:next w:val="1"/>
    <w:qFormat/>
    <w:uiPriority w:val="0"/>
    <w:pPr>
      <w:spacing w:line="360" w:lineRule="auto"/>
    </w:pPr>
    <w:rPr>
      <w:rFonts w:ascii="宋体" w:hAnsi="宋体" w:eastAsia="宋体" w:cs="宋体"/>
      <w:kern w:val="0"/>
      <w:sz w:val="24"/>
      <w:szCs w:val="20"/>
    </w:rPr>
  </w:style>
  <w:style w:type="paragraph" w:customStyle="1" w:styleId="371">
    <w:name w:val="样式 标题 3 Char Char Char Char Char Char Char Char Char Char Char C..."/>
    <w:basedOn w:val="4"/>
    <w:qFormat/>
    <w:uiPriority w:val="0"/>
    <w:pPr>
      <w:keepNext/>
      <w:keepLines/>
      <w:numPr>
        <w:numId w:val="17"/>
      </w:numPr>
      <w:tabs>
        <w:tab w:val="left" w:pos="1680"/>
      </w:tabs>
      <w:snapToGrid w:val="0"/>
      <w:spacing w:before="0" w:after="0" w:line="360" w:lineRule="auto"/>
    </w:pPr>
    <w:rPr>
      <w:rFonts w:eastAsia="宋体"/>
      <w:sz w:val="24"/>
      <w:szCs w:val="32"/>
    </w:rPr>
  </w:style>
  <w:style w:type="paragraph" w:customStyle="1" w:styleId="372">
    <w:name w:val="xl57"/>
    <w:basedOn w:val="1"/>
    <w:qFormat/>
    <w:uiPriority w:val="0"/>
    <w:pPr>
      <w:widowControl/>
      <w:pBdr>
        <w:left w:val="single" w:color="auto" w:sz="4" w:space="0"/>
        <w:right w:val="single" w:color="auto" w:sz="4" w:space="0"/>
      </w:pBdr>
      <w:spacing w:before="100" w:beforeAutospacing="1" w:after="100" w:afterAutospacing="1" w:line="240" w:lineRule="auto"/>
      <w:jc w:val="center"/>
    </w:pPr>
    <w:rPr>
      <w:rFonts w:ascii="宋体" w:hAnsi="宋体" w:eastAsia="宋体"/>
      <w:kern w:val="0"/>
      <w:sz w:val="24"/>
      <w:szCs w:val="28"/>
    </w:rPr>
  </w:style>
  <w:style w:type="paragraph" w:customStyle="1" w:styleId="373">
    <w:name w:val="第四级"/>
    <w:basedOn w:val="1"/>
    <w:qFormat/>
    <w:uiPriority w:val="0"/>
    <w:pPr>
      <w:numPr>
        <w:ilvl w:val="0"/>
        <w:numId w:val="18"/>
      </w:numPr>
      <w:tabs>
        <w:tab w:val="left" w:pos="0"/>
      </w:tabs>
      <w:spacing w:line="500" w:lineRule="exact"/>
      <w:ind w:firstLine="200" w:firstLineChars="200"/>
    </w:pPr>
    <w:rPr>
      <w:rFonts w:eastAsia="宋体"/>
      <w:sz w:val="24"/>
    </w:rPr>
  </w:style>
  <w:style w:type="paragraph" w:customStyle="1" w:styleId="374">
    <w:name w:val="标书章号，自动编号"/>
    <w:basedOn w:val="1"/>
    <w:qFormat/>
    <w:uiPriority w:val="0"/>
    <w:pPr>
      <w:keepNext/>
      <w:keepLines/>
      <w:spacing w:before="340" w:after="330" w:line="578" w:lineRule="auto"/>
      <w:jc w:val="center"/>
      <w:outlineLvl w:val="0"/>
    </w:pPr>
    <w:rPr>
      <w:rFonts w:eastAsia="宋体"/>
      <w:b/>
      <w:bCs/>
      <w:kern w:val="44"/>
      <w:sz w:val="36"/>
      <w:szCs w:val="44"/>
    </w:rPr>
  </w:style>
  <w:style w:type="paragraph" w:customStyle="1" w:styleId="375">
    <w:name w:val="Char31"/>
    <w:basedOn w:val="1"/>
    <w:qFormat/>
    <w:uiPriority w:val="0"/>
    <w:pPr>
      <w:spacing w:line="240" w:lineRule="auto"/>
    </w:pPr>
    <w:rPr>
      <w:rFonts w:ascii="仿宋_GB2312" w:eastAsia="仿宋_GB2312"/>
      <w:b/>
      <w:sz w:val="32"/>
      <w:szCs w:val="32"/>
    </w:rPr>
  </w:style>
  <w:style w:type="paragraph" w:customStyle="1" w:styleId="376">
    <w:name w:val="Style Style Style Body Text + Justified + (Complex) Times New Roman..."/>
    <w:basedOn w:val="1"/>
    <w:qFormat/>
    <w:uiPriority w:val="0"/>
    <w:pPr>
      <w:tabs>
        <w:tab w:val="left" w:pos="4044"/>
      </w:tabs>
      <w:spacing w:line="240" w:lineRule="auto"/>
      <w:ind w:left="4044" w:hanging="454"/>
      <w:jc w:val="left"/>
    </w:pPr>
    <w:rPr>
      <w:rFonts w:eastAsia="PMingLiU"/>
      <w:snapToGrid w:val="0"/>
      <w:kern w:val="0"/>
      <w:sz w:val="24"/>
      <w:lang w:val="en-AU"/>
    </w:rPr>
  </w:style>
  <w:style w:type="paragraph" w:customStyle="1" w:styleId="377">
    <w:name w:val="Char Char Char1"/>
    <w:basedOn w:val="26"/>
    <w:qFormat/>
    <w:uiPriority w:val="0"/>
    <w:pPr>
      <w:adjustRightInd w:val="0"/>
      <w:spacing w:line="436" w:lineRule="exact"/>
      <w:ind w:left="357"/>
      <w:jc w:val="left"/>
      <w:outlineLvl w:val="3"/>
    </w:pPr>
    <w:rPr>
      <w:rFonts w:ascii="Tahoma" w:hAnsi="Tahoma" w:eastAsia="宋体"/>
      <w:b/>
      <w:sz w:val="24"/>
    </w:rPr>
  </w:style>
  <w:style w:type="paragraph" w:customStyle="1" w:styleId="378">
    <w:name w:val="条文 4"/>
    <w:next w:val="1"/>
    <w:qFormat/>
    <w:uiPriority w:val="0"/>
    <w:pPr>
      <w:numPr>
        <w:ilvl w:val="5"/>
        <w:numId w:val="9"/>
      </w:numPr>
      <w:spacing w:line="310" w:lineRule="exact"/>
    </w:pPr>
    <w:rPr>
      <w:rFonts w:ascii="Times New Roman" w:hAnsi="Times New Roman" w:eastAsia="黑体" w:cs="Times New Roman"/>
      <w:sz w:val="21"/>
      <w:lang w:val="en-US" w:eastAsia="zh-CN" w:bidi="ar-SA"/>
    </w:rPr>
  </w:style>
  <w:style w:type="paragraph" w:customStyle="1" w:styleId="379">
    <w:name w:val="Subhead 1"/>
    <w:basedOn w:val="328"/>
    <w:qFormat/>
    <w:uiPriority w:val="0"/>
    <w:pPr>
      <w:keepNext/>
      <w:pageBreakBefore w:val="0"/>
      <w:widowControl/>
      <w:tabs>
        <w:tab w:val="left" w:pos="1134"/>
      </w:tabs>
      <w:spacing w:before="510" w:after="0" w:line="420" w:lineRule="atLeast"/>
      <w:ind w:left="1134" w:hanging="1134"/>
    </w:pPr>
    <w:rPr>
      <w:sz w:val="32"/>
    </w:rPr>
  </w:style>
  <w:style w:type="paragraph" w:customStyle="1" w:styleId="380">
    <w:name w:val="Appendix Index level 2"/>
    <w:basedOn w:val="1"/>
    <w:qFormat/>
    <w:uiPriority w:val="0"/>
    <w:pPr>
      <w:tabs>
        <w:tab w:val="left" w:pos="567"/>
      </w:tabs>
      <w:spacing w:line="240" w:lineRule="auto"/>
      <w:ind w:left="567" w:hanging="567"/>
      <w:jc w:val="left"/>
    </w:pPr>
    <w:rPr>
      <w:rFonts w:eastAsia="PMingLiU"/>
      <w:snapToGrid w:val="0"/>
      <w:kern w:val="0"/>
      <w:sz w:val="24"/>
      <w:lang w:val="en-AU" w:eastAsia="en-US"/>
    </w:rPr>
  </w:style>
  <w:style w:type="paragraph" w:customStyle="1" w:styleId="381">
    <w:name w:val="l9标题3"/>
    <w:basedOn w:val="1"/>
    <w:qFormat/>
    <w:uiPriority w:val="0"/>
    <w:pPr>
      <w:spacing w:line="240" w:lineRule="auto"/>
    </w:pPr>
    <w:rPr>
      <w:rFonts w:eastAsia="宋体"/>
      <w:kern w:val="0"/>
      <w:sz w:val="24"/>
      <w:lang w:val="zh-CN"/>
    </w:rPr>
  </w:style>
  <w:style w:type="paragraph" w:customStyle="1" w:styleId="382">
    <w:name w:val="char"/>
    <w:basedOn w:val="1"/>
    <w:qFormat/>
    <w:uiPriority w:val="0"/>
    <w:pPr>
      <w:widowControl/>
      <w:spacing w:before="156" w:beforeLines="50" w:line="360" w:lineRule="exact"/>
      <w:ind w:firstLine="482" w:firstLineChars="200"/>
    </w:pPr>
    <w:rPr>
      <w:rFonts w:eastAsia="宋体"/>
      <w:b/>
      <w:color w:val="000000"/>
      <w:kern w:val="0"/>
      <w:sz w:val="24"/>
    </w:rPr>
  </w:style>
  <w:style w:type="paragraph" w:customStyle="1" w:styleId="383">
    <w:name w:val="标书三级标题，自动编号"/>
    <w:basedOn w:val="6"/>
    <w:qFormat/>
    <w:uiPriority w:val="0"/>
    <w:pPr>
      <w:keepNext/>
      <w:keepLines/>
      <w:numPr>
        <w:ilvl w:val="0"/>
        <w:numId w:val="0"/>
      </w:numPr>
      <w:spacing w:before="120" w:after="120" w:line="377" w:lineRule="auto"/>
    </w:pPr>
    <w:rPr>
      <w:rFonts w:ascii="Arial" w:hAnsi="Arial" w:eastAsia="黑体"/>
      <w:sz w:val="24"/>
    </w:rPr>
  </w:style>
  <w:style w:type="paragraph" w:customStyle="1" w:styleId="384">
    <w:name w:val="."/>
    <w:basedOn w:val="1"/>
    <w:qFormat/>
    <w:uiPriority w:val="0"/>
    <w:pPr>
      <w:widowControl/>
      <w:numPr>
        <w:ilvl w:val="0"/>
        <w:numId w:val="19"/>
      </w:numPr>
      <w:tabs>
        <w:tab w:val="left" w:pos="0"/>
      </w:tabs>
      <w:overflowPunct w:val="0"/>
      <w:autoSpaceDE w:val="0"/>
      <w:autoSpaceDN w:val="0"/>
      <w:adjustRightInd w:val="0"/>
      <w:spacing w:before="120" w:line="300" w:lineRule="auto"/>
      <w:ind w:right="-85"/>
      <w:textAlignment w:val="baseline"/>
    </w:pPr>
    <w:rPr>
      <w:rFonts w:ascii="宋体" w:hAnsi="Arial" w:eastAsia="宋体"/>
      <w:kern w:val="0"/>
      <w:sz w:val="24"/>
      <w:szCs w:val="20"/>
    </w:rPr>
  </w:style>
  <w:style w:type="paragraph" w:customStyle="1" w:styleId="385">
    <w:name w:val="CM75"/>
    <w:basedOn w:val="292"/>
    <w:next w:val="292"/>
    <w:qFormat/>
    <w:uiPriority w:val="0"/>
    <w:pPr>
      <w:spacing w:after="400"/>
    </w:pPr>
    <w:rPr>
      <w:rFonts w:cs="Times New Roman"/>
      <w:color w:val="auto"/>
    </w:rPr>
  </w:style>
  <w:style w:type="paragraph" w:customStyle="1" w:styleId="386">
    <w:name w:val="Char Char Char Char"/>
    <w:basedOn w:val="1"/>
    <w:qFormat/>
    <w:uiPriority w:val="0"/>
    <w:pPr>
      <w:spacing w:line="240" w:lineRule="auto"/>
    </w:pPr>
    <w:rPr>
      <w:rFonts w:ascii="仿宋_GB2312" w:eastAsia="仿宋_GB2312"/>
      <w:b/>
      <w:sz w:val="32"/>
      <w:szCs w:val="32"/>
    </w:rPr>
  </w:style>
  <w:style w:type="paragraph" w:customStyle="1" w:styleId="387">
    <w:name w:val="Appendix Index"/>
    <w:basedOn w:val="1"/>
    <w:qFormat/>
    <w:uiPriority w:val="0"/>
    <w:pPr>
      <w:tabs>
        <w:tab w:val="left" w:pos="432"/>
      </w:tabs>
      <w:spacing w:line="240" w:lineRule="auto"/>
      <w:ind w:left="432" w:hanging="432"/>
      <w:jc w:val="left"/>
    </w:pPr>
    <w:rPr>
      <w:rFonts w:eastAsia="PMingLiU"/>
      <w:snapToGrid w:val="0"/>
      <w:kern w:val="0"/>
      <w:sz w:val="24"/>
      <w:lang w:val="en-AU"/>
    </w:rPr>
  </w:style>
  <w:style w:type="paragraph" w:customStyle="1" w:styleId="388">
    <w:name w:val="xl24"/>
    <w:basedOn w:val="1"/>
    <w:qFormat/>
    <w:uiPriority w:val="0"/>
    <w:pPr>
      <w:widowControl/>
      <w:spacing w:before="100" w:beforeAutospacing="1" w:after="100" w:afterAutospacing="1" w:line="240" w:lineRule="auto"/>
      <w:jc w:val="left"/>
    </w:pPr>
    <w:rPr>
      <w:rFonts w:eastAsia="宋体"/>
      <w:kern w:val="0"/>
      <w:sz w:val="24"/>
    </w:rPr>
  </w:style>
  <w:style w:type="paragraph" w:customStyle="1" w:styleId="389">
    <w:name w:val="表格内文字"/>
    <w:basedOn w:val="1"/>
    <w:qFormat/>
    <w:uiPriority w:val="0"/>
    <w:pPr>
      <w:adjustRightInd w:val="0"/>
      <w:snapToGrid w:val="0"/>
      <w:spacing w:beforeLines="50" w:line="240" w:lineRule="atLeast"/>
      <w:ind w:left="250" w:leftChars="250"/>
      <w:jc w:val="center"/>
    </w:pPr>
    <w:rPr>
      <w:rFonts w:eastAsia="宋体"/>
      <w:sz w:val="24"/>
      <w:szCs w:val="21"/>
    </w:rPr>
  </w:style>
  <w:style w:type="paragraph" w:customStyle="1" w:styleId="390">
    <w:name w:val="样式 宋体 行距: 1.5 倍行距"/>
    <w:basedOn w:val="1"/>
    <w:qFormat/>
    <w:uiPriority w:val="0"/>
    <w:pPr>
      <w:spacing w:line="240" w:lineRule="auto"/>
    </w:pPr>
    <w:rPr>
      <w:rFonts w:ascii="宋体" w:hAnsi="宋体" w:eastAsia="宋体"/>
      <w:sz w:val="21"/>
      <w:szCs w:val="20"/>
    </w:rPr>
  </w:style>
  <w:style w:type="paragraph" w:customStyle="1" w:styleId="391">
    <w:name w:val="Char Char Char Char1"/>
    <w:basedOn w:val="1"/>
    <w:qFormat/>
    <w:uiPriority w:val="0"/>
    <w:pPr>
      <w:spacing w:line="240" w:lineRule="auto"/>
    </w:pPr>
    <w:rPr>
      <w:rFonts w:ascii="仿宋_GB2312" w:eastAsia="仿宋_GB2312"/>
      <w:b/>
      <w:sz w:val="32"/>
      <w:szCs w:val="32"/>
    </w:rPr>
  </w:style>
  <w:style w:type="paragraph" w:customStyle="1" w:styleId="392">
    <w:name w:val="Item List in Table"/>
    <w:basedOn w:val="1"/>
    <w:qFormat/>
    <w:uiPriority w:val="0"/>
    <w:pPr>
      <w:numPr>
        <w:ilvl w:val="0"/>
        <w:numId w:val="20"/>
      </w:numPr>
      <w:tabs>
        <w:tab w:val="left" w:pos="170"/>
      </w:tabs>
      <w:topLinePunct/>
      <w:adjustRightInd w:val="0"/>
      <w:snapToGrid w:val="0"/>
      <w:spacing w:before="80" w:after="80" w:line="240" w:lineRule="atLeast"/>
      <w:jc w:val="left"/>
    </w:pPr>
    <w:rPr>
      <w:rFonts w:eastAsia="宋体" w:cs="Arial"/>
      <w:kern w:val="0"/>
      <w:sz w:val="21"/>
      <w:szCs w:val="21"/>
    </w:rPr>
  </w:style>
  <w:style w:type="paragraph" w:customStyle="1" w:styleId="393">
    <w:name w:val="2节号"/>
    <w:basedOn w:val="4"/>
    <w:qFormat/>
    <w:uiPriority w:val="0"/>
    <w:pPr>
      <w:keepNext/>
      <w:keepLines/>
      <w:numPr>
        <w:ilvl w:val="0"/>
        <w:numId w:val="0"/>
      </w:numPr>
      <w:tabs>
        <w:tab w:val="left" w:pos="794"/>
        <w:tab w:val="left" w:pos="992"/>
      </w:tabs>
      <w:adjustRightInd w:val="0"/>
      <w:snapToGrid w:val="0"/>
      <w:spacing w:before="0" w:beforeLines="50" w:after="0" w:afterLines="50" w:line="480" w:lineRule="exact"/>
      <w:ind w:left="794" w:hanging="340"/>
      <w:jc w:val="both"/>
    </w:pPr>
    <w:rPr>
      <w:rFonts w:ascii="黑体" w:hAnsi="Arial" w:eastAsia="黑体"/>
      <w:b w:val="0"/>
      <w:color w:val="000000"/>
      <w:sz w:val="28"/>
    </w:rPr>
  </w:style>
  <w:style w:type="paragraph" w:customStyle="1" w:styleId="394">
    <w:name w:val="标题四"/>
    <w:basedOn w:val="395"/>
    <w:semiHidden/>
    <w:qFormat/>
    <w:uiPriority w:val="0"/>
    <w:pPr>
      <w:numPr>
        <w:ilvl w:val="4"/>
        <w:numId w:val="21"/>
      </w:numPr>
      <w:tabs>
        <w:tab w:val="left" w:pos="0"/>
        <w:tab w:val="left" w:pos="851"/>
      </w:tabs>
      <w:spacing w:line="360" w:lineRule="auto"/>
    </w:pPr>
    <w:rPr>
      <w:rFonts w:ascii="Tahoma" w:hAnsi="Tahoma"/>
      <w:sz w:val="24"/>
      <w:szCs w:val="24"/>
    </w:rPr>
  </w:style>
  <w:style w:type="paragraph" w:customStyle="1" w:styleId="395">
    <w:name w:val="招标文件1.1.1"/>
    <w:qFormat/>
    <w:uiPriority w:val="0"/>
    <w:pPr>
      <w:numPr>
        <w:ilvl w:val="3"/>
        <w:numId w:val="5"/>
      </w:numPr>
      <w:spacing w:before="120" w:after="120" w:line="480" w:lineRule="exact"/>
      <w:outlineLvl w:val="3"/>
    </w:pPr>
    <w:rPr>
      <w:rFonts w:ascii="宋体" w:hAnsi="Times New Roman" w:eastAsia="宋体" w:cs="Times New Roman"/>
      <w:b/>
      <w:spacing w:val="10"/>
      <w:w w:val="95"/>
      <w:sz w:val="21"/>
      <w:lang w:val="en-US" w:eastAsia="zh-CN" w:bidi="ar-SA"/>
    </w:rPr>
  </w:style>
  <w:style w:type="paragraph" w:customStyle="1" w:styleId="396">
    <w:name w:val="Subhead 3"/>
    <w:basedOn w:val="397"/>
    <w:qFormat/>
    <w:uiPriority w:val="0"/>
    <w:pPr>
      <w:keepNext w:val="0"/>
      <w:pageBreakBefore/>
      <w:widowControl w:val="0"/>
      <w:tabs>
        <w:tab w:val="left" w:pos="1134"/>
        <w:tab w:val="left" w:pos="1701"/>
        <w:tab w:val="left" w:pos="2552"/>
      </w:tabs>
      <w:spacing w:before="680" w:after="1134" w:line="900" w:lineRule="atLeast"/>
      <w:ind w:left="1701" w:hanging="1701"/>
      <w:jc w:val="center"/>
    </w:pPr>
    <w:rPr>
      <w:spacing w:val="-35"/>
      <w:sz w:val="72"/>
    </w:rPr>
  </w:style>
  <w:style w:type="paragraph" w:customStyle="1" w:styleId="397">
    <w:name w:val="Subhead 2"/>
    <w:basedOn w:val="379"/>
    <w:qFormat/>
    <w:uiPriority w:val="0"/>
    <w:pPr>
      <w:spacing w:before="340" w:line="360" w:lineRule="atLeast"/>
    </w:pPr>
    <w:rPr>
      <w:sz w:val="28"/>
    </w:rPr>
  </w:style>
  <w:style w:type="paragraph" w:customStyle="1" w:styleId="398">
    <w:name w:val="_Style 240"/>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99">
    <w:name w:val="图形布置"/>
    <w:qFormat/>
    <w:uiPriority w:val="0"/>
    <w:pPr>
      <w:jc w:val="center"/>
    </w:pPr>
    <w:rPr>
      <w:rFonts w:ascii="Times New Roman" w:hAnsi="Times New Roman" w:eastAsia="宋体" w:cs="宋体"/>
      <w:sz w:val="21"/>
      <w:szCs w:val="36"/>
      <w:lang w:val="en-US" w:eastAsia="zh-CN" w:bidi="ar-SA"/>
    </w:rPr>
  </w:style>
  <w:style w:type="paragraph" w:customStyle="1" w:styleId="400">
    <w:name w:val="CM19"/>
    <w:basedOn w:val="292"/>
    <w:next w:val="292"/>
    <w:qFormat/>
    <w:uiPriority w:val="0"/>
    <w:pPr>
      <w:spacing w:line="540" w:lineRule="atLeast"/>
    </w:pPr>
    <w:rPr>
      <w:rFonts w:cs="Times New Roman"/>
      <w:color w:val="auto"/>
    </w:rPr>
  </w:style>
  <w:style w:type="paragraph" w:customStyle="1" w:styleId="401">
    <w:name w:val="CM1"/>
    <w:basedOn w:val="292"/>
    <w:next w:val="292"/>
    <w:qFormat/>
    <w:uiPriority w:val="0"/>
    <w:rPr>
      <w:rFonts w:cs="Times New Roman"/>
      <w:color w:val="auto"/>
    </w:rPr>
  </w:style>
  <w:style w:type="paragraph" w:customStyle="1" w:styleId="402">
    <w:name w:val="样式 题注 + 首行缩进:  2 字符"/>
    <w:basedOn w:val="22"/>
    <w:qFormat/>
    <w:uiPriority w:val="0"/>
    <w:pPr>
      <w:adjustRightInd w:val="0"/>
      <w:snapToGrid w:val="0"/>
      <w:spacing w:line="500" w:lineRule="exact"/>
      <w:jc w:val="center"/>
    </w:pPr>
    <w:rPr>
      <w:rFonts w:eastAsia="宋体" w:cs="Times New Roman"/>
      <w:snapToGrid w:val="0"/>
      <w:kern w:val="24"/>
      <w:sz w:val="24"/>
      <w:szCs w:val="24"/>
    </w:rPr>
  </w:style>
  <w:style w:type="paragraph" w:customStyle="1" w:styleId="403">
    <w:name w:val="文档正文"/>
    <w:basedOn w:val="1"/>
    <w:qFormat/>
    <w:uiPriority w:val="0"/>
    <w:pPr>
      <w:spacing w:line="360" w:lineRule="auto"/>
      <w:ind w:firstLine="200" w:firstLineChars="200"/>
    </w:pPr>
    <w:rPr>
      <w:rFonts w:ascii="宋体" w:hAnsi="宋体" w:eastAsia="宋体"/>
      <w:sz w:val="24"/>
    </w:rPr>
  </w:style>
  <w:style w:type="paragraph" w:customStyle="1" w:styleId="404">
    <w:name w:val="样式 目录 1 + 首行缩进:  2 字符"/>
    <w:basedOn w:val="59"/>
    <w:qFormat/>
    <w:uiPriority w:val="0"/>
    <w:pPr>
      <w:tabs>
        <w:tab w:val="left" w:pos="1260"/>
        <w:tab w:val="right" w:leader="dot" w:pos="8647"/>
      </w:tabs>
      <w:spacing w:before="0" w:after="0" w:line="360" w:lineRule="auto"/>
      <w:jc w:val="both"/>
    </w:pPr>
    <w:rPr>
      <w:rFonts w:ascii="Times New Roman" w:hAnsi="Times New Roman" w:eastAsia="宋体" w:cs="宋体"/>
      <w:b w:val="0"/>
      <w:bCs w:val="0"/>
      <w:caps w:val="0"/>
      <w:sz w:val="24"/>
    </w:rPr>
  </w:style>
  <w:style w:type="paragraph" w:customStyle="1" w:styleId="405">
    <w:name w:val="Notes Text Step"/>
    <w:basedOn w:val="345"/>
    <w:qFormat/>
    <w:uiPriority w:val="0"/>
    <w:pPr>
      <w:pBdr>
        <w:bottom w:val="none" w:color="auto" w:sz="0" w:space="0"/>
      </w:pBdr>
      <w:tabs>
        <w:tab w:val="left" w:pos="2359"/>
        <w:tab w:val="clear" w:pos="1985"/>
      </w:tabs>
      <w:spacing w:before="40" w:line="200" w:lineRule="atLeast"/>
      <w:ind w:left="2359"/>
    </w:pPr>
    <w:rPr>
      <w:sz w:val="18"/>
      <w:szCs w:val="18"/>
    </w:rPr>
  </w:style>
  <w:style w:type="paragraph" w:customStyle="1" w:styleId="406">
    <w:name w:val="t1"/>
    <w:basedOn w:val="1"/>
    <w:qFormat/>
    <w:uiPriority w:val="0"/>
    <w:pPr>
      <w:tabs>
        <w:tab w:val="left" w:pos="420"/>
        <w:tab w:val="left" w:pos="879"/>
      </w:tabs>
      <w:spacing w:after="120" w:line="360" w:lineRule="auto"/>
      <w:ind w:left="1155" w:hanging="215"/>
    </w:pPr>
    <w:rPr>
      <w:rFonts w:ascii="宋体" w:eastAsia="宋体"/>
      <w:sz w:val="24"/>
      <w:szCs w:val="20"/>
    </w:rPr>
  </w:style>
  <w:style w:type="paragraph" w:customStyle="1" w:styleId="407">
    <w:name w:val="Char Char Char Char Char Char Char"/>
    <w:basedOn w:val="1"/>
    <w:qFormat/>
    <w:uiPriority w:val="0"/>
    <w:pPr>
      <w:widowControl/>
      <w:adjustRightInd w:val="0"/>
      <w:snapToGrid w:val="0"/>
      <w:spacing w:line="360" w:lineRule="auto"/>
      <w:ind w:firstLine="200" w:firstLineChars="200"/>
      <w:jc w:val="left"/>
    </w:pPr>
    <w:rPr>
      <w:rFonts w:ascii="Tahoma" w:hAnsi="Tahoma" w:eastAsia="宋体" w:cs="Tahoma"/>
      <w:kern w:val="0"/>
      <w:sz w:val="20"/>
      <w:szCs w:val="20"/>
      <w:lang w:eastAsia="en-US"/>
    </w:rPr>
  </w:style>
  <w:style w:type="paragraph" w:customStyle="1" w:styleId="408">
    <w:name w:val="_Style 237"/>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09">
    <w:name w:val="简单回函地址"/>
    <w:basedOn w:val="1"/>
    <w:qFormat/>
    <w:uiPriority w:val="0"/>
    <w:pPr>
      <w:spacing w:before="240" w:line="360" w:lineRule="auto"/>
    </w:pPr>
    <w:rPr>
      <w:rFonts w:ascii="宋体" w:eastAsia="宋体"/>
      <w:sz w:val="21"/>
      <w:szCs w:val="20"/>
    </w:rPr>
  </w:style>
  <w:style w:type="paragraph" w:customStyle="1" w:styleId="410">
    <w:name w:val="xl28"/>
    <w:basedOn w:val="1"/>
    <w:qFormat/>
    <w:uiPriority w:val="0"/>
    <w:pPr>
      <w:widowControl/>
      <w:spacing w:before="100" w:beforeAutospacing="1" w:after="100" w:afterAutospacing="1" w:line="240" w:lineRule="auto"/>
      <w:jc w:val="center"/>
    </w:pPr>
    <w:rPr>
      <w:rFonts w:eastAsia="宋体"/>
      <w:kern w:val="0"/>
      <w:sz w:val="24"/>
    </w:rPr>
  </w:style>
  <w:style w:type="paragraph" w:customStyle="1" w:styleId="411">
    <w:name w:val="目录"/>
    <w:basedOn w:val="1"/>
    <w:next w:val="1"/>
    <w:qFormat/>
    <w:uiPriority w:val="0"/>
    <w:pPr>
      <w:spacing w:before="240" w:line="360" w:lineRule="auto"/>
      <w:jc w:val="center"/>
    </w:pPr>
    <w:rPr>
      <w:rFonts w:ascii="宋体" w:eastAsia="宋体"/>
      <w:b/>
      <w:sz w:val="24"/>
      <w:szCs w:val="20"/>
    </w:rPr>
  </w:style>
  <w:style w:type="paragraph" w:customStyle="1" w:styleId="412">
    <w:name w:val="正文111"/>
    <w:basedOn w:val="1"/>
    <w:qFormat/>
    <w:uiPriority w:val="0"/>
    <w:pPr>
      <w:numPr>
        <w:ilvl w:val="0"/>
        <w:numId w:val="22"/>
      </w:numPr>
      <w:tabs>
        <w:tab w:val="left" w:pos="840"/>
      </w:tabs>
      <w:snapToGrid w:val="0"/>
      <w:spacing w:line="500" w:lineRule="exact"/>
    </w:pPr>
    <w:rPr>
      <w:rFonts w:ascii="宋体" w:hAnsi="宋体" w:eastAsia="宋体"/>
      <w:sz w:val="24"/>
      <w:szCs w:val="20"/>
    </w:rPr>
  </w:style>
  <w:style w:type="paragraph" w:customStyle="1" w:styleId="413">
    <w:name w:val="应答文本"/>
    <w:basedOn w:val="1"/>
    <w:qFormat/>
    <w:uiPriority w:val="0"/>
    <w:pPr>
      <w:adjustRightInd w:val="0"/>
      <w:spacing w:afterLines="50" w:line="320" w:lineRule="exact"/>
      <w:ind w:left="630" w:leftChars="300" w:firstLine="460" w:firstLineChars="200"/>
    </w:pPr>
    <w:rPr>
      <w:rFonts w:ascii="Arial" w:hAnsi="Arial" w:eastAsia="楷体_GB2312" w:cs="宋体"/>
      <w:spacing w:val="10"/>
      <w:sz w:val="21"/>
    </w:rPr>
  </w:style>
  <w:style w:type="paragraph" w:customStyle="1" w:styleId="414">
    <w:name w:val="Char Char2"/>
    <w:basedOn w:val="1"/>
    <w:qFormat/>
    <w:uiPriority w:val="0"/>
    <w:pPr>
      <w:spacing w:line="240" w:lineRule="auto"/>
    </w:pPr>
    <w:rPr>
      <w:rFonts w:ascii="Tahoma" w:hAnsi="Tahoma" w:eastAsia="宋体"/>
      <w:sz w:val="24"/>
      <w:szCs w:val="20"/>
    </w:rPr>
  </w:style>
  <w:style w:type="paragraph" w:customStyle="1" w:styleId="415">
    <w:name w:val="Char Char Char Char Char"/>
    <w:basedOn w:val="1"/>
    <w:qFormat/>
    <w:uiPriority w:val="0"/>
    <w:pPr>
      <w:spacing w:line="240" w:lineRule="auto"/>
    </w:pPr>
    <w:rPr>
      <w:rFonts w:ascii="Tahoma" w:hAnsi="Tahoma" w:eastAsia="宋体"/>
      <w:sz w:val="24"/>
      <w:szCs w:val="20"/>
    </w:rPr>
  </w:style>
  <w:style w:type="paragraph" w:customStyle="1" w:styleId="416">
    <w:name w:val="CM16"/>
    <w:basedOn w:val="292"/>
    <w:next w:val="292"/>
    <w:qFormat/>
    <w:uiPriority w:val="0"/>
    <w:pPr>
      <w:spacing w:line="540" w:lineRule="atLeast"/>
    </w:pPr>
    <w:rPr>
      <w:rFonts w:cs="Times New Roman"/>
      <w:color w:val="auto"/>
    </w:rPr>
  </w:style>
  <w:style w:type="paragraph" w:customStyle="1" w:styleId="417">
    <w:name w:val="Char Char Char Char Char Char1 Char Char Char Char"/>
    <w:basedOn w:val="1"/>
    <w:qFormat/>
    <w:uiPriority w:val="0"/>
    <w:pPr>
      <w:spacing w:line="240" w:lineRule="auto"/>
    </w:pPr>
    <w:rPr>
      <w:rFonts w:ascii="仿宋_GB2312" w:eastAsia="仿宋_GB2312"/>
      <w:b/>
      <w:sz w:val="32"/>
      <w:szCs w:val="32"/>
    </w:rPr>
  </w:style>
  <w:style w:type="paragraph" w:customStyle="1" w:styleId="418">
    <w:name w:val="2"/>
    <w:basedOn w:val="1"/>
    <w:next w:val="35"/>
    <w:qFormat/>
    <w:uiPriority w:val="0"/>
    <w:pPr>
      <w:spacing w:line="360" w:lineRule="auto"/>
      <w:ind w:left="718" w:leftChars="342"/>
    </w:pPr>
    <w:rPr>
      <w:rFonts w:ascii="宋体" w:hAnsi="宋体" w:eastAsia="宋体"/>
      <w:color w:val="000000"/>
      <w:sz w:val="21"/>
    </w:rPr>
  </w:style>
  <w:style w:type="paragraph" w:customStyle="1" w:styleId="419">
    <w:name w:val="香奈儿 1"/>
    <w:basedOn w:val="15"/>
    <w:next w:val="86"/>
    <w:qFormat/>
    <w:uiPriority w:val="0"/>
    <w:pPr>
      <w:widowControl/>
      <w:numPr>
        <w:ilvl w:val="0"/>
        <w:numId w:val="23"/>
      </w:numPr>
      <w:tabs>
        <w:tab w:val="left" w:pos="397"/>
      </w:tabs>
      <w:spacing w:before="100" w:after="100" w:line="240" w:lineRule="auto"/>
      <w:ind w:left="0" w:leftChars="0"/>
    </w:pPr>
    <w:rPr>
      <w:rFonts w:eastAsia="宋体"/>
      <w:sz w:val="24"/>
      <w:szCs w:val="20"/>
    </w:rPr>
  </w:style>
  <w:style w:type="paragraph" w:customStyle="1" w:styleId="420">
    <w:name w:val="Char Char Char Char Char1"/>
    <w:basedOn w:val="1"/>
    <w:qFormat/>
    <w:uiPriority w:val="0"/>
    <w:pPr>
      <w:spacing w:line="240" w:lineRule="auto"/>
      <w:ind w:firstLine="150" w:firstLineChars="150"/>
      <w:jc w:val="left"/>
    </w:pPr>
    <w:rPr>
      <w:rFonts w:ascii="Tahoma" w:hAnsi="Tahoma" w:eastAsia="宋体"/>
      <w:sz w:val="24"/>
      <w:szCs w:val="20"/>
    </w:rPr>
  </w:style>
  <w:style w:type="paragraph" w:customStyle="1" w:styleId="421">
    <w:name w:val="Sub Item Step in Table List"/>
    <w:qFormat/>
    <w:uiPriority w:val="0"/>
    <w:pPr>
      <w:tabs>
        <w:tab w:val="left" w:pos="284"/>
      </w:tabs>
      <w:adjustRightInd w:val="0"/>
      <w:snapToGrid w:val="0"/>
      <w:spacing w:before="80" w:after="80" w:line="240" w:lineRule="atLeast"/>
      <w:ind w:left="568" w:hanging="284"/>
    </w:pPr>
    <w:rPr>
      <w:rFonts w:hint="eastAsia" w:ascii="Times New Roman" w:hAnsi="Times New Roman" w:eastAsia="宋体" w:cs="Arial"/>
      <w:sz w:val="21"/>
      <w:szCs w:val="21"/>
      <w:lang w:val="en-US" w:eastAsia="zh-CN" w:bidi="ar-SA"/>
    </w:rPr>
  </w:style>
  <w:style w:type="paragraph" w:customStyle="1" w:styleId="422">
    <w:name w:val="点项"/>
    <w:basedOn w:val="1"/>
    <w:qFormat/>
    <w:uiPriority w:val="0"/>
    <w:pPr>
      <w:spacing w:line="360" w:lineRule="auto"/>
    </w:pPr>
    <w:rPr>
      <w:rFonts w:eastAsia="宋体"/>
      <w:bCs/>
      <w:sz w:val="21"/>
    </w:rPr>
  </w:style>
  <w:style w:type="paragraph" w:customStyle="1" w:styleId="423">
    <w:name w:val="列表下文字"/>
    <w:basedOn w:val="369"/>
    <w:qFormat/>
    <w:uiPriority w:val="0"/>
    <w:pPr>
      <w:ind w:left="833" w:leftChars="347"/>
    </w:pPr>
  </w:style>
  <w:style w:type="paragraph" w:customStyle="1" w:styleId="424">
    <w:name w:val="Sub title 1"/>
    <w:basedOn w:val="312"/>
    <w:qFormat/>
    <w:uiPriority w:val="0"/>
    <w:pPr>
      <w:tabs>
        <w:tab w:val="left" w:pos="1304"/>
      </w:tabs>
    </w:pPr>
  </w:style>
  <w:style w:type="paragraph" w:customStyle="1" w:styleId="425">
    <w:name w:val="*"/>
    <w:basedOn w:val="294"/>
    <w:qFormat/>
    <w:uiPriority w:val="0"/>
  </w:style>
  <w:style w:type="paragraph" w:customStyle="1" w:styleId="426">
    <w:name w:val="招标文件1.1"/>
    <w:qFormat/>
    <w:uiPriority w:val="0"/>
    <w:pPr>
      <w:numPr>
        <w:ilvl w:val="2"/>
        <w:numId w:val="5"/>
      </w:numPr>
      <w:tabs>
        <w:tab w:val="left" w:pos="630"/>
      </w:tabs>
      <w:spacing w:before="120" w:after="120" w:line="480" w:lineRule="exact"/>
      <w:outlineLvl w:val="2"/>
    </w:pPr>
    <w:rPr>
      <w:rFonts w:ascii="宋体" w:hAnsi="Times New Roman" w:eastAsia="宋体" w:cs="Times New Roman"/>
      <w:b/>
      <w:spacing w:val="10"/>
      <w:w w:val="95"/>
      <w:sz w:val="24"/>
      <w:lang w:val="en-US" w:eastAsia="zh-CN" w:bidi="ar-SA"/>
    </w:rPr>
  </w:style>
  <w:style w:type="paragraph" w:customStyle="1" w:styleId="427">
    <w:name w:val="Notes Text Step in Table"/>
    <w:qFormat/>
    <w:uiPriority w:val="0"/>
    <w:pPr>
      <w:tabs>
        <w:tab w:val="left" w:pos="454"/>
      </w:tabs>
      <w:spacing w:before="40" w:after="80" w:line="200" w:lineRule="atLeast"/>
      <w:ind w:left="454" w:hanging="284"/>
    </w:pPr>
    <w:rPr>
      <w:rFonts w:ascii="Times New Roman" w:hAnsi="Times New Roman" w:eastAsia="楷体_GB2312" w:cs="楷体_GB2312"/>
      <w:sz w:val="18"/>
      <w:szCs w:val="18"/>
      <w:lang w:val="en-US" w:eastAsia="zh-CN" w:bidi="ar-SA"/>
    </w:rPr>
  </w:style>
  <w:style w:type="paragraph" w:customStyle="1" w:styleId="428">
    <w:name w:val="CM5"/>
    <w:basedOn w:val="292"/>
    <w:next w:val="292"/>
    <w:qFormat/>
    <w:uiPriority w:val="0"/>
    <w:pPr>
      <w:spacing w:line="540" w:lineRule="atLeast"/>
    </w:pPr>
    <w:rPr>
      <w:rFonts w:cs="Times New Roman"/>
      <w:color w:val="auto"/>
    </w:rPr>
  </w:style>
  <w:style w:type="paragraph" w:customStyle="1" w:styleId="429">
    <w:name w:val="PP 行"/>
    <w:basedOn w:val="58"/>
    <w:qFormat/>
    <w:uiPriority w:val="0"/>
    <w:pPr>
      <w:widowControl w:val="0"/>
      <w:jc w:val="both"/>
    </w:pPr>
    <w:rPr>
      <w:rFonts w:eastAsia="宋体"/>
      <w:kern w:val="2"/>
      <w:sz w:val="21"/>
      <w:szCs w:val="20"/>
      <w:lang w:val="en-US"/>
    </w:rPr>
  </w:style>
  <w:style w:type="paragraph" w:customStyle="1" w:styleId="430">
    <w:name w:val="Char1 Char Char Char"/>
    <w:basedOn w:val="1"/>
    <w:qFormat/>
    <w:uiPriority w:val="0"/>
    <w:pPr>
      <w:spacing w:line="240" w:lineRule="auto"/>
    </w:pPr>
    <w:rPr>
      <w:rFonts w:ascii="Tahoma" w:hAnsi="Tahoma" w:eastAsia="仿宋_GB2312"/>
      <w:b/>
      <w:sz w:val="24"/>
      <w:szCs w:val="20"/>
    </w:rPr>
  </w:style>
  <w:style w:type="paragraph" w:customStyle="1" w:styleId="431">
    <w:name w:val="Body1"/>
    <w:basedOn w:val="3"/>
    <w:qFormat/>
    <w:uiPriority w:val="0"/>
    <w:pPr>
      <w:keepNext/>
      <w:widowControl/>
      <w:numPr>
        <w:numId w:val="24"/>
      </w:numPr>
      <w:tabs>
        <w:tab w:val="left" w:pos="420"/>
        <w:tab w:val="left" w:pos="540"/>
        <w:tab w:val="left" w:pos="840"/>
        <w:tab w:val="left" w:pos="1008"/>
      </w:tabs>
      <w:spacing w:before="120" w:after="240"/>
      <w:ind w:left="1008" w:hanging="1008"/>
      <w:outlineLvl w:val="9"/>
    </w:pPr>
    <w:rPr>
      <w:rFonts w:ascii="Arial" w:hAnsi="Arial" w:eastAsia="PMingLiU"/>
      <w:b w:val="0"/>
      <w:bCs w:val="0"/>
      <w:caps/>
      <w:kern w:val="28"/>
      <w:sz w:val="28"/>
      <w:szCs w:val="28"/>
      <w:lang w:eastAsia="zh-TW"/>
    </w:rPr>
  </w:style>
  <w:style w:type="paragraph" w:customStyle="1" w:styleId="432">
    <w:name w:val="Char2"/>
    <w:basedOn w:val="1"/>
    <w:qFormat/>
    <w:uiPriority w:val="0"/>
    <w:pPr>
      <w:tabs>
        <w:tab w:val="left" w:pos="432"/>
      </w:tabs>
      <w:spacing w:line="240" w:lineRule="auto"/>
      <w:ind w:left="432" w:hanging="432"/>
    </w:pPr>
    <w:rPr>
      <w:rFonts w:eastAsia="宋体"/>
      <w:sz w:val="24"/>
    </w:rPr>
  </w:style>
  <w:style w:type="paragraph" w:customStyle="1" w:styleId="433">
    <w:name w:val="样式 标题 3 + 五号"/>
    <w:basedOn w:val="5"/>
    <w:qFormat/>
    <w:uiPriority w:val="0"/>
    <w:pPr>
      <w:tabs>
        <w:tab w:val="left" w:pos="1107"/>
      </w:tabs>
      <w:autoSpaceDE w:val="0"/>
      <w:autoSpaceDN w:val="0"/>
      <w:adjustRightInd w:val="0"/>
      <w:ind w:left="1107"/>
    </w:pPr>
    <w:rPr>
      <w:rFonts w:ascii="宋体" w:eastAsia="宋体"/>
      <w:bCs w:val="0"/>
      <w:kern w:val="0"/>
      <w:sz w:val="21"/>
      <w:szCs w:val="21"/>
      <w:lang w:val="en-US"/>
    </w:rPr>
  </w:style>
  <w:style w:type="paragraph" w:customStyle="1" w:styleId="434">
    <w:name w:val="表内文字"/>
    <w:basedOn w:val="1"/>
    <w:qFormat/>
    <w:uiPriority w:val="0"/>
    <w:pPr>
      <w:adjustRightInd w:val="0"/>
      <w:snapToGrid w:val="0"/>
      <w:spacing w:line="240" w:lineRule="atLeast"/>
      <w:ind w:left="50" w:leftChars="50"/>
    </w:pPr>
    <w:rPr>
      <w:rFonts w:eastAsia="宋体"/>
      <w:sz w:val="21"/>
      <w:szCs w:val="21"/>
    </w:rPr>
  </w:style>
  <w:style w:type="paragraph" w:customStyle="1" w:styleId="435">
    <w:name w:val="CM12"/>
    <w:basedOn w:val="292"/>
    <w:next w:val="292"/>
    <w:qFormat/>
    <w:uiPriority w:val="0"/>
    <w:pPr>
      <w:spacing w:line="540" w:lineRule="atLeast"/>
    </w:pPr>
    <w:rPr>
      <w:rFonts w:cs="Times New Roman"/>
      <w:color w:val="auto"/>
    </w:rPr>
  </w:style>
  <w:style w:type="paragraph" w:customStyle="1" w:styleId="436">
    <w:name w:val="Char3"/>
    <w:basedOn w:val="1"/>
    <w:qFormat/>
    <w:uiPriority w:val="0"/>
    <w:pPr>
      <w:tabs>
        <w:tab w:val="left" w:pos="432"/>
      </w:tabs>
      <w:spacing w:line="240" w:lineRule="auto"/>
      <w:ind w:left="432" w:hanging="432"/>
    </w:pPr>
    <w:rPr>
      <w:rFonts w:eastAsia="宋体"/>
      <w:sz w:val="24"/>
    </w:rPr>
  </w:style>
  <w:style w:type="paragraph" w:customStyle="1" w:styleId="437">
    <w:name w:val="默认段落字体 Para Char Char Char Char"/>
    <w:basedOn w:val="1"/>
    <w:qFormat/>
    <w:uiPriority w:val="0"/>
    <w:pPr>
      <w:spacing w:line="240" w:lineRule="auto"/>
    </w:pPr>
    <w:rPr>
      <w:rFonts w:eastAsia="宋体"/>
      <w:sz w:val="21"/>
    </w:rPr>
  </w:style>
  <w:style w:type="paragraph" w:customStyle="1" w:styleId="438">
    <w:name w:val="1.1"/>
    <w:basedOn w:val="4"/>
    <w:qFormat/>
    <w:uiPriority w:val="0"/>
    <w:pPr>
      <w:numPr>
        <w:ilvl w:val="0"/>
        <w:numId w:val="0"/>
      </w:numPr>
      <w:tabs>
        <w:tab w:val="left" w:pos="210"/>
        <w:tab w:val="left" w:pos="992"/>
      </w:tabs>
      <w:autoSpaceDE w:val="0"/>
      <w:autoSpaceDN w:val="0"/>
      <w:adjustRightInd w:val="0"/>
      <w:spacing w:before="0" w:after="0" w:line="360" w:lineRule="auto"/>
      <w:ind w:left="992" w:hanging="567"/>
      <w:outlineLvl w:val="2"/>
    </w:pPr>
    <w:rPr>
      <w:rFonts w:ascii="宋体" w:hAnsi="宋体" w:eastAsia="宋体"/>
      <w:sz w:val="24"/>
      <w:szCs w:val="24"/>
    </w:rPr>
  </w:style>
  <w:style w:type="paragraph" w:customStyle="1" w:styleId="439">
    <w:name w:val="缺省文本"/>
    <w:basedOn w:val="1"/>
    <w:qFormat/>
    <w:uiPriority w:val="0"/>
    <w:pPr>
      <w:autoSpaceDE w:val="0"/>
      <w:autoSpaceDN w:val="0"/>
      <w:adjustRightInd w:val="0"/>
      <w:spacing w:line="240" w:lineRule="auto"/>
      <w:jc w:val="left"/>
    </w:pPr>
    <w:rPr>
      <w:rFonts w:eastAsia="宋体"/>
      <w:kern w:val="0"/>
      <w:sz w:val="24"/>
    </w:rPr>
  </w:style>
  <w:style w:type="paragraph" w:customStyle="1" w:styleId="440">
    <w:name w:val="招标文件正文"/>
    <w:qFormat/>
    <w:uiPriority w:val="0"/>
    <w:pPr>
      <w:spacing w:before="120" w:after="120" w:line="300" w:lineRule="auto"/>
      <w:ind w:firstLine="200" w:firstLineChars="200"/>
    </w:pPr>
    <w:rPr>
      <w:rFonts w:ascii="宋体" w:hAnsi="Times New Roman" w:eastAsia="宋体" w:cs="Times New Roman"/>
      <w:spacing w:val="10"/>
      <w:w w:val="95"/>
      <w:sz w:val="21"/>
      <w:lang w:val="en-US" w:eastAsia="zh-CN" w:bidi="ar-SA"/>
    </w:rPr>
  </w:style>
  <w:style w:type="paragraph" w:customStyle="1" w:styleId="441">
    <w:name w:val="容量"/>
    <w:basedOn w:val="1"/>
    <w:qFormat/>
    <w:uiPriority w:val="0"/>
    <w:pPr>
      <w:adjustRightInd w:val="0"/>
      <w:spacing w:line="312" w:lineRule="atLeast"/>
      <w:textAlignment w:val="baseline"/>
    </w:pPr>
    <w:rPr>
      <w:rFonts w:eastAsia="宋体"/>
      <w:kern w:val="0"/>
      <w:sz w:val="24"/>
      <w:szCs w:val="20"/>
    </w:rPr>
  </w:style>
  <w:style w:type="paragraph" w:customStyle="1" w:styleId="442">
    <w:name w:val="样式2"/>
    <w:basedOn w:val="84"/>
    <w:qFormat/>
    <w:uiPriority w:val="0"/>
    <w:pPr>
      <w:numPr>
        <w:ilvl w:val="0"/>
        <w:numId w:val="0"/>
      </w:numPr>
      <w:spacing w:line="240" w:lineRule="auto"/>
      <w:jc w:val="both"/>
    </w:pPr>
    <w:rPr>
      <w:rFonts w:ascii="Arial" w:hAnsi="Arial" w:eastAsia="宋体"/>
      <w:bCs w:val="0"/>
      <w:sz w:val="30"/>
      <w:szCs w:val="20"/>
      <w:lang w:val="en-US"/>
    </w:rPr>
  </w:style>
  <w:style w:type="paragraph" w:customStyle="1" w:styleId="443">
    <w:name w:val="正文2"/>
    <w:basedOn w:val="1"/>
    <w:qFormat/>
    <w:uiPriority w:val="0"/>
    <w:pPr>
      <w:spacing w:line="240" w:lineRule="auto"/>
    </w:pPr>
    <w:rPr>
      <w:rFonts w:eastAsia="宋体"/>
      <w:sz w:val="21"/>
      <w:szCs w:val="36"/>
    </w:rPr>
  </w:style>
  <w:style w:type="paragraph" w:customStyle="1" w:styleId="444">
    <w:name w:val="一"/>
    <w:basedOn w:val="3"/>
    <w:qFormat/>
    <w:uiPriority w:val="0"/>
    <w:pPr>
      <w:numPr>
        <w:numId w:val="0"/>
      </w:numPr>
      <w:tabs>
        <w:tab w:val="left" w:pos="425"/>
        <w:tab w:val="left" w:pos="540"/>
      </w:tabs>
      <w:autoSpaceDE w:val="0"/>
      <w:autoSpaceDN w:val="0"/>
      <w:adjustRightInd w:val="0"/>
      <w:spacing w:before="0" w:after="0" w:line="360" w:lineRule="auto"/>
      <w:ind w:left="425" w:hanging="425"/>
    </w:pPr>
    <w:rPr>
      <w:rFonts w:ascii="宋体" w:hAnsi="宋体" w:eastAsia="宋体"/>
      <w:kern w:val="0"/>
      <w:sz w:val="28"/>
      <w:szCs w:val="20"/>
    </w:rPr>
  </w:style>
  <w:style w:type="paragraph" w:customStyle="1" w:styleId="445">
    <w:name w:val="标书样式"/>
    <w:basedOn w:val="1"/>
    <w:qFormat/>
    <w:uiPriority w:val="0"/>
    <w:pPr>
      <w:spacing w:line="360" w:lineRule="auto"/>
      <w:ind w:firstLine="480" w:firstLineChars="200"/>
    </w:pPr>
    <w:rPr>
      <w:rFonts w:eastAsia="仿宋_GB2312"/>
      <w:sz w:val="24"/>
    </w:rPr>
  </w:style>
  <w:style w:type="paragraph" w:customStyle="1" w:styleId="446">
    <w:name w:val="招标文件》"/>
    <w:basedOn w:val="440"/>
    <w:qFormat/>
    <w:uiPriority w:val="0"/>
    <w:pPr>
      <w:numPr>
        <w:ilvl w:val="0"/>
        <w:numId w:val="25"/>
      </w:numPr>
      <w:tabs>
        <w:tab w:val="left" w:pos="560"/>
      </w:tabs>
      <w:ind w:firstLine="0" w:firstLineChars="0"/>
    </w:pPr>
  </w:style>
  <w:style w:type="paragraph" w:customStyle="1" w:styleId="447">
    <w:name w:val="原文列表"/>
    <w:basedOn w:val="369"/>
    <w:qFormat/>
    <w:uiPriority w:val="0"/>
    <w:pPr>
      <w:numPr>
        <w:ilvl w:val="0"/>
        <w:numId w:val="26"/>
      </w:numPr>
      <w:tabs>
        <w:tab w:val="left" w:pos="840"/>
      </w:tabs>
      <w:ind w:firstLine="0" w:firstLineChars="0"/>
    </w:pPr>
  </w:style>
  <w:style w:type="paragraph" w:customStyle="1" w:styleId="448">
    <w:name w:val="註解方塊文字"/>
    <w:basedOn w:val="1"/>
    <w:semiHidden/>
    <w:qFormat/>
    <w:uiPriority w:val="0"/>
    <w:pPr>
      <w:widowControl/>
      <w:spacing w:line="240" w:lineRule="auto"/>
      <w:jc w:val="left"/>
    </w:pPr>
    <w:rPr>
      <w:rFonts w:ascii="Arial" w:hAnsi="Arial" w:eastAsia="PMingLiU"/>
      <w:kern w:val="0"/>
      <w:sz w:val="18"/>
      <w:szCs w:val="18"/>
      <w:lang w:eastAsia="zh-HK"/>
    </w:rPr>
  </w:style>
  <w:style w:type="paragraph" w:customStyle="1" w:styleId="449">
    <w:name w:val="标准文本"/>
    <w:basedOn w:val="1"/>
    <w:qFormat/>
    <w:uiPriority w:val="0"/>
    <w:pPr>
      <w:numPr>
        <w:ilvl w:val="0"/>
        <w:numId w:val="27"/>
      </w:numPr>
      <w:ind w:left="0" w:firstLine="522"/>
    </w:pPr>
    <w:rPr>
      <w:rFonts w:eastAsia="宋体"/>
      <w:sz w:val="24"/>
    </w:rPr>
  </w:style>
  <w:style w:type="paragraph" w:customStyle="1" w:styleId="450">
    <w:name w:val="IVBD正文"/>
    <w:basedOn w:val="1"/>
    <w:qFormat/>
    <w:uiPriority w:val="0"/>
    <w:pPr>
      <w:adjustRightInd w:val="0"/>
      <w:snapToGrid w:val="0"/>
      <w:spacing w:line="360" w:lineRule="auto"/>
      <w:ind w:firstLine="480" w:firstLineChars="200"/>
    </w:pPr>
    <w:rPr>
      <w:rFonts w:ascii="宋体" w:hAnsi="宋体" w:eastAsia="宋体"/>
      <w:sz w:val="24"/>
    </w:rPr>
  </w:style>
  <w:style w:type="paragraph" w:customStyle="1" w:styleId="451">
    <w:name w:val="CM3"/>
    <w:basedOn w:val="292"/>
    <w:next w:val="292"/>
    <w:qFormat/>
    <w:uiPriority w:val="0"/>
    <w:pPr>
      <w:spacing w:line="540" w:lineRule="atLeast"/>
    </w:pPr>
    <w:rPr>
      <w:rFonts w:cs="Times New Roman"/>
      <w:color w:val="auto"/>
    </w:rPr>
  </w:style>
  <w:style w:type="paragraph" w:customStyle="1" w:styleId="452">
    <w:name w:val="样式 目录 2 + 左侧:  2 字符1"/>
    <w:basedOn w:val="74"/>
    <w:qFormat/>
    <w:uiPriority w:val="0"/>
    <w:pPr>
      <w:tabs>
        <w:tab w:val="left" w:pos="945"/>
        <w:tab w:val="left" w:pos="1260"/>
        <w:tab w:val="right" w:leader="dot" w:pos="8392"/>
      </w:tabs>
      <w:spacing w:line="360" w:lineRule="auto"/>
      <w:ind w:left="400" w:leftChars="400"/>
      <w:jc w:val="both"/>
    </w:pPr>
    <w:rPr>
      <w:rFonts w:ascii="Times New Roman" w:hAnsi="Times New Roman" w:eastAsia="宋体" w:cs="宋体"/>
      <w:smallCaps w:val="0"/>
      <w:sz w:val="24"/>
    </w:rPr>
  </w:style>
  <w:style w:type="paragraph" w:customStyle="1" w:styleId="453">
    <w:name w:val="Char"/>
    <w:basedOn w:val="1"/>
    <w:qFormat/>
    <w:uiPriority w:val="0"/>
    <w:pPr>
      <w:spacing w:line="240" w:lineRule="auto"/>
    </w:pPr>
    <w:rPr>
      <w:rFonts w:ascii="Tahoma" w:hAnsi="Tahoma" w:eastAsia="宋体"/>
      <w:sz w:val="24"/>
      <w:szCs w:val="20"/>
    </w:rPr>
  </w:style>
  <w:style w:type="paragraph" w:customStyle="1" w:styleId="454">
    <w:name w:val="样式 样式 Times New Roman 首行缩进:  2 字符 + 首行缩进:  2 字符"/>
    <w:basedOn w:val="1"/>
    <w:qFormat/>
    <w:uiPriority w:val="0"/>
    <w:pPr>
      <w:spacing w:line="560" w:lineRule="exact"/>
      <w:ind w:firstLine="200" w:firstLineChars="200"/>
    </w:pPr>
    <w:rPr>
      <w:rFonts w:eastAsia="宋体"/>
      <w:szCs w:val="20"/>
    </w:rPr>
  </w:style>
  <w:style w:type="paragraph" w:customStyle="1" w:styleId="455">
    <w:name w:val="9号线正文"/>
    <w:basedOn w:val="1"/>
    <w:qFormat/>
    <w:uiPriority w:val="0"/>
    <w:pPr>
      <w:widowControl/>
      <w:overflowPunct w:val="0"/>
      <w:spacing w:line="560" w:lineRule="exact"/>
      <w:ind w:firstLine="420" w:firstLineChars="200"/>
      <w:jc w:val="left"/>
    </w:pPr>
    <w:rPr>
      <w:rFonts w:ascii="宋体" w:hAnsi="宋体" w:eastAsia="宋体"/>
      <w:kern w:val="0"/>
      <w:sz w:val="26"/>
      <w:szCs w:val="20"/>
    </w:rPr>
  </w:style>
  <w:style w:type="paragraph" w:customStyle="1" w:styleId="456">
    <w:name w:val="内容"/>
    <w:basedOn w:val="1"/>
    <w:next w:val="1"/>
    <w:qFormat/>
    <w:uiPriority w:val="0"/>
    <w:pPr>
      <w:spacing w:line="500" w:lineRule="exact"/>
      <w:ind w:firstLine="425" w:firstLineChars="200"/>
      <w:jc w:val="left"/>
    </w:pPr>
    <w:rPr>
      <w:rFonts w:ascii="宋体" w:hAnsi="宋体" w:eastAsia="宋体"/>
      <w:sz w:val="24"/>
    </w:rPr>
  </w:style>
  <w:style w:type="table" w:customStyle="1" w:styleId="457">
    <w:name w:val="网格表 4 - 着色 11"/>
    <w:basedOn w:val="88"/>
    <w:qFormat/>
    <w:uiPriority w:val="49"/>
    <w:rPr>
      <w:rFonts w:ascii="Calibri" w:hAnsi="Calibri"/>
      <w:kern w:val="2"/>
      <w:sz w:val="24"/>
      <w:szCs w:val="24"/>
    </w:rPr>
    <w:tblPr>
      <w:tblBorders>
        <w:top w:val="single" w:color="9CC2E5" w:sz="4" w:space="0"/>
        <w:left w:val="single" w:color="9CC2E5" w:sz="4" w:space="0"/>
        <w:bottom w:val="single" w:color="9CC2E5" w:sz="4" w:space="0"/>
        <w:right w:val="single" w:color="9CC2E5" w:sz="4" w:space="0"/>
        <w:insideH w:val="single" w:color="9CC2E5" w:sz="4" w:space="0"/>
        <w:insideV w:val="single" w:color="9CC2E5" w:sz="4" w:space="0"/>
      </w:tblBorders>
    </w:tblPr>
    <w:tblStylePr w:type="firstRow">
      <w:rPr>
        <w:b/>
        <w:bCs/>
        <w:color w:val="FFFFFF"/>
      </w:rPr>
      <w:tcPr>
        <w:tcBorders>
          <w:top w:val="single" w:color="5B9BD5" w:sz="4" w:space="0"/>
          <w:left w:val="single" w:color="5B9BD5" w:sz="4" w:space="0"/>
          <w:bottom w:val="single" w:color="5B9BD5" w:sz="4" w:space="0"/>
          <w:right w:val="single" w:color="5B9BD5" w:sz="4" w:space="0"/>
          <w:insideH w:val="nil"/>
          <w:insideV w:val="nil"/>
          <w:tl2br w:val="nil"/>
          <w:tr2bl w:val="nil"/>
        </w:tcBorders>
        <w:shd w:val="clear" w:color="auto" w:fill="5B9BD5"/>
      </w:tcPr>
    </w:tblStylePr>
    <w:tblStylePr w:type="lastRow">
      <w:rPr>
        <w:b/>
        <w:bCs/>
      </w:rPr>
      <w:tcPr>
        <w:tcBorders>
          <w:top w:val="double" w:color="5B9BD5" w:sz="4"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cPr>
        <w:shd w:val="clear" w:color="auto" w:fill="DEEAF6"/>
      </w:tcPr>
    </w:tblStylePr>
    <w:tblStylePr w:type="band1Horz">
      <w:tcPr>
        <w:shd w:val="clear" w:color="auto" w:fill="DEEAF6"/>
      </w:tcPr>
    </w:tblStylePr>
  </w:style>
  <w:style w:type="character" w:customStyle="1" w:styleId="458">
    <w:name w:val="批注文字 Char"/>
    <w:qFormat/>
    <w:uiPriority w:val="99"/>
    <w:rPr>
      <w:rFonts w:ascii="宋体" w:hAnsi="宋体"/>
      <w:bCs/>
      <w:spacing w:val="20"/>
      <w:kern w:val="2"/>
      <w:sz w:val="28"/>
      <w:szCs w:val="24"/>
    </w:rPr>
  </w:style>
  <w:style w:type="character" w:customStyle="1" w:styleId="459">
    <w:name w:val="题注 Char"/>
    <w:qFormat/>
    <w:uiPriority w:val="0"/>
    <w:rPr>
      <w:rFonts w:ascii="Arial" w:hAnsi="Arial" w:eastAsia="黑体" w:cs="Arial"/>
      <w:kern w:val="2"/>
      <w:lang w:val="en-US" w:eastAsia="zh-CN" w:bidi="ar-SA"/>
    </w:rPr>
  </w:style>
  <w:style w:type="character" w:customStyle="1" w:styleId="460">
    <w:name w:val="标题 3 Char"/>
    <w:qFormat/>
    <w:uiPriority w:val="0"/>
    <w:rPr>
      <w:b/>
      <w:bCs/>
      <w:kern w:val="2"/>
      <w:sz w:val="32"/>
      <w:szCs w:val="32"/>
      <w:lang w:val="zh-CN" w:eastAsia="zh-CN"/>
    </w:rPr>
  </w:style>
  <w:style w:type="character" w:customStyle="1" w:styleId="461">
    <w:name w:val="标题 1 Char"/>
    <w:qFormat/>
    <w:uiPriority w:val="9"/>
    <w:rPr>
      <w:rFonts w:ascii="宋体" w:hAnsi="宋体"/>
      <w:b/>
      <w:bCs/>
      <w:sz w:val="21"/>
      <w:lang w:val="zh-CN" w:eastAsia="zh-CN"/>
    </w:rPr>
  </w:style>
  <w:style w:type="character" w:customStyle="1" w:styleId="462">
    <w:name w:val="正文文本缩进 Char"/>
    <w:qFormat/>
    <w:uiPriority w:val="0"/>
    <w:rPr>
      <w:rFonts w:ascii="宋体" w:hAnsi="宋体"/>
      <w:color w:val="000000"/>
      <w:kern w:val="2"/>
      <w:sz w:val="21"/>
      <w:szCs w:val="24"/>
    </w:rPr>
  </w:style>
  <w:style w:type="character" w:customStyle="1" w:styleId="463">
    <w:name w:val="纯文本 Char"/>
    <w:qFormat/>
    <w:uiPriority w:val="0"/>
    <w:rPr>
      <w:rFonts w:ascii="宋体" w:hAnsi="Courier New" w:cs="Courier New"/>
      <w:kern w:val="2"/>
      <w:sz w:val="21"/>
      <w:szCs w:val="21"/>
    </w:rPr>
  </w:style>
  <w:style w:type="character" w:customStyle="1" w:styleId="464">
    <w:name w:val="标题 2 Char1"/>
    <w:qFormat/>
    <w:uiPriority w:val="0"/>
    <w:rPr>
      <w:rFonts w:ascii="宋体" w:hAnsi="宋体"/>
      <w:b/>
      <w:color w:val="FF0000"/>
      <w:kern w:val="2"/>
      <w:sz w:val="24"/>
      <w:szCs w:val="24"/>
      <w:lang w:val="zh-CN"/>
    </w:rPr>
  </w:style>
  <w:style w:type="character" w:customStyle="1" w:styleId="465">
    <w:name w:val="标题 5 Char"/>
    <w:qFormat/>
    <w:uiPriority w:val="0"/>
    <w:rPr>
      <w:b/>
      <w:bCs/>
      <w:kern w:val="2"/>
      <w:sz w:val="28"/>
      <w:szCs w:val="28"/>
      <w:lang w:val="zh-CN" w:eastAsia="zh-CN"/>
    </w:rPr>
  </w:style>
  <w:style w:type="character" w:customStyle="1" w:styleId="466">
    <w:name w:val="标题 6 Char"/>
    <w:qFormat/>
    <w:uiPriority w:val="0"/>
    <w:rPr>
      <w:bCs/>
      <w:snapToGrid w:val="0"/>
      <w:kern w:val="28"/>
      <w:sz w:val="28"/>
      <w:szCs w:val="28"/>
    </w:rPr>
  </w:style>
  <w:style w:type="character" w:customStyle="1" w:styleId="467">
    <w:name w:val="标题 7 Char"/>
    <w:qFormat/>
    <w:uiPriority w:val="0"/>
    <w:rPr>
      <w:rFonts w:ascii="Arial" w:hAnsi="Arial"/>
      <w:b/>
      <w:bCs/>
      <w:snapToGrid w:val="0"/>
      <w:kern w:val="24"/>
      <w:sz w:val="24"/>
      <w:szCs w:val="28"/>
      <w:lang w:val="zh-CN" w:eastAsia="zh-CN"/>
    </w:rPr>
  </w:style>
  <w:style w:type="character" w:customStyle="1" w:styleId="468">
    <w:name w:val="标题 8 Char"/>
    <w:qFormat/>
    <w:uiPriority w:val="0"/>
    <w:rPr>
      <w:rFonts w:ascii="Arial" w:hAnsi="Arial" w:eastAsia="黑体"/>
      <w:snapToGrid w:val="0"/>
      <w:kern w:val="24"/>
      <w:sz w:val="24"/>
      <w:szCs w:val="28"/>
      <w:lang w:val="zh-CN" w:eastAsia="zh-CN"/>
    </w:rPr>
  </w:style>
  <w:style w:type="character" w:customStyle="1" w:styleId="469">
    <w:name w:val="标题 9 Char"/>
    <w:qFormat/>
    <w:uiPriority w:val="0"/>
    <w:rPr>
      <w:rFonts w:ascii="Arial" w:hAnsi="Arial" w:eastAsia="黑体"/>
      <w:snapToGrid w:val="0"/>
      <w:kern w:val="24"/>
      <w:sz w:val="24"/>
      <w:szCs w:val="21"/>
      <w:lang w:val="zh-CN" w:eastAsia="zh-CN"/>
    </w:rPr>
  </w:style>
  <w:style w:type="character" w:customStyle="1" w:styleId="470">
    <w:name w:val="正文文本 Char"/>
    <w:qFormat/>
    <w:uiPriority w:val="99"/>
    <w:rPr>
      <w:sz w:val="21"/>
    </w:rPr>
  </w:style>
  <w:style w:type="character" w:customStyle="1" w:styleId="471">
    <w:name w:val="正文文本缩进 3 Char"/>
    <w:qFormat/>
    <w:uiPriority w:val="99"/>
    <w:rPr>
      <w:rFonts w:ascii="宋体" w:hAnsi="宋体"/>
      <w:color w:val="000000"/>
      <w:kern w:val="2"/>
      <w:sz w:val="21"/>
      <w:szCs w:val="24"/>
    </w:rPr>
  </w:style>
  <w:style w:type="character" w:customStyle="1" w:styleId="472">
    <w:name w:val="正文文本缩进 2 Char"/>
    <w:qFormat/>
    <w:uiPriority w:val="0"/>
    <w:rPr>
      <w:rFonts w:ascii="宋体"/>
      <w:kern w:val="2"/>
      <w:sz w:val="28"/>
    </w:rPr>
  </w:style>
  <w:style w:type="character" w:customStyle="1" w:styleId="473">
    <w:name w:val="页眉 Char"/>
    <w:qFormat/>
    <w:uiPriority w:val="99"/>
    <w:rPr>
      <w:kern w:val="2"/>
      <w:sz w:val="18"/>
      <w:szCs w:val="18"/>
    </w:rPr>
  </w:style>
  <w:style w:type="character" w:customStyle="1" w:styleId="474">
    <w:name w:val="页脚 Char"/>
    <w:qFormat/>
    <w:uiPriority w:val="0"/>
    <w:rPr>
      <w:kern w:val="2"/>
      <w:sz w:val="18"/>
      <w:szCs w:val="18"/>
    </w:rPr>
  </w:style>
  <w:style w:type="character" w:customStyle="1" w:styleId="475">
    <w:name w:val="文档结构图 Char"/>
    <w:semiHidden/>
    <w:qFormat/>
    <w:uiPriority w:val="0"/>
    <w:rPr>
      <w:kern w:val="2"/>
      <w:sz w:val="21"/>
      <w:szCs w:val="24"/>
      <w:shd w:val="clear" w:color="auto" w:fill="000080"/>
    </w:rPr>
  </w:style>
  <w:style w:type="character" w:customStyle="1" w:styleId="476">
    <w:name w:val="批注框文本 Char"/>
    <w:semiHidden/>
    <w:qFormat/>
    <w:uiPriority w:val="0"/>
    <w:rPr>
      <w:kern w:val="2"/>
      <w:sz w:val="18"/>
      <w:szCs w:val="18"/>
    </w:rPr>
  </w:style>
  <w:style w:type="character" w:customStyle="1" w:styleId="477">
    <w:name w:val="正文文本 2 Char"/>
    <w:qFormat/>
    <w:uiPriority w:val="0"/>
    <w:rPr>
      <w:kern w:val="2"/>
      <w:sz w:val="21"/>
      <w:szCs w:val="24"/>
    </w:rPr>
  </w:style>
  <w:style w:type="character" w:customStyle="1" w:styleId="478">
    <w:name w:val="日期 Char"/>
    <w:qFormat/>
    <w:uiPriority w:val="0"/>
    <w:rPr>
      <w:snapToGrid w:val="0"/>
      <w:kern w:val="28"/>
      <w:sz w:val="28"/>
      <w:szCs w:val="28"/>
    </w:rPr>
  </w:style>
  <w:style w:type="character" w:customStyle="1" w:styleId="479">
    <w:name w:val="批注主题 Char"/>
    <w:semiHidden/>
    <w:qFormat/>
    <w:uiPriority w:val="99"/>
    <w:rPr>
      <w:b/>
      <w:bCs/>
      <w:kern w:val="2"/>
      <w:sz w:val="21"/>
      <w:szCs w:val="24"/>
    </w:rPr>
  </w:style>
  <w:style w:type="character" w:customStyle="1" w:styleId="480">
    <w:name w:val="正文首行缩进 Char"/>
    <w:qFormat/>
    <w:uiPriority w:val="0"/>
    <w:rPr>
      <w:kern w:val="2"/>
      <w:sz w:val="21"/>
      <w:szCs w:val="24"/>
    </w:rPr>
  </w:style>
  <w:style w:type="character" w:customStyle="1" w:styleId="481">
    <w:name w:val="4 dash Char"/>
    <w:qFormat/>
    <w:uiPriority w:val="0"/>
    <w:rPr>
      <w:rFonts w:ascii="Arial" w:hAnsi="Arial"/>
      <w:bCs/>
      <w:kern w:val="2"/>
      <w:sz w:val="21"/>
      <w:szCs w:val="28"/>
      <w:lang w:val="zh-CN" w:eastAsia="zh-CN"/>
    </w:rPr>
  </w:style>
  <w:style w:type="character" w:customStyle="1" w:styleId="482">
    <w:name w:val="签名 Char"/>
    <w:qFormat/>
    <w:uiPriority w:val="0"/>
    <w:rPr>
      <w:kern w:val="2"/>
      <w:sz w:val="21"/>
    </w:rPr>
  </w:style>
  <w:style w:type="character" w:customStyle="1" w:styleId="483">
    <w:name w:val="正文文本 3 Char"/>
    <w:qFormat/>
    <w:uiPriority w:val="0"/>
    <w:rPr>
      <w:rFonts w:eastAsia="仿宋_GB2312"/>
      <w:color w:val="000000"/>
      <w:kern w:val="2"/>
      <w:sz w:val="24"/>
    </w:rPr>
  </w:style>
  <w:style w:type="character" w:customStyle="1" w:styleId="484">
    <w:name w:val="标题 Char"/>
    <w:qFormat/>
    <w:uiPriority w:val="0"/>
    <w:rPr>
      <w:rFonts w:ascii="Arial" w:hAnsi="Arial"/>
      <w:b/>
      <w:kern w:val="2"/>
      <w:sz w:val="30"/>
    </w:rPr>
  </w:style>
  <w:style w:type="character" w:customStyle="1" w:styleId="485">
    <w:name w:val="HTML 预设格式 Char"/>
    <w:qFormat/>
    <w:uiPriority w:val="0"/>
    <w:rPr>
      <w:rFonts w:ascii="宋体" w:hAnsi="宋体" w:cs="宋体"/>
      <w:sz w:val="24"/>
      <w:szCs w:val="24"/>
    </w:rPr>
  </w:style>
  <w:style w:type="character" w:customStyle="1" w:styleId="486">
    <w:name w:val="正文首行缩进 2 Char"/>
    <w:qFormat/>
    <w:uiPriority w:val="0"/>
  </w:style>
  <w:style w:type="character" w:customStyle="1" w:styleId="487">
    <w:name w:val="称呼 Char"/>
    <w:qFormat/>
    <w:uiPriority w:val="0"/>
    <w:rPr>
      <w:kern w:val="2"/>
      <w:sz w:val="24"/>
    </w:rPr>
  </w:style>
  <w:style w:type="paragraph" w:customStyle="1" w:styleId="488">
    <w:name w:val="正文文本21"/>
    <w:qFormat/>
    <w:uiPriority w:val="0"/>
    <w:pPr>
      <w:widowControl w:val="0"/>
      <w:autoSpaceDE w:val="0"/>
      <w:autoSpaceDN w:val="0"/>
      <w:adjustRightInd w:val="0"/>
      <w:spacing w:before="170" w:line="300" w:lineRule="atLeast"/>
      <w:jc w:val="both"/>
    </w:pPr>
    <w:rPr>
      <w:rFonts w:ascii="宋体" w:hAnsi="宋体" w:eastAsia="宋体" w:cs="Times New Roman"/>
      <w:b/>
      <w:bCs/>
      <w:kern w:val="2"/>
      <w:sz w:val="24"/>
      <w:szCs w:val="24"/>
      <w:lang w:val="en-US" w:eastAsia="zh-CN" w:bidi="ar-SA"/>
    </w:rPr>
  </w:style>
  <w:style w:type="character" w:customStyle="1" w:styleId="489">
    <w:name w:val="正文文本缩进 字符1"/>
    <w:qFormat/>
    <w:uiPriority w:val="0"/>
    <w:rPr>
      <w:rFonts w:ascii="宋体" w:hAnsi="宋体" w:eastAsia="宋体" w:cs="Times New Roman"/>
      <w:color w:val="000000"/>
      <w:szCs w:val="24"/>
      <w:lang w:val="zh-CN" w:eastAsia="zh-CN"/>
    </w:rPr>
  </w:style>
  <w:style w:type="paragraph" w:customStyle="1" w:styleId="490">
    <w:name w:val="Char Char Char Char Char Char1 Char Char Char Char1"/>
    <w:basedOn w:val="1"/>
    <w:autoRedefine/>
    <w:qFormat/>
    <w:uiPriority w:val="0"/>
    <w:pPr>
      <w:spacing w:line="240" w:lineRule="auto"/>
    </w:pPr>
    <w:rPr>
      <w:rFonts w:ascii="仿宋_GB2312" w:eastAsia="仿宋_GB2312"/>
      <w:b/>
      <w:sz w:val="32"/>
      <w:szCs w:val="32"/>
    </w:rPr>
  </w:style>
  <w:style w:type="character" w:customStyle="1" w:styleId="491">
    <w:name w:val="纯文本 字符1"/>
    <w:qFormat/>
    <w:uiPriority w:val="0"/>
    <w:rPr>
      <w:rFonts w:ascii="宋体" w:hAnsi="Courier New" w:eastAsia="宋体" w:cs="Times New Roman"/>
      <w:szCs w:val="21"/>
      <w:lang w:val="zh-CN" w:eastAsia="zh-CN"/>
    </w:rPr>
  </w:style>
  <w:style w:type="character" w:customStyle="1" w:styleId="492">
    <w:name w:val="Char Char81"/>
    <w:semiHidden/>
    <w:qFormat/>
    <w:uiPriority w:val="0"/>
    <w:rPr>
      <w:rFonts w:ascii="宋体" w:hAnsi="宋体" w:eastAsia="宋体"/>
      <w:bCs/>
      <w:spacing w:val="20"/>
      <w:kern w:val="2"/>
      <w:sz w:val="28"/>
      <w:szCs w:val="24"/>
      <w:lang w:val="en-US" w:eastAsia="zh-CN" w:bidi="ar-SA"/>
    </w:rPr>
  </w:style>
  <w:style w:type="character" w:customStyle="1" w:styleId="493">
    <w:name w:val="Char Char11"/>
    <w:semiHidden/>
    <w:qFormat/>
    <w:uiPriority w:val="0"/>
    <w:rPr>
      <w:rFonts w:ascii="宋体" w:hAnsi="宋体"/>
      <w:bCs/>
      <w:spacing w:val="20"/>
      <w:kern w:val="2"/>
      <w:sz w:val="28"/>
      <w:szCs w:val="24"/>
    </w:rPr>
  </w:style>
  <w:style w:type="character" w:customStyle="1" w:styleId="494">
    <w:name w:val="文档结构图 字符1"/>
    <w:semiHidden/>
    <w:qFormat/>
    <w:uiPriority w:val="0"/>
    <w:rPr>
      <w:rFonts w:ascii="Times New Roman" w:hAnsi="Times New Roman" w:eastAsia="宋体" w:cs="Times New Roman"/>
      <w:szCs w:val="24"/>
      <w:shd w:val="clear" w:color="auto" w:fill="000080"/>
      <w:lang w:val="zh-CN" w:eastAsia="zh-CN"/>
    </w:rPr>
  </w:style>
  <w:style w:type="character" w:customStyle="1" w:styleId="495">
    <w:name w:val="正文文本 2 字符1"/>
    <w:qFormat/>
    <w:uiPriority w:val="0"/>
    <w:rPr>
      <w:rFonts w:ascii="Times New Roman" w:hAnsi="Times New Roman" w:eastAsia="宋体" w:cs="Times New Roman"/>
      <w:szCs w:val="24"/>
      <w:lang w:val="zh-CN" w:eastAsia="zh-CN"/>
    </w:rPr>
  </w:style>
  <w:style w:type="character" w:customStyle="1" w:styleId="496">
    <w:name w:val="日期 字符1"/>
    <w:qFormat/>
    <w:uiPriority w:val="0"/>
    <w:rPr>
      <w:rFonts w:ascii="Times New Roman" w:hAnsi="Times New Roman" w:eastAsia="宋体" w:cs="Times New Roman"/>
      <w:snapToGrid w:val="0"/>
      <w:kern w:val="28"/>
      <w:sz w:val="28"/>
      <w:szCs w:val="28"/>
      <w:lang w:val="zh-CN" w:eastAsia="zh-CN"/>
    </w:rPr>
  </w:style>
  <w:style w:type="character" w:customStyle="1" w:styleId="497">
    <w:name w:val="签名 字符1"/>
    <w:qFormat/>
    <w:uiPriority w:val="0"/>
    <w:rPr>
      <w:rFonts w:ascii="Times New Roman" w:hAnsi="Times New Roman" w:eastAsia="宋体" w:cs="Times New Roman"/>
      <w:szCs w:val="20"/>
      <w:lang w:val="zh-CN" w:eastAsia="zh-CN"/>
    </w:rPr>
  </w:style>
  <w:style w:type="paragraph" w:customStyle="1" w:styleId="498">
    <w:name w:val="Char1 Char Char Char1"/>
    <w:basedOn w:val="1"/>
    <w:qFormat/>
    <w:uiPriority w:val="0"/>
    <w:pPr>
      <w:spacing w:line="240" w:lineRule="auto"/>
    </w:pPr>
    <w:rPr>
      <w:rFonts w:ascii="Tahoma" w:hAnsi="Tahoma" w:eastAsia="仿宋_GB2312"/>
      <w:b/>
      <w:sz w:val="24"/>
      <w:szCs w:val="20"/>
    </w:rPr>
  </w:style>
  <w:style w:type="character" w:customStyle="1" w:styleId="499">
    <w:name w:val="正文文本 3 字符1"/>
    <w:qFormat/>
    <w:uiPriority w:val="0"/>
    <w:rPr>
      <w:rFonts w:ascii="Times New Roman" w:hAnsi="Times New Roman" w:eastAsia="仿宋_GB2312" w:cs="Times New Roman"/>
      <w:color w:val="000000"/>
      <w:sz w:val="24"/>
      <w:szCs w:val="20"/>
      <w:lang w:val="zh-CN" w:eastAsia="zh-CN"/>
    </w:rPr>
  </w:style>
  <w:style w:type="character" w:customStyle="1" w:styleId="500">
    <w:name w:val="标题 字符1"/>
    <w:qFormat/>
    <w:uiPriority w:val="0"/>
    <w:rPr>
      <w:rFonts w:ascii="Arial" w:hAnsi="Arial" w:eastAsia="宋体" w:cs="Times New Roman"/>
      <w:b/>
      <w:sz w:val="30"/>
      <w:szCs w:val="20"/>
      <w:lang w:val="zh-CN" w:eastAsia="zh-CN"/>
    </w:rPr>
  </w:style>
  <w:style w:type="character" w:customStyle="1" w:styleId="501">
    <w:name w:val="HTML 预设格式 字符1"/>
    <w:qFormat/>
    <w:uiPriority w:val="0"/>
    <w:rPr>
      <w:rFonts w:ascii="宋体" w:hAnsi="宋体" w:eastAsia="宋体" w:cs="Times New Roman"/>
      <w:kern w:val="0"/>
      <w:sz w:val="24"/>
      <w:szCs w:val="24"/>
      <w:lang w:val="zh-CN" w:eastAsia="zh-CN"/>
    </w:rPr>
  </w:style>
  <w:style w:type="character" w:customStyle="1" w:styleId="502">
    <w:name w:val="Char Char121"/>
    <w:qFormat/>
    <w:uiPriority w:val="0"/>
    <w:rPr>
      <w:sz w:val="18"/>
      <w:szCs w:val="18"/>
    </w:rPr>
  </w:style>
  <w:style w:type="character" w:customStyle="1" w:styleId="503">
    <w:name w:val="称呼 字符1"/>
    <w:qFormat/>
    <w:uiPriority w:val="0"/>
    <w:rPr>
      <w:rFonts w:ascii="Times New Roman" w:hAnsi="Times New Roman" w:eastAsia="宋体" w:cs="Times New Roman"/>
      <w:sz w:val="24"/>
      <w:szCs w:val="20"/>
      <w:lang w:val="zh-CN" w:eastAsia="zh-CN"/>
    </w:rPr>
  </w:style>
  <w:style w:type="paragraph" w:customStyle="1" w:styleId="504">
    <w:name w:val="default"/>
    <w:basedOn w:val="1"/>
    <w:qFormat/>
    <w:uiPriority w:val="0"/>
    <w:pPr>
      <w:widowControl/>
      <w:spacing w:before="100" w:beforeAutospacing="1" w:after="100" w:afterAutospacing="1" w:line="240" w:lineRule="auto"/>
      <w:jc w:val="left"/>
    </w:pPr>
    <w:rPr>
      <w:rFonts w:ascii="宋体" w:hAnsi="宋体" w:eastAsia="宋体" w:cs="宋体"/>
      <w:kern w:val="0"/>
      <w:sz w:val="24"/>
    </w:rPr>
  </w:style>
  <w:style w:type="paragraph" w:customStyle="1" w:styleId="505">
    <w:name w:val="ctrl+q，图表字样"/>
    <w:basedOn w:val="1"/>
    <w:autoRedefine/>
    <w:qFormat/>
    <w:uiPriority w:val="0"/>
    <w:pPr>
      <w:snapToGrid w:val="0"/>
      <w:spacing w:line="240" w:lineRule="auto"/>
      <w:jc w:val="center"/>
    </w:pPr>
    <w:rPr>
      <w:rFonts w:eastAsia="宋体" w:cs="宋体"/>
      <w:color w:val="000000" w:themeColor="text1"/>
      <w:sz w:val="24"/>
      <w14:textFill>
        <w14:solidFill>
          <w14:schemeClr w14:val="tx1"/>
        </w14:solidFill>
      </w14:textFill>
    </w:rPr>
  </w:style>
  <w:style w:type="paragraph" w:customStyle="1" w:styleId="506">
    <w:name w:val="正文样式，ctrl+D"/>
    <w:basedOn w:val="281"/>
    <w:link w:val="507"/>
    <w:autoRedefine/>
    <w:qFormat/>
    <w:uiPriority w:val="0"/>
    <w:pPr>
      <w:spacing w:before="120"/>
      <w:ind w:firstLine="200"/>
      <w:contextualSpacing/>
    </w:pPr>
    <w:rPr>
      <w:rFonts w:ascii="宋体" w:hAnsi="宋体" w:cs="宋体"/>
      <w:color w:val="000000" w:themeColor="text1"/>
      <w:sz w:val="28"/>
      <w:szCs w:val="28"/>
      <w14:textFill>
        <w14:solidFill>
          <w14:schemeClr w14:val="tx1"/>
        </w14:solidFill>
      </w14:textFill>
    </w:rPr>
  </w:style>
  <w:style w:type="character" w:customStyle="1" w:styleId="507">
    <w:name w:val="正文样式，ctrl+D 字符"/>
    <w:basedOn w:val="280"/>
    <w:link w:val="506"/>
    <w:qFormat/>
    <w:uiPriority w:val="0"/>
    <w:rPr>
      <w:rFonts w:ascii="宋体" w:hAnsi="宋体" w:cs="宋体"/>
      <w:color w:val="000000" w:themeColor="text1"/>
      <w:kern w:val="2"/>
      <w:sz w:val="28"/>
      <w:szCs w:val="28"/>
      <w14:textFill>
        <w14:solidFill>
          <w14:schemeClr w14:val="tx1"/>
        </w14:solidFill>
      </w14:textFill>
    </w:rPr>
  </w:style>
  <w:style w:type="character" w:customStyle="1" w:styleId="508">
    <w:name w:val="普通(网站) 字符"/>
    <w:link w:val="81"/>
    <w:qFormat/>
    <w:uiPriority w:val="0"/>
    <w:rPr>
      <w:rFonts w:ascii="宋体" w:hAnsi="宋体" w:eastAsia="仿宋" w:cs="宋体"/>
      <w:sz w:val="28"/>
      <w:szCs w:val="24"/>
    </w:rPr>
  </w:style>
  <w:style w:type="paragraph" w:customStyle="1" w:styleId="509">
    <w:name w:val="列表-点"/>
    <w:basedOn w:val="1"/>
    <w:qFormat/>
    <w:uiPriority w:val="99"/>
    <w:pPr>
      <w:numPr>
        <w:ilvl w:val="0"/>
        <w:numId w:val="28"/>
      </w:numPr>
      <w:tabs>
        <w:tab w:val="left" w:pos="420"/>
      </w:tabs>
      <w:spacing w:after="160" w:line="240" w:lineRule="auto"/>
      <w:ind w:right="100" w:rightChars="100" w:firstLine="0"/>
    </w:pPr>
    <w:rPr>
      <w:rFonts w:ascii="Calibri" w:hAnsi="Calibri" w:eastAsia="宋体" w:cs="仿宋"/>
      <w:sz w:val="21"/>
      <w:szCs w:val="22"/>
    </w:rPr>
  </w:style>
  <w:style w:type="character" w:customStyle="1" w:styleId="510">
    <w:name w:val="书籍标题1"/>
    <w:qFormat/>
    <w:uiPriority w:val="0"/>
    <w:rPr>
      <w:b/>
      <w:bCs/>
      <w:i/>
      <w:iCs/>
      <w:spacing w:val="5"/>
    </w:rPr>
  </w:style>
  <w:style w:type="table" w:customStyle="1" w:styleId="511">
    <w:name w:val="网格表 4 - 着色 12"/>
    <w:basedOn w:val="88"/>
    <w:qFormat/>
    <w:uiPriority w:val="49"/>
    <w:rPr>
      <w:rFonts w:ascii="Calibri" w:hAnsi="Calibri" w:cs="宋体"/>
      <w:color w:val="000000" w:themeColor="text1"/>
      <w:kern w:val="2"/>
      <w:sz w:val="24"/>
      <w:szCs w:val="28"/>
      <w14:textFill>
        <w14:solidFill>
          <w14:schemeClr w14:val="tx1"/>
        </w14:solidFill>
      </w14:textFill>
    </w:rPr>
    <w:tblPr>
      <w:tblBorders>
        <w:top w:val="single" w:color="9CC2E5" w:sz="4" w:space="0"/>
        <w:left w:val="single" w:color="9CC2E5" w:sz="4" w:space="0"/>
        <w:bottom w:val="single" w:color="9CC2E5" w:sz="4" w:space="0"/>
        <w:right w:val="single" w:color="9CC2E5" w:sz="4" w:space="0"/>
        <w:insideH w:val="single" w:color="9CC2E5" w:sz="4" w:space="0"/>
        <w:insideV w:val="single" w:color="9CC2E5" w:sz="4" w:space="0"/>
      </w:tblBorders>
    </w:tblPr>
    <w:tblStylePr w:type="firstRow">
      <w:rPr>
        <w:b/>
        <w:bCs/>
        <w:color w:val="CCE8CF"/>
      </w:rPr>
      <w:tcPr>
        <w:tcBorders>
          <w:top w:val="single" w:color="5B9BD5" w:sz="4" w:space="0"/>
          <w:left w:val="single" w:color="5B9BD5" w:sz="4" w:space="0"/>
          <w:bottom w:val="single" w:color="5B9BD5" w:sz="4" w:space="0"/>
          <w:right w:val="single" w:color="5B9BD5" w:sz="4" w:space="0"/>
          <w:insideH w:val="nil"/>
          <w:insideV w:val="nil"/>
        </w:tcBorders>
        <w:shd w:val="clear" w:color="auto" w:fill="5B9BD5"/>
      </w:tcPr>
    </w:tblStylePr>
    <w:tblStylePr w:type="lastRow">
      <w:rPr>
        <w:b/>
        <w:bCs/>
      </w:rPr>
      <w:tcPr>
        <w:tcBorders>
          <w:top w:val="double" w:color="5B9BD5" w:sz="4" w:space="0"/>
        </w:tcBorders>
      </w:tcPr>
    </w:tblStylePr>
    <w:tblStylePr w:type="firstCol">
      <w:rPr>
        <w:b/>
        <w:bCs/>
      </w:rPr>
    </w:tblStylePr>
    <w:tblStylePr w:type="lastCol">
      <w:rPr>
        <w:b/>
        <w:bCs/>
      </w:rPr>
    </w:tblStylePr>
    <w:tblStylePr w:type="band1Vert">
      <w:tcPr>
        <w:shd w:val="clear" w:color="auto" w:fill="DEEAF6"/>
      </w:tcPr>
    </w:tblStylePr>
    <w:tblStylePr w:type="band1Horz">
      <w:tcPr>
        <w:shd w:val="clear" w:color="auto" w:fill="DEEAF6"/>
      </w:tcPr>
    </w:tblStylePr>
  </w:style>
  <w:style w:type="character" w:styleId="512">
    <w:name w:val="Placeholder Text"/>
    <w:semiHidden/>
    <w:qFormat/>
    <w:uiPriority w:val="99"/>
    <w:rPr>
      <w:color w:val="808080"/>
    </w:rPr>
  </w:style>
  <w:style w:type="paragraph" w:customStyle="1" w:styleId="513">
    <w:name w:val="msonormal"/>
    <w:basedOn w:val="1"/>
    <w:qFormat/>
    <w:uiPriority w:val="0"/>
    <w:pPr>
      <w:widowControl/>
      <w:spacing w:before="100" w:beforeAutospacing="1" w:after="100" w:afterAutospacing="1" w:line="240" w:lineRule="auto"/>
      <w:jc w:val="left"/>
    </w:pPr>
    <w:rPr>
      <w:rFonts w:ascii="宋体" w:hAnsi="宋体" w:eastAsia="宋体" w:cs="宋体"/>
      <w:kern w:val="0"/>
      <w:sz w:val="24"/>
    </w:rPr>
  </w:style>
  <w:style w:type="paragraph" w:customStyle="1" w:styleId="514">
    <w:name w:val="font5"/>
    <w:basedOn w:val="1"/>
    <w:qFormat/>
    <w:uiPriority w:val="0"/>
    <w:pPr>
      <w:widowControl/>
      <w:spacing w:before="100" w:beforeAutospacing="1" w:after="100" w:afterAutospacing="1" w:line="240" w:lineRule="auto"/>
      <w:jc w:val="left"/>
    </w:pPr>
    <w:rPr>
      <w:rFonts w:ascii="微软雅黑" w:hAnsi="微软雅黑" w:eastAsia="微软雅黑" w:cs="宋体"/>
      <w:color w:val="000000"/>
      <w:kern w:val="0"/>
      <w:sz w:val="24"/>
    </w:rPr>
  </w:style>
  <w:style w:type="paragraph" w:customStyle="1" w:styleId="515">
    <w:name w:val="font6"/>
    <w:basedOn w:val="1"/>
    <w:qFormat/>
    <w:uiPriority w:val="0"/>
    <w:pPr>
      <w:widowControl/>
      <w:spacing w:before="100" w:beforeAutospacing="1" w:after="100" w:afterAutospacing="1" w:line="240" w:lineRule="auto"/>
      <w:jc w:val="left"/>
    </w:pPr>
    <w:rPr>
      <w:rFonts w:ascii="宋体" w:hAnsi="宋体" w:eastAsia="宋体" w:cs="宋体"/>
      <w:kern w:val="0"/>
      <w:sz w:val="18"/>
      <w:szCs w:val="18"/>
    </w:rPr>
  </w:style>
  <w:style w:type="paragraph" w:customStyle="1" w:styleId="516">
    <w:name w:val="font7"/>
    <w:basedOn w:val="1"/>
    <w:qFormat/>
    <w:uiPriority w:val="0"/>
    <w:pPr>
      <w:widowControl/>
      <w:spacing w:before="100" w:beforeAutospacing="1" w:after="100" w:afterAutospacing="1" w:line="240" w:lineRule="auto"/>
      <w:jc w:val="left"/>
    </w:pPr>
    <w:rPr>
      <w:rFonts w:ascii="宋体" w:hAnsi="宋体" w:eastAsia="宋体" w:cs="宋体"/>
      <w:kern w:val="0"/>
      <w:sz w:val="18"/>
      <w:szCs w:val="18"/>
    </w:rPr>
  </w:style>
  <w:style w:type="paragraph" w:customStyle="1" w:styleId="517">
    <w:name w:val="xl69"/>
    <w:basedOn w:val="1"/>
    <w:qFormat/>
    <w:uiPriority w:val="0"/>
    <w:pPr>
      <w:widowControl/>
      <w:shd w:val="clear" w:color="000000" w:fill="00B0F0"/>
      <w:spacing w:before="100" w:beforeAutospacing="1" w:after="100" w:afterAutospacing="1" w:line="240" w:lineRule="auto"/>
      <w:jc w:val="left"/>
    </w:pPr>
    <w:rPr>
      <w:rFonts w:ascii="宋体" w:hAnsi="宋体" w:eastAsia="宋体" w:cs="宋体"/>
      <w:kern w:val="0"/>
      <w:sz w:val="24"/>
    </w:rPr>
  </w:style>
  <w:style w:type="paragraph" w:customStyle="1" w:styleId="518">
    <w:name w:val="xl70"/>
    <w:basedOn w:val="1"/>
    <w:qFormat/>
    <w:uiPriority w:val="0"/>
    <w:pPr>
      <w:widowControl/>
      <w:spacing w:before="100" w:beforeAutospacing="1" w:after="100" w:afterAutospacing="1" w:line="240" w:lineRule="auto"/>
      <w:jc w:val="left"/>
    </w:pPr>
    <w:rPr>
      <w:rFonts w:ascii="宋体" w:hAnsi="宋体" w:eastAsia="宋体" w:cs="宋体"/>
      <w:b/>
      <w:bCs/>
      <w:kern w:val="0"/>
      <w:sz w:val="24"/>
    </w:rPr>
  </w:style>
  <w:style w:type="paragraph" w:customStyle="1" w:styleId="519">
    <w:name w:val="xl71"/>
    <w:basedOn w:val="1"/>
    <w:qFormat/>
    <w:uiPriority w:val="0"/>
    <w:pPr>
      <w:widowControl/>
      <w:spacing w:before="100" w:beforeAutospacing="1" w:after="100" w:afterAutospacing="1" w:line="240" w:lineRule="auto"/>
      <w:jc w:val="center"/>
    </w:pPr>
    <w:rPr>
      <w:rFonts w:ascii="宋体" w:hAnsi="宋体" w:eastAsia="宋体" w:cs="宋体"/>
      <w:kern w:val="0"/>
      <w:sz w:val="24"/>
    </w:rPr>
  </w:style>
  <w:style w:type="paragraph" w:customStyle="1" w:styleId="520">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0"/>
      <w:szCs w:val="20"/>
    </w:rPr>
  </w:style>
  <w:style w:type="paragraph" w:customStyle="1" w:styleId="521">
    <w:name w:val="xl73"/>
    <w:basedOn w:val="1"/>
    <w:qFormat/>
    <w:uiPriority w:val="0"/>
    <w:pPr>
      <w:widowControl/>
      <w:spacing w:before="100" w:beforeAutospacing="1" w:after="100" w:afterAutospacing="1" w:line="240" w:lineRule="auto"/>
      <w:jc w:val="left"/>
    </w:pPr>
    <w:rPr>
      <w:rFonts w:ascii="宋体" w:hAnsi="宋体" w:eastAsia="宋体" w:cs="宋体"/>
      <w:kern w:val="0"/>
      <w:sz w:val="24"/>
    </w:rPr>
  </w:style>
  <w:style w:type="paragraph" w:customStyle="1" w:styleId="522">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eastAsia="宋体" w:cs="宋体"/>
      <w:b/>
      <w:bCs/>
      <w:kern w:val="0"/>
      <w:sz w:val="20"/>
      <w:szCs w:val="20"/>
    </w:rPr>
  </w:style>
  <w:style w:type="paragraph" w:customStyle="1" w:styleId="523">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eastAsia="宋体" w:cs="宋体"/>
      <w:kern w:val="0"/>
      <w:sz w:val="20"/>
      <w:szCs w:val="20"/>
    </w:rPr>
  </w:style>
  <w:style w:type="paragraph" w:customStyle="1" w:styleId="524">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eastAsia="宋体" w:cs="宋体"/>
      <w:kern w:val="0"/>
      <w:sz w:val="20"/>
      <w:szCs w:val="20"/>
    </w:rPr>
  </w:style>
  <w:style w:type="paragraph" w:customStyle="1" w:styleId="525">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eastAsia="宋体" w:cs="宋体"/>
      <w:kern w:val="0"/>
      <w:sz w:val="20"/>
      <w:szCs w:val="20"/>
    </w:rPr>
  </w:style>
  <w:style w:type="paragraph" w:customStyle="1" w:styleId="526">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b/>
      <w:bCs/>
      <w:kern w:val="0"/>
      <w:sz w:val="20"/>
      <w:szCs w:val="20"/>
    </w:rPr>
  </w:style>
  <w:style w:type="paragraph" w:customStyle="1" w:styleId="527">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0"/>
      <w:szCs w:val="20"/>
    </w:rPr>
  </w:style>
  <w:style w:type="paragraph" w:customStyle="1" w:styleId="528">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eastAsia="宋体" w:cs="宋体"/>
      <w:b/>
      <w:bCs/>
      <w:kern w:val="0"/>
      <w:sz w:val="20"/>
      <w:szCs w:val="20"/>
    </w:rPr>
  </w:style>
  <w:style w:type="paragraph" w:customStyle="1" w:styleId="529">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eastAsia="宋体" w:cs="宋体"/>
      <w:kern w:val="0"/>
      <w:sz w:val="20"/>
      <w:szCs w:val="20"/>
    </w:rPr>
  </w:style>
  <w:style w:type="paragraph" w:customStyle="1" w:styleId="530">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宋体" w:hAnsi="宋体" w:eastAsia="宋体" w:cs="宋体"/>
      <w:kern w:val="0"/>
      <w:sz w:val="20"/>
      <w:szCs w:val="20"/>
    </w:rPr>
  </w:style>
  <w:style w:type="paragraph" w:customStyle="1" w:styleId="531">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eastAsia="宋体" w:cs="宋体"/>
      <w:color w:val="404040"/>
      <w:kern w:val="0"/>
      <w:sz w:val="20"/>
      <w:szCs w:val="20"/>
    </w:rPr>
  </w:style>
  <w:style w:type="paragraph" w:customStyle="1" w:styleId="532">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jc w:val="left"/>
    </w:pPr>
    <w:rPr>
      <w:rFonts w:ascii="宋体" w:hAnsi="宋体" w:eastAsia="宋体" w:cs="宋体"/>
      <w:kern w:val="0"/>
      <w:sz w:val="20"/>
      <w:szCs w:val="20"/>
    </w:rPr>
  </w:style>
  <w:style w:type="paragraph" w:customStyle="1" w:styleId="533">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line="240" w:lineRule="auto"/>
      <w:jc w:val="left"/>
    </w:pPr>
    <w:rPr>
      <w:rFonts w:ascii="宋体" w:hAnsi="宋体" w:eastAsia="宋体" w:cs="宋体"/>
      <w:kern w:val="0"/>
      <w:sz w:val="20"/>
      <w:szCs w:val="20"/>
    </w:rPr>
  </w:style>
  <w:style w:type="paragraph" w:customStyle="1" w:styleId="534">
    <w:name w:val="Text"/>
    <w:basedOn w:val="1"/>
    <w:qFormat/>
    <w:uiPriority w:val="0"/>
    <w:pPr>
      <w:spacing w:line="240" w:lineRule="auto"/>
      <w:ind w:left="1021"/>
    </w:pPr>
    <w:rPr>
      <w:rFonts w:ascii="Arial" w:hAnsi="Arial" w:cs="Arial" w:eastAsiaTheme="minorEastAsia"/>
      <w:sz w:val="22"/>
      <w:szCs w:val="22"/>
    </w:rPr>
  </w:style>
  <w:style w:type="paragraph" w:customStyle="1" w:styleId="535">
    <w:name w:val="并列类小标题"/>
    <w:basedOn w:val="1"/>
    <w:next w:val="1"/>
    <w:qFormat/>
    <w:uiPriority w:val="0"/>
    <w:pPr>
      <w:numPr>
        <w:ilvl w:val="0"/>
        <w:numId w:val="29"/>
      </w:numPr>
      <w:spacing w:line="360" w:lineRule="auto"/>
      <w:ind w:left="0" w:firstLine="480" w:firstLineChars="200"/>
    </w:pPr>
    <w:rPr>
      <w:rFonts w:ascii="微软雅黑" w:hAnsi="微软雅黑" w:eastAsia="微软雅黑" w:cstheme="minorBidi"/>
      <w:b/>
      <w:sz w:val="24"/>
      <w:szCs w:val="22"/>
    </w:rPr>
  </w:style>
  <w:style w:type="paragraph" w:customStyle="1" w:styleId="536">
    <w:name w:val="正文段落格式ctrl+d"/>
    <w:basedOn w:val="1"/>
    <w:link w:val="537"/>
    <w:qFormat/>
    <w:uiPriority w:val="0"/>
    <w:pPr>
      <w:spacing w:line="360" w:lineRule="auto"/>
      <w:ind w:firstLine="480" w:firstLineChars="200"/>
    </w:pPr>
    <w:rPr>
      <w:rFonts w:eastAsia="宋体"/>
      <w:color w:val="000000"/>
      <w:sz w:val="24"/>
    </w:rPr>
  </w:style>
  <w:style w:type="character" w:customStyle="1" w:styleId="537">
    <w:name w:val="正文段落格式ctrl+d 字符"/>
    <w:link w:val="536"/>
    <w:qFormat/>
    <w:locked/>
    <w:uiPriority w:val="0"/>
    <w:rPr>
      <w:color w:val="000000"/>
      <w:kern w:val="2"/>
      <w:sz w:val="24"/>
      <w:szCs w:val="24"/>
    </w:rPr>
  </w:style>
  <w:style w:type="paragraph" w:customStyle="1" w:styleId="538">
    <w:name w:val="TOC 标题11"/>
    <w:basedOn w:val="3"/>
    <w:next w:val="1"/>
    <w:unhideWhenUsed/>
    <w:qFormat/>
    <w:uiPriority w:val="39"/>
    <w:pPr>
      <w:keepNext/>
      <w:keepLines/>
      <w:pageBreakBefore w:val="0"/>
      <w:widowControl/>
      <w:spacing w:before="240" w:after="0" w:line="259" w:lineRule="auto"/>
      <w:ind w:left="432" w:hanging="432"/>
      <w:jc w:val="left"/>
      <w:outlineLvl w:val="9"/>
    </w:pPr>
    <w:rPr>
      <w:rFonts w:asciiTheme="majorHAnsi" w:hAnsiTheme="majorHAnsi" w:eastAsiaTheme="majorEastAsia" w:cstheme="majorBidi"/>
      <w:b w:val="0"/>
      <w:bCs w:val="0"/>
      <w:color w:val="376092" w:themeColor="accent1" w:themeShade="BF"/>
      <w:kern w:val="0"/>
      <w:sz w:val="32"/>
      <w:szCs w:val="32"/>
    </w:rPr>
  </w:style>
  <w:style w:type="character" w:customStyle="1" w:styleId="539">
    <w:name w:val="宏文本 字符"/>
    <w:link w:val="2"/>
    <w:qFormat/>
    <w:uiPriority w:val="0"/>
    <w:rPr>
      <w:rFonts w:ascii="Courier New" w:hAnsi="Courier New" w:cs="Courier New"/>
      <w:kern w:val="2"/>
      <w:sz w:val="24"/>
      <w:szCs w:val="24"/>
    </w:rPr>
  </w:style>
  <w:style w:type="character" w:customStyle="1" w:styleId="540">
    <w:name w:val="正文缩进 字符"/>
    <w:link w:val="21"/>
    <w:qFormat/>
    <w:uiPriority w:val="0"/>
    <w:rPr>
      <w:rFonts w:eastAsia="仿宋"/>
      <w:kern w:val="2"/>
      <w:sz w:val="28"/>
    </w:rPr>
  </w:style>
  <w:style w:type="character" w:customStyle="1" w:styleId="541">
    <w:name w:val="表格文字 字符"/>
    <w:basedOn w:val="122"/>
    <w:link w:val="148"/>
    <w:qFormat/>
    <w:uiPriority w:val="0"/>
    <w:rPr>
      <w:rFonts w:eastAsia="仿宋" w:cs="宋体"/>
      <w:kern w:val="2"/>
      <w:sz w:val="24"/>
    </w:rPr>
  </w:style>
  <w:style w:type="paragraph" w:customStyle="1" w:styleId="542">
    <w:name w:val="Table Paragraph"/>
    <w:basedOn w:val="1"/>
    <w:semiHidden/>
    <w:qFormat/>
    <w:uiPriority w:val="0"/>
    <w:pPr>
      <w:autoSpaceDE w:val="0"/>
      <w:autoSpaceDN w:val="0"/>
      <w:adjustRightInd w:val="0"/>
      <w:spacing w:line="240" w:lineRule="auto"/>
      <w:jc w:val="left"/>
    </w:pPr>
    <w:rPr>
      <w:rFonts w:ascii="等线" w:hAnsi="等线" w:eastAsia="等线" w:cs="宋体"/>
      <w:kern w:val="0"/>
      <w:sz w:val="24"/>
    </w:rPr>
  </w:style>
  <w:style w:type="paragraph" w:customStyle="1" w:styleId="543">
    <w:name w:val="01正文"/>
    <w:basedOn w:val="1"/>
    <w:qFormat/>
    <w:uiPriority w:val="0"/>
    <w:pPr>
      <w:spacing w:line="360" w:lineRule="auto"/>
      <w:ind w:firstLine="454"/>
      <w:jc w:val="left"/>
    </w:pPr>
    <w:rPr>
      <w:rFonts w:asciiTheme="minorEastAsia" w:hAnsiTheme="minorEastAsia"/>
    </w:rPr>
  </w:style>
  <w:style w:type="paragraph" w:customStyle="1" w:styleId="544">
    <w:name w:val="修订2"/>
    <w:hidden/>
    <w:semiHidden/>
    <w:qFormat/>
    <w:uiPriority w:val="99"/>
    <w:rPr>
      <w:rFonts w:ascii="Times New Roman" w:hAnsi="Times New Roman" w:eastAsia="仿宋" w:cs="Times New Roman"/>
      <w:kern w:val="2"/>
      <w:sz w:val="28"/>
      <w:szCs w:val="24"/>
      <w:lang w:val="en-US" w:eastAsia="zh-CN" w:bidi="ar-SA"/>
    </w:rPr>
  </w:style>
  <w:style w:type="character" w:customStyle="1" w:styleId="545">
    <w:name w:val="未处理的提及2"/>
    <w:basedOn w:val="122"/>
    <w:semiHidden/>
    <w:unhideWhenUsed/>
    <w:qFormat/>
    <w:uiPriority w:val="99"/>
    <w:rPr>
      <w:color w:val="605E5C"/>
      <w:shd w:val="clear" w:color="auto" w:fill="E1DFDD"/>
    </w:rPr>
  </w:style>
  <w:style w:type="paragraph" w:customStyle="1" w:styleId="546">
    <w:name w:val="正文1"/>
    <w:qFormat/>
    <w:uiPriority w:val="0"/>
    <w:pPr>
      <w:spacing w:line="360" w:lineRule="auto"/>
      <w:ind w:firstLine="200" w:firstLineChars="200"/>
      <w:jc w:val="both"/>
    </w:pPr>
    <w:rPr>
      <w:rFonts w:ascii="Times New Roman" w:hAnsi="Times New Roman" w:eastAsia="宋体" w:cs="Times New Roman"/>
      <w:color w:val="000000"/>
      <w:kern w:val="2"/>
      <w:sz w:val="28"/>
      <w:szCs w:val="28"/>
      <w:lang w:val="en-US" w:eastAsia="zh-CN" w:bidi="ar-SA"/>
    </w:rPr>
  </w:style>
  <w:style w:type="paragraph" w:customStyle="1" w:styleId="547">
    <w:name w:val="_Style 13"/>
    <w:qFormat/>
    <w:uiPriority w:val="0"/>
    <w:pPr>
      <w:spacing w:before="120" w:after="120" w:line="288" w:lineRule="auto"/>
    </w:pPr>
    <w:rPr>
      <w:rFonts w:ascii="Arial" w:hAnsi="Arial" w:eastAsia="等线" w:cs="Arial"/>
      <w:sz w:val="22"/>
      <w:szCs w:val="22"/>
      <w:lang w:val="en-US" w:eastAsia="zh-CN" w:bidi="ar-SA"/>
    </w:rPr>
  </w:style>
  <w:style w:type="paragraph" w:customStyle="1" w:styleId="548">
    <w:name w:val="标题3-样式6"/>
    <w:basedOn w:val="549"/>
    <w:qFormat/>
    <w:uiPriority w:val="0"/>
    <w:pPr>
      <w:outlineLvl w:val="2"/>
    </w:pPr>
  </w:style>
  <w:style w:type="paragraph" w:customStyle="1" w:styleId="549">
    <w:name w:val="标题1-样式4"/>
    <w:basedOn w:val="1"/>
    <w:qFormat/>
    <w:uiPriority w:val="0"/>
    <w:pPr>
      <w:spacing w:line="360" w:lineRule="auto"/>
      <w:outlineLvl w:val="0"/>
    </w:pPr>
    <w:rPr>
      <w:rFonts w:eastAsia="宋体"/>
      <w:b/>
      <w:sz w:val="21"/>
    </w:rPr>
  </w:style>
  <w:style w:type="paragraph" w:customStyle="1" w:styleId="550">
    <w:name w:val="标题2-样式5"/>
    <w:basedOn w:val="549"/>
    <w:qFormat/>
    <w:uiPriority w:val="0"/>
    <w:pPr>
      <w:outlineLvl w:val="1"/>
    </w:pPr>
  </w:style>
  <w:style w:type="paragraph" w:customStyle="1" w:styleId="551">
    <w:name w:val="标题4-样式4"/>
    <w:basedOn w:val="6"/>
    <w:qFormat/>
    <w:uiPriority w:val="0"/>
    <w:pPr>
      <w:numPr>
        <w:ilvl w:val="0"/>
        <w:numId w:val="0"/>
      </w:numPr>
      <w:spacing w:line="360" w:lineRule="auto"/>
    </w:pPr>
    <w:rPr>
      <w:rFonts w:eastAsia="宋体"/>
      <w:sz w:val="21"/>
    </w:rPr>
  </w:style>
  <w:style w:type="paragraph" w:customStyle="1" w:styleId="552">
    <w:name w:val="正文-样式7"/>
    <w:basedOn w:val="142"/>
    <w:qFormat/>
    <w:uiPriority w:val="0"/>
    <w:pPr>
      <w:spacing w:before="0" w:beforeLines="0" w:after="0" w:afterLines="0" w:line="360" w:lineRule="auto"/>
      <w:ind w:firstLine="200"/>
    </w:pPr>
    <w:rPr>
      <w:rFonts w:ascii="宋体" w:hAnsi="宋体" w:eastAsia="宋体"/>
      <w:color w:val="000000" w:themeColor="text1"/>
      <w:sz w:val="21"/>
      <w:szCs w:val="21"/>
      <w14:textFill>
        <w14:solidFill>
          <w14:schemeClr w14:val="tx1"/>
        </w14:solidFill>
      </w14:textFill>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4" Type="http://schemas.openxmlformats.org/officeDocument/2006/relationships/fontTable" Target="fontTable.xml"/><Relationship Id="rId43" Type="http://schemas.microsoft.com/office/2006/relationships/keyMapCustomizations" Target="customizations.xml"/><Relationship Id="rId42" Type="http://schemas.openxmlformats.org/officeDocument/2006/relationships/customXml" Target="../customXml/item2.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endnotes" Target="endnotes.xml"/><Relationship Id="rId39" Type="http://schemas.openxmlformats.org/officeDocument/2006/relationships/image" Target="media/image24.emf"/><Relationship Id="rId38" Type="http://schemas.openxmlformats.org/officeDocument/2006/relationships/package" Target="embeddings/Microsoft_Visio___5.vsdx"/><Relationship Id="rId37" Type="http://schemas.openxmlformats.org/officeDocument/2006/relationships/image" Target="media/image23.emf"/><Relationship Id="rId36" Type="http://schemas.openxmlformats.org/officeDocument/2006/relationships/package" Target="embeddings/Microsoft_Visio___4.vsdx"/><Relationship Id="rId35" Type="http://schemas.openxmlformats.org/officeDocument/2006/relationships/image" Target="media/image22.jpeg"/><Relationship Id="rId34" Type="http://schemas.openxmlformats.org/officeDocument/2006/relationships/image" Target="media/image21.png"/><Relationship Id="rId33" Type="http://schemas.openxmlformats.org/officeDocument/2006/relationships/image" Target="media/image20.emf"/><Relationship Id="rId32" Type="http://schemas.openxmlformats.org/officeDocument/2006/relationships/package" Target="embeddings/Microsoft_Visio___3.vsdx"/><Relationship Id="rId31" Type="http://schemas.openxmlformats.org/officeDocument/2006/relationships/image" Target="media/image19.png"/><Relationship Id="rId30" Type="http://schemas.openxmlformats.org/officeDocument/2006/relationships/image" Target="media/image18.emf"/><Relationship Id="rId3" Type="http://schemas.openxmlformats.org/officeDocument/2006/relationships/footnotes" Target="footnotes.xml"/><Relationship Id="rId29" Type="http://schemas.openxmlformats.org/officeDocument/2006/relationships/package" Target="embeddings/Microsoft_Visio___2.vsdx"/><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jpeg"/><Relationship Id="rId15" Type="http://schemas.openxmlformats.org/officeDocument/2006/relationships/image" Target="media/image4.emf"/><Relationship Id="rId14" Type="http://schemas.openxmlformats.org/officeDocument/2006/relationships/package" Target="embeddings/Microsoft_Visio___1.vsdx"/><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uanjinyu\Desktop\&#21271;&#20140;&#36712;&#36947;&#20132;&#36890;3&#21495;&#32447;&#21487;&#30740;&#25991;&#20214;&#32534;&#21046;&#27169;&#26495;&#65288;A3&#65289;.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7EBB238-300F-4B8D-91D2-47EC6F10A30D}">
  <ds:schemaRefs/>
</ds:datastoreItem>
</file>

<file path=docProps/app.xml><?xml version="1.0" encoding="utf-8"?>
<Properties xmlns="http://schemas.openxmlformats.org/officeDocument/2006/extended-properties" xmlns:vt="http://schemas.openxmlformats.org/officeDocument/2006/docPropsVTypes">
  <Template>北京轨道交通3号线可研文件编制模板（A3）.dot</Template>
  <Company>Lenovo</Company>
  <Pages>153</Pages>
  <Words>8868</Words>
  <Characters>10285</Characters>
  <Lines>1549</Lines>
  <Paragraphs>3985</Paragraphs>
  <TotalTime>0</TotalTime>
  <ScaleCrop>false</ScaleCrop>
  <LinksUpToDate>false</LinksUpToDate>
  <CharactersWithSpaces>10765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2021-11-29T03:49:00Z</dcterms:created>
  <dc:creator>Liu GD</dc:creator>
  <cp:keywords>北京城建院</cp:keywords>
  <cp:lastModifiedBy>刘志勇</cp:lastModifiedBy>
  <cp:lastPrinted>2025-06-07T05:09:00Z</cp:lastPrinted>
  <dcterms:modified xsi:type="dcterms:W3CDTF">2025-09-05T08:10:28Z</dcterms:modified>
  <dc:title>长沙6号线智慧地铁</dc:title>
  <cp:revision>806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eyJoZGlkIjoiN2Y2YzBjODg5ZDVmNjJhMDY5ZjIwYzg2OTljZTliMzIiLCJ1c2VySWQiOiI5NDQ4MDcwOTcifQ==</vt:lpwstr>
  </property>
  <property fmtid="{D5CDD505-2E9C-101B-9397-08002B2CF9AE}" pid="3" name="KSOProductBuildVer">
    <vt:lpwstr>2052-12.1.0.22529</vt:lpwstr>
  </property>
  <property fmtid="{D5CDD505-2E9C-101B-9397-08002B2CF9AE}" pid="4" name="ICV">
    <vt:lpwstr>06AE4302B417485898E5165B18F8366E_13</vt:lpwstr>
  </property>
</Properties>
</file>